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9653" w14:textId="3C9247E9" w:rsidR="00F63BA2" w:rsidRPr="00690BD9" w:rsidRDefault="00F63BA2" w:rsidP="00F63BA2">
      <w:pPr>
        <w:pStyle w:val="Heading2"/>
        <w:rPr>
          <w:rFonts w:asciiTheme="minorHAnsi" w:hAnsiTheme="minorHAnsi" w:cstheme="minorHAnsi"/>
        </w:rPr>
      </w:pPr>
      <w:r w:rsidRPr="00690BD9">
        <w:rPr>
          <w:rFonts w:asciiTheme="minorHAnsi" w:hAnsiTheme="minorHAnsi" w:cstheme="minorHAnsi"/>
        </w:rPr>
        <w:t>1AC – Framing</w:t>
      </w:r>
    </w:p>
    <w:p w14:paraId="4E33A30D" w14:textId="77777777" w:rsidR="00F63BA2" w:rsidRPr="006620E9" w:rsidRDefault="00F63BA2" w:rsidP="00F63BA2">
      <w:pPr>
        <w:pStyle w:val="Heading4"/>
      </w:pPr>
      <w:r w:rsidRPr="006620E9">
        <w:t>The starting point of morality is practical reason.</w:t>
      </w:r>
    </w:p>
    <w:p w14:paraId="2E030CB4" w14:textId="1BEF0FB0" w:rsidR="00F63BA2" w:rsidRPr="006620E9" w:rsidRDefault="00F63BA2" w:rsidP="00F63BA2">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w:t>
      </w:r>
      <w:r w:rsidR="00D63945">
        <w:t xml:space="preserve"> b</w:t>
      </w:r>
      <w:r w:rsidRPr="006620E9">
        <w:t>) for obligations to have normative force they must be categorically binding because otherwise actors could contingently disregard them.</w:t>
      </w:r>
    </w:p>
    <w:p w14:paraId="460B2D35" w14:textId="77777777" w:rsidR="00F63BA2" w:rsidRPr="006620E9" w:rsidRDefault="00F63BA2" w:rsidP="00F63BA2">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5D21F99" w14:textId="77777777" w:rsidR="00F63BA2" w:rsidRPr="006620E9" w:rsidRDefault="00F63BA2" w:rsidP="00F63BA2">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59130626" w14:textId="77777777" w:rsidR="00F63BA2" w:rsidRPr="006620E9" w:rsidRDefault="00F63BA2" w:rsidP="00F63BA2">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p>
    <w:p w14:paraId="49DFCA47" w14:textId="77777777" w:rsidR="00F63BA2" w:rsidRPr="006620E9" w:rsidRDefault="00F63BA2" w:rsidP="00F63BA2">
      <w:pPr>
        <w:pStyle w:val="Heading4"/>
      </w:pPr>
      <w:r w:rsidRPr="006620E9">
        <w:t xml:space="preserve">5] </w:t>
      </w:r>
      <w:r w:rsidRPr="006620E9">
        <w:rPr>
          <w:u w:val="single"/>
        </w:rPr>
        <w:t>Is/ought gap</w:t>
      </w:r>
      <w:r>
        <w:t xml:space="preserve"> –</w:t>
      </w:r>
      <w:r w:rsidRPr="006620E9">
        <w:t xml:space="preserve"> experience</w:t>
      </w:r>
      <w:r>
        <w:t xml:space="preserve"> </w:t>
      </w:r>
      <w:r w:rsidRPr="006620E9">
        <w:t>only tells us what is since we can only perceive what is, not what ought to be.  But it’s impossible to derive an ought from descriptive premises, so there needs to be additional a priori premises to make a moral theory.</w:t>
      </w:r>
    </w:p>
    <w:p w14:paraId="295FE3E8" w14:textId="77777777" w:rsidR="00F63BA2" w:rsidRPr="006620E9" w:rsidRDefault="00F63BA2" w:rsidP="00F63BA2">
      <w:pPr>
        <w:pStyle w:val="Heading4"/>
      </w:pPr>
      <w:r w:rsidRPr="006620E9">
        <w:t xml:space="preserve">6] </w:t>
      </w:r>
      <w:r w:rsidRPr="006620E9">
        <w:rPr>
          <w:u w:val="single"/>
        </w:rPr>
        <w:t>Inescapability</w:t>
      </w:r>
      <w:r w:rsidRPr="006620E9">
        <w:t xml:space="preserve"> – </w:t>
      </w:r>
      <w:bookmarkStart w:id="0" w:name="_Hlk89995777"/>
      <w:r w:rsidRPr="006620E9">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bookmarkEnd w:id="0"/>
    <w:p w14:paraId="5EB6F426" w14:textId="77777777" w:rsidR="00F63BA2" w:rsidRPr="00690BD9" w:rsidRDefault="00F63BA2" w:rsidP="00F63BA2">
      <w:pPr>
        <w:rPr>
          <w:rFonts w:asciiTheme="minorHAnsi" w:hAnsiTheme="minorHAnsi" w:cstheme="minorHAnsi"/>
        </w:rPr>
      </w:pPr>
    </w:p>
    <w:p w14:paraId="2BC150D7" w14:textId="77777777" w:rsidR="00F63BA2" w:rsidRPr="00690BD9" w:rsidRDefault="00F63BA2" w:rsidP="00F63BA2">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32470553" w14:textId="77777777" w:rsidR="00F63BA2" w:rsidRPr="00690BD9" w:rsidRDefault="00F63BA2" w:rsidP="00F63BA2">
      <w:pPr>
        <w:rPr>
          <w:rFonts w:asciiTheme="minorHAnsi" w:hAnsiTheme="minorHAnsi" w:cstheme="minorHAnsi"/>
        </w:rPr>
      </w:pPr>
    </w:p>
    <w:p w14:paraId="69A403FC" w14:textId="77777777" w:rsidR="00F63BA2" w:rsidRPr="00690BD9" w:rsidRDefault="00F63BA2" w:rsidP="00F63BA2">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5439DBA6" w14:textId="77777777" w:rsidR="00F63BA2" w:rsidRPr="00690BD9" w:rsidRDefault="00F63BA2" w:rsidP="00F63BA2">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4AAC47DF" w14:textId="77777777" w:rsidR="00F63BA2" w:rsidRPr="00690BD9" w:rsidRDefault="00F63BA2" w:rsidP="00F63BA2">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1"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1"/>
    <w:p w14:paraId="15A633F7" w14:textId="77777777" w:rsidR="00DA2FD7" w:rsidRPr="00566FEE" w:rsidRDefault="00DA2FD7" w:rsidP="00DA2FD7">
      <w:pPr>
        <w:pStyle w:val="Heading4"/>
        <w:rPr>
          <w:rFonts w:asciiTheme="minorHAnsi" w:eastAsia="Calibri" w:hAnsiTheme="minorHAnsi" w:cstheme="minorHAnsi"/>
        </w:rPr>
      </w:pPr>
      <w:r>
        <w:t xml:space="preserve">3] </w:t>
      </w:r>
      <w:r w:rsidRPr="00566FEE">
        <w:rPr>
          <w:rFonts w:asciiTheme="minorHAnsi" w:eastAsia="Calibri" w:hAnsiTheme="minorHAnsi" w:cstheme="minorHAnsi"/>
        </w:rPr>
        <w:t xml:space="preserve">Anything else justifies that someone could impede your ability to </w:t>
      </w:r>
      <w:r>
        <w:rPr>
          <w:rFonts w:asciiTheme="minorHAnsi" w:eastAsia="Calibri" w:hAnsiTheme="minorHAnsi" w:cstheme="minorHAnsi"/>
        </w:rPr>
        <w:t>exercise your will</w:t>
      </w:r>
      <w:r w:rsidRPr="00566FEE">
        <w:rPr>
          <w:rFonts w:asciiTheme="minorHAnsi" w:eastAsia="Calibri" w:hAnsiTheme="minorHAnsi" w:cstheme="minorHAnsi"/>
        </w:rPr>
        <w:t xml:space="preserve"> in the first place</w:t>
      </w:r>
      <w:r>
        <w:rPr>
          <w:rFonts w:asciiTheme="minorHAnsi" w:eastAsia="Calibri" w:hAnsiTheme="minorHAnsi" w:cstheme="minorHAnsi"/>
        </w:rPr>
        <w:t>, restricting your ability to act. An action is only deemed moral if everybody can universally do it and deem it good.</w:t>
      </w:r>
    </w:p>
    <w:p w14:paraId="24243D4F" w14:textId="77777777" w:rsidR="00DA2FD7" w:rsidRPr="00566FEE" w:rsidRDefault="00DA2FD7" w:rsidP="00DA2FD7">
      <w:pPr>
        <w:rPr>
          <w:rFonts w:asciiTheme="minorHAnsi" w:eastAsia="Calibri" w:hAnsiTheme="minorHAnsi" w:cstheme="minorHAnsi"/>
        </w:rPr>
      </w:pPr>
      <w:r w:rsidRPr="00566FEE">
        <w:rPr>
          <w:rFonts w:asciiTheme="minorHAnsi" w:eastAsia="Calibri" w:hAnsiTheme="minorHAnsi" w:cstheme="minorHAnsi"/>
          <w:b/>
          <w:sz w:val="26"/>
          <w:szCs w:val="26"/>
        </w:rPr>
        <w:t>Engstrom</w:t>
      </w:r>
      <w:r w:rsidRPr="00566FEE">
        <w:rPr>
          <w:rFonts w:asciiTheme="minorHAnsi" w:eastAsia="Calibri" w:hAnsiTheme="minorHAnsi" w:cstheme="minorHAnsi"/>
        </w:rPr>
        <w:t>, Stephen [“Universal Legislation As the Form of Practical Knowledge. University of Pittsburgh, ND]</w:t>
      </w:r>
    </w:p>
    <w:p w14:paraId="1D50CA7B" w14:textId="77777777" w:rsidR="00DA2FD7" w:rsidRPr="00AF47C9" w:rsidRDefault="00DA2FD7" w:rsidP="00DA2FD7">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Thus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independence from other persons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r w:rsidRPr="00566FEE">
        <w:rPr>
          <w:rFonts w:asciiTheme="minorHAnsi" w:eastAsia="Calibri" w:hAnsiTheme="minorHAnsi" w:cstheme="minorHAnsi"/>
          <w:b/>
          <w:u w:val="single"/>
        </w:rPr>
        <w:t xml:space="preserve">Thus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w:t>
      </w:r>
      <w:r w:rsidRPr="00566FEE">
        <w:rPr>
          <w:rFonts w:asciiTheme="minorHAnsi" w:eastAsia="Calibri" w:hAnsiTheme="minorHAnsi" w:cstheme="minorHAnsi"/>
          <w:b/>
          <w:u w:val="single"/>
        </w:rPr>
        <w:lastRenderedPageBreak/>
        <w:t xml:space="preserve">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14:paraId="220843C9" w14:textId="77777777" w:rsidR="00F63BA2" w:rsidRPr="00690BD9" w:rsidRDefault="00F63BA2" w:rsidP="00F63BA2">
      <w:pPr>
        <w:rPr>
          <w:rFonts w:asciiTheme="minorHAnsi" w:hAnsiTheme="minorHAnsi" w:cstheme="minorHAnsi"/>
        </w:rPr>
      </w:pPr>
    </w:p>
    <w:p w14:paraId="321D3DE0" w14:textId="77777777" w:rsidR="00F63BA2" w:rsidRPr="00690BD9" w:rsidRDefault="00F63BA2" w:rsidP="00F63BA2">
      <w:pPr>
        <w:rPr>
          <w:rFonts w:asciiTheme="minorHAnsi" w:hAnsiTheme="minorHAnsi" w:cstheme="minorHAnsi"/>
        </w:rPr>
      </w:pPr>
    </w:p>
    <w:p w14:paraId="26DB9BA2" w14:textId="77777777" w:rsidR="00F63BA2" w:rsidRPr="00690BD9" w:rsidRDefault="00F63BA2" w:rsidP="00F63BA2">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51EE66D9" w14:textId="77777777" w:rsidR="00F63BA2" w:rsidRPr="00690BD9" w:rsidRDefault="00F63BA2" w:rsidP="00F63BA2">
      <w:pPr>
        <w:rPr>
          <w:rFonts w:asciiTheme="minorHAnsi" w:hAnsiTheme="minorHAnsi" w:cstheme="minorHAnsi"/>
        </w:rPr>
      </w:pPr>
    </w:p>
    <w:p w14:paraId="41EC7A3C" w14:textId="77777777" w:rsidR="00F63BA2" w:rsidRPr="00690BD9" w:rsidRDefault="00F63BA2" w:rsidP="00F63BA2">
      <w:pPr>
        <w:pStyle w:val="Heading4"/>
        <w:rPr>
          <w:rFonts w:asciiTheme="minorHAnsi" w:hAnsiTheme="minorHAnsi" w:cstheme="minorHAnsi"/>
        </w:rPr>
      </w:pPr>
      <w:r w:rsidRPr="00690BD9">
        <w:rPr>
          <w:rFonts w:asciiTheme="minorHAnsi" w:hAnsiTheme="minorHAnsi" w:cstheme="minorHAnsi"/>
        </w:rPr>
        <w:t xml:space="preserve">Thus, the standard is consistency with the categorical imperative as enacted through the omnilateral will. </w:t>
      </w:r>
    </w:p>
    <w:p w14:paraId="281A1CC0" w14:textId="77777777" w:rsidR="00F63BA2" w:rsidRPr="00690BD9" w:rsidRDefault="00F63BA2" w:rsidP="00F63BA2">
      <w:pPr>
        <w:pStyle w:val="Heading4"/>
        <w:rPr>
          <w:rFonts w:asciiTheme="minorHAnsi" w:hAnsiTheme="minorHAnsi" w:cstheme="minorHAnsi"/>
        </w:rPr>
      </w:pPr>
      <w:r w:rsidRPr="00690BD9">
        <w:rPr>
          <w:rFonts w:asciiTheme="minorHAnsi" w:hAnsiTheme="minorHAnsi" w:cstheme="minorHAnsi"/>
        </w:rPr>
        <w:t xml:space="preserve"> Prefer:</w:t>
      </w:r>
    </w:p>
    <w:p w14:paraId="0CCDBA22" w14:textId="77777777" w:rsidR="00F63BA2" w:rsidRPr="00690BD9" w:rsidRDefault="00F63BA2" w:rsidP="00F63BA2">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4D4A80E8" w14:textId="10EAB71A" w:rsidR="00F63BA2" w:rsidRPr="00690BD9" w:rsidRDefault="00F63BA2" w:rsidP="00F63BA2">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p w14:paraId="3E402E4E" w14:textId="7F7FC9AC" w:rsidR="00F63BA2" w:rsidRPr="00690BD9" w:rsidRDefault="00F63BA2" w:rsidP="00F63BA2">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4"/>
      <w:r w:rsidRPr="00690BD9">
        <w:rPr>
          <w:rFonts w:asciiTheme="minorHAnsi" w:hAnsiTheme="minorHAnsi" w:cstheme="minorHAnsi"/>
        </w:rPr>
        <w:t xml:space="preserve">Multiple people can intend the same action looking for different consequences i.e. going home to avoid work vs to see family </w:t>
      </w:r>
    </w:p>
    <w:p w14:paraId="34E6B601" w14:textId="23525100" w:rsidR="00F63BA2" w:rsidRPr="00690BD9" w:rsidRDefault="00F63BA2" w:rsidP="00F63BA2">
      <w:pPr>
        <w:pStyle w:val="Heading4"/>
        <w:spacing w:line="276"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4</w:t>
      </w:r>
      <w:r w:rsidRPr="00690BD9">
        <w:rPr>
          <w:rFonts w:asciiTheme="minorHAnsi" w:hAnsiTheme="minorHAnsi" w:cstheme="minorHAnsi"/>
        </w:rPr>
        <w:t xml:space="preserve">] The Categorical Imperative unites the abstract with the concrete—this is key to challenging oppression. </w:t>
      </w:r>
    </w:p>
    <w:p w14:paraId="11E116B6" w14:textId="77777777" w:rsidR="00F63BA2" w:rsidRPr="00690BD9" w:rsidRDefault="00F63BA2" w:rsidP="00F63BA2">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3310F80" w14:textId="77777777" w:rsidR="00F63BA2" w:rsidRPr="00690BD9" w:rsidRDefault="00F63BA2" w:rsidP="00F63BA2">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w:t>
      </w:r>
      <w:r w:rsidRPr="00690BD9">
        <w:rPr>
          <w:rFonts w:asciiTheme="minorHAnsi" w:hAnsiTheme="minorHAnsi" w:cstheme="minorHAnsi"/>
          <w:sz w:val="12"/>
        </w:rPr>
        <w:lastRenderedPageBreak/>
        <w:t xml:space="preserve">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0C2C4AA4" w14:textId="4385C56E" w:rsidR="00F63BA2" w:rsidRPr="00690BD9" w:rsidRDefault="00F63BA2" w:rsidP="00F63BA2">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5</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1A381E58" w14:textId="40BFAC0B" w:rsidR="00F63BA2" w:rsidRDefault="00F63BA2" w:rsidP="00F63BA2">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6</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27FA69B0" w14:textId="77777777" w:rsidR="00F63BA2" w:rsidRPr="00690BD9" w:rsidRDefault="00F63BA2" w:rsidP="00F63BA2">
      <w:pPr>
        <w:pStyle w:val="Heading4"/>
      </w:pPr>
      <w:r>
        <w:t xml:space="preserve">[7] </w:t>
      </w:r>
      <w:r w:rsidRPr="00690BD9">
        <w:rPr>
          <w:u w:val="single"/>
        </w:rPr>
        <w:t>Resource disparity</w:t>
      </w:r>
      <w:r w:rsidRPr="00690BD9">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p>
    <w:p w14:paraId="239A7779" w14:textId="77777777" w:rsidR="00D63945" w:rsidRDefault="00D63945" w:rsidP="00D63945">
      <w:pPr>
        <w:pStyle w:val="Heading2"/>
        <w:rPr>
          <w:rFonts w:asciiTheme="minorHAnsi" w:hAnsiTheme="minorHAnsi" w:cstheme="minorHAnsi"/>
        </w:rPr>
      </w:pPr>
      <w:bookmarkStart w:id="5" w:name="_Hlk95904731"/>
      <w:r w:rsidRPr="00690BD9">
        <w:rPr>
          <w:rFonts w:asciiTheme="minorHAnsi" w:hAnsiTheme="minorHAnsi" w:cstheme="minorHAnsi"/>
        </w:rPr>
        <w:lastRenderedPageBreak/>
        <w:t xml:space="preserve">1AC – Contention </w:t>
      </w:r>
    </w:p>
    <w:p w14:paraId="77E611C7" w14:textId="77777777" w:rsidR="00D63945" w:rsidRDefault="00D63945" w:rsidP="00D63945">
      <w:pPr>
        <w:pStyle w:val="Heading4"/>
      </w:pPr>
      <w:r>
        <w:t>I affirm; the appropriation of outer space by private entities is unjust.</w:t>
      </w:r>
    </w:p>
    <w:p w14:paraId="504501AB" w14:textId="77777777" w:rsidR="00D63945" w:rsidRDefault="00D63945" w:rsidP="00D63945">
      <w:pPr>
        <w:pStyle w:val="Heading4"/>
      </w:pPr>
      <w:r>
        <w:t>1] Out of the possibility of extraterrestrial reasoners, we have an obligation to respect their habitats and not interfere through exploration.</w:t>
      </w:r>
    </w:p>
    <w:p w14:paraId="025DD910" w14:textId="77777777" w:rsidR="00D63945" w:rsidRPr="005B0EF8" w:rsidRDefault="00D63945" w:rsidP="00D6394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655CE96A" w14:textId="77777777" w:rsidR="00D63945" w:rsidRDefault="00D63945" w:rsidP="00D63945">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87386F7" w14:textId="77777777" w:rsidR="00D63945" w:rsidRDefault="00D63945" w:rsidP="00D63945"/>
    <w:p w14:paraId="430D7B16" w14:textId="77777777" w:rsidR="00D63945" w:rsidRDefault="00D63945" w:rsidP="00D63945">
      <w:pPr>
        <w:pStyle w:val="Heading4"/>
      </w:pPr>
      <w:r>
        <w:t>2] Private entities are incapable of making omnilateral decisions as privatization entails that they withhold information which limits deliberation over making maxims.</w:t>
      </w:r>
    </w:p>
    <w:p w14:paraId="7737CE29" w14:textId="77777777" w:rsidR="00D63945" w:rsidRPr="00D90DB7" w:rsidRDefault="00D63945" w:rsidP="00D63945">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32ECEC90" w14:textId="77777777" w:rsidR="00D63945" w:rsidRPr="007176D2" w:rsidRDefault="00D63945" w:rsidP="00D63945">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w:t>
      </w:r>
      <w:r w:rsidRPr="007176D2">
        <w:rPr>
          <w:sz w:val="10"/>
        </w:rPr>
        <w:lastRenderedPageBreak/>
        <w:t xml:space="preserve">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463C18EB" w14:textId="77777777" w:rsidR="00D63945" w:rsidRDefault="00D63945" w:rsidP="00D63945"/>
    <w:p w14:paraId="0A94C997" w14:textId="77777777" w:rsidR="00D63945" w:rsidRDefault="00D63945" w:rsidP="00D63945">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09064DA5" w14:textId="77777777" w:rsidR="00D63945" w:rsidRDefault="00D63945" w:rsidP="00D63945">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51DD77BA" w14:textId="77777777" w:rsidR="00D63945" w:rsidRDefault="00D63945" w:rsidP="00D63945">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3846EAAB" w14:textId="77777777" w:rsidR="00D63945" w:rsidRDefault="00D63945" w:rsidP="00D63945">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C) The International Institute of Space Law proves</w:t>
      </w:r>
    </w:p>
    <w:p w14:paraId="13A582A2" w14:textId="77777777" w:rsidR="00D63945" w:rsidRPr="005662C9" w:rsidRDefault="00D63945" w:rsidP="00D63945">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1" w:history="1">
        <w:r w:rsidRPr="00CB5224">
          <w:rPr>
            <w:rStyle w:val="Hyperlink"/>
          </w:rPr>
          <w:t>https://www.sciencefocus.com/space/space-property-who-owns-it&lt;/span&gt;/</w:t>
        </w:r>
      </w:hyperlink>
      <w:r>
        <w:t xml:space="preserve"> // Dulles VN</w:t>
      </w:r>
    </w:p>
    <w:p w14:paraId="4F913287" w14:textId="77777777" w:rsidR="00D63945" w:rsidRPr="005662C9" w:rsidRDefault="00D63945" w:rsidP="00D63945">
      <w:pPr>
        <w:rPr>
          <w:sz w:val="14"/>
        </w:rPr>
      </w:pPr>
      <w:r w:rsidRPr="005662C9">
        <w:rPr>
          <w:sz w:val="14"/>
        </w:rPr>
        <w:lastRenderedPageBreak/>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04C4F4B" w14:textId="77777777" w:rsidR="00D63945" w:rsidRDefault="00D63945" w:rsidP="00D63945">
      <w:pPr>
        <w:rPr>
          <w:sz w:val="12"/>
        </w:rPr>
      </w:pPr>
    </w:p>
    <w:p w14:paraId="5A8AB973" w14:textId="77777777" w:rsidR="00D63945" w:rsidRPr="008F5337" w:rsidRDefault="00D63945" w:rsidP="00D63945">
      <w:pPr>
        <w:pStyle w:val="Heading4"/>
      </w:pPr>
      <w:r>
        <w:t xml:space="preserve">5] </w:t>
      </w:r>
      <w:r w:rsidRPr="008F5337">
        <w:t>Libertarianism turns don’t apply:</w:t>
      </w:r>
    </w:p>
    <w:p w14:paraId="16F95C61" w14:textId="77777777" w:rsidR="00D63945" w:rsidRPr="008F5337" w:rsidRDefault="00D63945" w:rsidP="00D63945">
      <w:pPr>
        <w:pStyle w:val="Heading4"/>
      </w:pPr>
      <w:r w:rsidRPr="008F5337">
        <w:t>A] Privatization of space inherently relies on an anti-libertarian state-based model</w:t>
      </w:r>
    </w:p>
    <w:p w14:paraId="7759A26B" w14:textId="77777777" w:rsidR="00D63945" w:rsidRPr="008F5337" w:rsidRDefault="00D63945" w:rsidP="00D63945">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44B8D104" w14:textId="77777777" w:rsidR="00D63945" w:rsidRPr="002A4607" w:rsidRDefault="00D63945" w:rsidP="00D6394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bookmarkEnd w:id="5"/>
    <w:p w14:paraId="013760E5" w14:textId="77777777" w:rsidR="00D63945" w:rsidRPr="00DE600B" w:rsidRDefault="00D63945" w:rsidP="00D63945">
      <w:pPr>
        <w:rPr>
          <w:rStyle w:val="Emphasis"/>
        </w:rPr>
      </w:pPr>
    </w:p>
    <w:p w14:paraId="448CEDE2" w14:textId="77777777" w:rsidR="00D63945" w:rsidRPr="00690BD9" w:rsidRDefault="00D63945" w:rsidP="00D63945">
      <w:pPr>
        <w:pStyle w:val="Heading2"/>
        <w:rPr>
          <w:rFonts w:asciiTheme="minorHAnsi" w:hAnsiTheme="minorHAnsi" w:cstheme="minorHAnsi"/>
        </w:rPr>
      </w:pPr>
      <w:bookmarkStart w:id="6" w:name="_Hlk95904843"/>
      <w:r w:rsidRPr="00690BD9">
        <w:rPr>
          <w:rFonts w:asciiTheme="minorHAnsi" w:hAnsiTheme="minorHAnsi" w:cstheme="minorHAnsi"/>
        </w:rPr>
        <w:lastRenderedPageBreak/>
        <w:t xml:space="preserve">1AC – Underview </w:t>
      </w:r>
    </w:p>
    <w:p w14:paraId="1BB04227" w14:textId="77777777" w:rsidR="00D63945" w:rsidRPr="00CA2DC4" w:rsidRDefault="00D63945" w:rsidP="00D63945">
      <w:pPr>
        <w:pStyle w:val="Heading4"/>
      </w:pPr>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53E6A02B" w14:textId="77777777" w:rsidR="00D63945" w:rsidRPr="00E649AB" w:rsidRDefault="00D63945" w:rsidP="00D63945"/>
    <w:p w14:paraId="519B6ED5" w14:textId="77777777" w:rsidR="00D63945" w:rsidRDefault="00D63945" w:rsidP="00D63945">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to win every round </w:t>
      </w:r>
      <w:r>
        <w:t>c)</w:t>
      </w:r>
      <w:r w:rsidRPr="003E7226">
        <w:t xml:space="preserve"> </w:t>
      </w:r>
      <w:r>
        <w:t>its key to compensate the structural skew</w:t>
      </w:r>
    </w:p>
    <w:p w14:paraId="52F7B9B8" w14:textId="77777777" w:rsidR="00D63945" w:rsidRPr="00DA1986" w:rsidRDefault="00D63945" w:rsidP="00D63945">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049CA79B" w14:textId="77777777" w:rsidR="00D63945" w:rsidRPr="008C1177" w:rsidRDefault="00D63945" w:rsidP="00D63945">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08D69E08" w14:textId="77777777" w:rsidR="00D63945" w:rsidRPr="00690BD9" w:rsidRDefault="00D63945" w:rsidP="00D63945">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2C795FA4" w14:textId="77777777" w:rsidR="00D63945" w:rsidRPr="00690BD9" w:rsidRDefault="00D63945" w:rsidP="00D63945">
      <w:pPr>
        <w:pStyle w:val="Heading4"/>
        <w:rPr>
          <w:rFonts w:asciiTheme="minorHAnsi" w:hAnsiTheme="minorHAnsi" w:cstheme="minorHAnsi"/>
        </w:rPr>
      </w:pPr>
      <w:bookmarkStart w:id="7" w:name="_Hlk96093244"/>
      <w:r w:rsidRPr="00690BD9">
        <w:rPr>
          <w:rFonts w:asciiTheme="minorHAnsi" w:hAnsiTheme="minorHAnsi" w:cstheme="minorHAnsi"/>
        </w:rPr>
        <w:t>4] The role of the ballot is to determine the truth or falsity of the resolution</w:t>
      </w:r>
    </w:p>
    <w:p w14:paraId="4756DC09" w14:textId="77777777" w:rsidR="00D63945" w:rsidRPr="00690BD9" w:rsidRDefault="00D63945" w:rsidP="00D63945">
      <w:pPr>
        <w:pStyle w:val="Heading4"/>
        <w:rPr>
          <w:rFonts w:asciiTheme="minorHAnsi" w:eastAsia="Times New Roman" w:hAnsiTheme="minorHAnsi" w:cstheme="minorHAnsi"/>
          <w:color w:val="000000" w:themeColor="text1"/>
          <w:spacing w:val="3"/>
          <w:shd w:val="clear" w:color="auto" w:fill="FFFFFF"/>
        </w:rPr>
      </w:pPr>
      <w:r w:rsidRPr="00690BD9">
        <w:rPr>
          <w:rFonts w:asciiTheme="minorHAnsi" w:hAnsiTheme="minorHAnsi" w:cstheme="minorHAnsi"/>
        </w:rPr>
        <w:t>[a]–reject their framing on inclusion – they exclude all offense except what follows from their specific fwk which shuts out those without the resources to prepare [b] the ballot says vote aff or neg based on a topic and five dictionaries</w:t>
      </w:r>
      <w:r w:rsidRPr="00690BD9">
        <w:rPr>
          <w:rFonts w:asciiTheme="minorHAnsi" w:hAnsiTheme="minorHAnsi" w:cstheme="minorHAnsi"/>
          <w:vertAlign w:val="superscript"/>
        </w:rPr>
        <w:footnoteReference w:id="1"/>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2"/>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bookmarkEnd w:id="7"/>
    <w:p w14:paraId="6A442DB8" w14:textId="77777777" w:rsidR="00D63945" w:rsidRPr="00690BD9" w:rsidRDefault="00D63945" w:rsidP="00D63945">
      <w:pPr>
        <w:pStyle w:val="Heading4"/>
        <w:rPr>
          <w:rFonts w:asciiTheme="minorHAnsi" w:hAnsiTheme="minorHAnsi" w:cstheme="minorHAnsi"/>
        </w:rPr>
      </w:pPr>
      <w:r w:rsidRPr="00690BD9">
        <w:rPr>
          <w:rFonts w:asciiTheme="minorHAnsi" w:hAnsiTheme="minorHAnsi" w:cstheme="minorHAnsi"/>
        </w:rPr>
        <w:t>5]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bookmarkEnd w:id="6"/>
    <w:p w14:paraId="14380BF3" w14:textId="4CB54B85" w:rsidR="00F63BA2" w:rsidRPr="00F63BA2" w:rsidRDefault="00F63BA2" w:rsidP="00F63BA2"/>
    <w:p w14:paraId="7B9872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5091" w14:textId="77777777" w:rsidR="004256D0" w:rsidRDefault="004256D0" w:rsidP="00D63945">
      <w:pPr>
        <w:spacing w:after="0" w:line="240" w:lineRule="auto"/>
      </w:pPr>
      <w:r>
        <w:separator/>
      </w:r>
    </w:p>
  </w:endnote>
  <w:endnote w:type="continuationSeparator" w:id="0">
    <w:p w14:paraId="03AD2434" w14:textId="77777777" w:rsidR="004256D0" w:rsidRDefault="004256D0" w:rsidP="00D63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D02F3" w14:textId="77777777" w:rsidR="004256D0" w:rsidRDefault="004256D0" w:rsidP="00D63945">
      <w:pPr>
        <w:spacing w:after="0" w:line="240" w:lineRule="auto"/>
      </w:pPr>
      <w:r>
        <w:separator/>
      </w:r>
    </w:p>
  </w:footnote>
  <w:footnote w:type="continuationSeparator" w:id="0">
    <w:p w14:paraId="0B3F2059" w14:textId="77777777" w:rsidR="004256D0" w:rsidRDefault="004256D0" w:rsidP="00D63945">
      <w:pPr>
        <w:spacing w:after="0" w:line="240" w:lineRule="auto"/>
      </w:pPr>
      <w:r>
        <w:continuationSeparator/>
      </w:r>
    </w:p>
  </w:footnote>
  <w:footnote w:id="1">
    <w:p w14:paraId="549ACDA0" w14:textId="77777777" w:rsidR="00D63945" w:rsidRPr="00752E9C" w:rsidRDefault="00D63945" w:rsidP="00D63945">
      <w:pPr>
        <w:ind w:right="-1440"/>
        <w:rPr>
          <w:sz w:val="16"/>
          <w:szCs w:val="16"/>
        </w:rPr>
      </w:pPr>
      <w:r w:rsidRPr="00752E9C">
        <w:rPr>
          <w:rStyle w:val="FootnoteReference"/>
          <w:sz w:val="16"/>
          <w:szCs w:val="16"/>
        </w:rPr>
        <w:footnoteRef/>
      </w:r>
      <w:r w:rsidRPr="00752E9C">
        <w:rPr>
          <w:sz w:val="16"/>
          <w:szCs w:val="16"/>
        </w:rPr>
        <w:t xml:space="preserve"> </w:t>
      </w:r>
      <w:bookmarkStart w:id="8"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8"/>
    </w:p>
  </w:footnote>
  <w:footnote w:id="2">
    <w:p w14:paraId="51CF4E89" w14:textId="77777777" w:rsidR="00D63945" w:rsidRPr="00855FDC" w:rsidRDefault="00D63945" w:rsidP="00D6394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3BA2"/>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B766F"/>
    <w:rsid w:val="00315690"/>
    <w:rsid w:val="00316B75"/>
    <w:rsid w:val="00325646"/>
    <w:rsid w:val="003460F2"/>
    <w:rsid w:val="0038158C"/>
    <w:rsid w:val="003902BA"/>
    <w:rsid w:val="003A09E2"/>
    <w:rsid w:val="00407037"/>
    <w:rsid w:val="004256D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2E7B"/>
    <w:rsid w:val="0091627E"/>
    <w:rsid w:val="0097032B"/>
    <w:rsid w:val="009D2EAD"/>
    <w:rsid w:val="009D54B2"/>
    <w:rsid w:val="009E1922"/>
    <w:rsid w:val="009F7ED2"/>
    <w:rsid w:val="00A93661"/>
    <w:rsid w:val="00A95652"/>
    <w:rsid w:val="00AC0AB8"/>
    <w:rsid w:val="00B33C6D"/>
    <w:rsid w:val="00B4508F"/>
    <w:rsid w:val="00B55AD5"/>
    <w:rsid w:val="00B6523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3945"/>
    <w:rsid w:val="00D6691E"/>
    <w:rsid w:val="00D71170"/>
    <w:rsid w:val="00DA1C92"/>
    <w:rsid w:val="00DA25D4"/>
    <w:rsid w:val="00DA2FD7"/>
    <w:rsid w:val="00DA6538"/>
    <w:rsid w:val="00E15E75"/>
    <w:rsid w:val="00E5262C"/>
    <w:rsid w:val="00EC7DC4"/>
    <w:rsid w:val="00ED30CF"/>
    <w:rsid w:val="00F176EF"/>
    <w:rsid w:val="00F45E10"/>
    <w:rsid w:val="00F5611F"/>
    <w:rsid w:val="00F6364A"/>
    <w:rsid w:val="00F63BA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1373"/>
  <w15:chartTrackingRefBased/>
  <w15:docId w15:val="{D10CD3AF-E924-47BD-AC05-7C9AA92C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3BA2"/>
    <w:rPr>
      <w:rFonts w:ascii="Calibri" w:hAnsi="Calibri"/>
    </w:rPr>
  </w:style>
  <w:style w:type="paragraph" w:styleId="Heading1">
    <w:name w:val="heading 1"/>
    <w:aliases w:val="Pocket"/>
    <w:basedOn w:val="Normal"/>
    <w:next w:val="Normal"/>
    <w:link w:val="Heading1Char"/>
    <w:qFormat/>
    <w:rsid w:val="00F63B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3B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3B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F63B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3B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BA2"/>
  </w:style>
  <w:style w:type="character" w:customStyle="1" w:styleId="Heading1Char">
    <w:name w:val="Heading 1 Char"/>
    <w:aliases w:val="Pocket Char"/>
    <w:basedOn w:val="DefaultParagraphFont"/>
    <w:link w:val="Heading1"/>
    <w:rsid w:val="00F63B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3B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3BA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F63BA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F63BA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3BA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F63BA2"/>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F63BA2"/>
    <w:rPr>
      <w:color w:val="auto"/>
      <w:u w:val="none"/>
    </w:rPr>
  </w:style>
  <w:style w:type="character" w:styleId="FollowedHyperlink">
    <w:name w:val="FollowedHyperlink"/>
    <w:basedOn w:val="DefaultParagraphFont"/>
    <w:uiPriority w:val="99"/>
    <w:semiHidden/>
    <w:unhideWhenUsed/>
    <w:rsid w:val="00F63BA2"/>
    <w:rPr>
      <w:color w:val="auto"/>
      <w:u w:val="none"/>
    </w:rPr>
  </w:style>
  <w:style w:type="paragraph" w:customStyle="1" w:styleId="textbold">
    <w:name w:val="text bold"/>
    <w:basedOn w:val="Normal"/>
    <w:link w:val="Emphasis"/>
    <w:uiPriority w:val="7"/>
    <w:qFormat/>
    <w:rsid w:val="00D63945"/>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D6394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D63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focus.com/space/space-property-who-owns-it%3c/span%3e/" TargetMode="External"/><Relationship Id="rId5" Type="http://schemas.openxmlformats.org/officeDocument/2006/relationships/webSettings" Target="webSettings.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4961</Words>
  <Characters>28281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2022-02-19T15:12:00Z</dcterms:created>
  <dcterms:modified xsi:type="dcterms:W3CDTF">2022-02-19T15:23:00Z</dcterms:modified>
</cp:coreProperties>
</file>