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ACFF4" w14:textId="77777777" w:rsidR="00964CBE" w:rsidRDefault="00964CBE" w:rsidP="00964CBE">
      <w:pPr>
        <w:pStyle w:val="Heading2"/>
      </w:pPr>
      <w:r>
        <w:t>Framing</w:t>
      </w:r>
    </w:p>
    <w:p w14:paraId="50E8B562" w14:textId="319A1FA6" w:rsidR="00964CBE" w:rsidRDefault="00964CBE" w:rsidP="00964CBE">
      <w:pPr>
        <w:pStyle w:val="Heading4"/>
        <w:spacing w:before="0" w:after="80" w:line="276" w:lineRule="auto"/>
      </w:pPr>
      <w:r w:rsidRPr="00776884">
        <w:t>The starting point of morality is practical reason.</w:t>
      </w:r>
    </w:p>
    <w:p w14:paraId="0A83401B" w14:textId="6448A581" w:rsidR="00964CBE" w:rsidRPr="00776884" w:rsidRDefault="00964CBE" w:rsidP="00964CBE">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683EF491" w14:textId="77777777" w:rsidR="00964CBE" w:rsidRPr="00776884" w:rsidRDefault="00964CBE" w:rsidP="00964CBE">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523957AF" w14:textId="77777777" w:rsidR="00964CBE" w:rsidRPr="00776884" w:rsidRDefault="00964CBE" w:rsidP="00964CBE">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7CE5BBD2" w14:textId="5754E237" w:rsidR="00964CBE" w:rsidRDefault="00964CBE" w:rsidP="00964CBE">
      <w:pPr>
        <w:pStyle w:val="Heading4"/>
        <w:spacing w:before="0" w:after="80" w:line="276" w:lineRule="auto"/>
        <w:rPr>
          <w:rFonts w:cs="Times New Roman"/>
          <w:color w:val="000000" w:themeColor="text1"/>
        </w:rPr>
      </w:pPr>
      <w:r w:rsidRPr="00776884">
        <w:t xml:space="preserve">And, reason must be universal – a reason for one agent is a reason for another agent. I can’t say 2+2=4 is true for me but not for you – that’s incoherent. any non-universalizable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6E774C1E" w14:textId="77777777" w:rsidR="00813C4D" w:rsidRPr="00813C4D" w:rsidRDefault="00813C4D" w:rsidP="00813C4D"/>
    <w:p w14:paraId="14637309" w14:textId="77777777" w:rsidR="00964CBE" w:rsidRDefault="00964CBE" w:rsidP="00964CBE">
      <w:pPr>
        <w:pStyle w:val="Heading4"/>
        <w:rPr>
          <w:rFonts w:cs="Calibri"/>
        </w:rPr>
      </w:pPr>
      <w:r w:rsidRPr="00F62B66">
        <w:rPr>
          <w:rFonts w:cs="Calibri"/>
        </w:rPr>
        <w:lastRenderedPageBreak/>
        <w:t>The standard is consistency with a libertarian state of non-interference</w:t>
      </w:r>
      <w:r w:rsidRPr="00776884">
        <w:rPr>
          <w:rFonts w:cs="Calibri"/>
        </w:rPr>
        <w:t>.</w:t>
      </w:r>
    </w:p>
    <w:p w14:paraId="4640CA9B" w14:textId="77777777" w:rsidR="00964CBE" w:rsidRPr="00776884" w:rsidRDefault="00964CBE" w:rsidP="00964CBE">
      <w:pPr>
        <w:pStyle w:val="Heading4"/>
        <w:rPr>
          <w:rFonts w:cs="Calibri"/>
        </w:rPr>
      </w:pPr>
      <w:r w:rsidRPr="00776884">
        <w:rPr>
          <w:rFonts w:cs="Calibri"/>
        </w:rPr>
        <w:t xml:space="preserve"> Prefer:</w:t>
      </w:r>
    </w:p>
    <w:p w14:paraId="3EA967D6" w14:textId="77777777" w:rsidR="00964CBE" w:rsidRPr="00776884" w:rsidRDefault="00964CBE" w:rsidP="00964CBE">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04015A2F" w14:textId="77777777" w:rsidR="00964CBE" w:rsidRDefault="00964CBE" w:rsidP="00964CBE">
      <w:pPr>
        <w:pStyle w:val="Heading4"/>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r>
        <w:t xml:space="preserve"> </w:t>
      </w:r>
    </w:p>
    <w:p w14:paraId="5D66C0EB" w14:textId="77777777" w:rsidR="00134E4D" w:rsidRPr="0090531C" w:rsidRDefault="00134E4D" w:rsidP="00134E4D">
      <w:pPr>
        <w:pStyle w:val="Heading4"/>
        <w:rPr>
          <w:rFonts w:cs="Calibri"/>
        </w:rPr>
      </w:pPr>
      <w:r w:rsidRPr="005B0098">
        <w:rPr>
          <w:rFonts w:cs="Calibri"/>
        </w:rPr>
        <w:t>[</w:t>
      </w:r>
      <w:r>
        <w:rPr>
          <w:rFonts w:cs="Calibri"/>
        </w:rPr>
        <w:t>3</w:t>
      </w:r>
      <w:r w:rsidRPr="005B0098">
        <w:rPr>
          <w:rFonts w:cs="Calibri"/>
        </w:rPr>
        <w:t xml:space="preserve">] </w:t>
      </w:r>
      <w:bookmarkStart w:id="1" w:name="_Hlk55231702"/>
      <w:r w:rsidRPr="00A32F8E">
        <w:rPr>
          <w:rFonts w:cs="Calibri"/>
          <w:u w:val="single"/>
        </w:rPr>
        <w:t>Consequences Fail</w:t>
      </w:r>
      <w:r w:rsidRPr="005B0098">
        <w:rPr>
          <w:rFonts w:cs="Calibri"/>
        </w:rPr>
        <w:t xml:space="preserve">: [A] Every action has infinite stemming consequences, because every consequence can cause another consequence. [B] </w:t>
      </w:r>
      <w:r w:rsidRPr="00A32F8E">
        <w:rPr>
          <w:rFonts w:cs="Calibri"/>
          <w:u w:val="single"/>
        </w:rPr>
        <w:t>Induction is circular</w:t>
      </w:r>
      <w:r w:rsidRPr="005B0098">
        <w:rPr>
          <w:rFonts w:cs="Calibri"/>
        </w:rPr>
        <w:t xml:space="preserve"> because it relies on the assumption that nature will hold uniform and we could only reach that conclusion through inductive reasoning based on observation of past events. [C] </w:t>
      </w:r>
      <w:r w:rsidRPr="00A32F8E">
        <w:rPr>
          <w:rFonts w:cs="Calibri"/>
          <w:u w:val="single"/>
        </w:rPr>
        <w:t>Aggregation Fails</w:t>
      </w:r>
      <w:r w:rsidRPr="005B0098">
        <w:rPr>
          <w:rFonts w:cs="Calibri"/>
        </w:rPr>
        <w:t xml:space="preserve"> </w:t>
      </w:r>
      <w:r>
        <w:rPr>
          <w:rFonts w:cs="Calibri"/>
        </w:rPr>
        <w:t>–</w:t>
      </w:r>
      <w:r w:rsidRPr="005B0098">
        <w:rPr>
          <w:rFonts w:cs="Calibri"/>
        </w:rPr>
        <w:t xml:space="preserve"> suffering is not additive can’t compare between one migraine and 10 headaches</w:t>
      </w:r>
      <w:r>
        <w:rPr>
          <w:rFonts w:cs="Calibri"/>
        </w:rPr>
        <w:t xml:space="preserve"> [D] </w:t>
      </w:r>
      <w:r w:rsidRPr="00A32F8E">
        <w:rPr>
          <w:rFonts w:cs="Calibri"/>
          <w:u w:val="single"/>
        </w:rPr>
        <w:t>Predictions are impossible</w:t>
      </w:r>
      <w:r>
        <w:rPr>
          <w:rFonts w:cs="Calibri"/>
        </w:rPr>
        <w:t xml:space="preserve"> because anything could lead to a butterfly effect of unexpected consequences i.e. sneezing becoming a tornado and killing thousands</w:t>
      </w:r>
      <w:bookmarkStart w:id="2" w:name="_Hlk55231740"/>
      <w:bookmarkEnd w:id="1"/>
    </w:p>
    <w:p w14:paraId="4A03E943" w14:textId="77777777" w:rsidR="00134E4D" w:rsidRDefault="00134E4D" w:rsidP="00134E4D">
      <w:pPr>
        <w:pStyle w:val="Heading4"/>
      </w:pPr>
      <w:r>
        <w:t xml:space="preserve">[4] There is an </w:t>
      </w:r>
      <w:r w:rsidRPr="00A32F8E">
        <w:rPr>
          <w:u w:val="single"/>
        </w:rPr>
        <w:t>intent-foresight distinction</w:t>
      </w:r>
      <w:r>
        <w:t xml:space="preserve">. </w:t>
      </w:r>
      <w:bookmarkEnd w:id="2"/>
      <w:r>
        <w:t xml:space="preserve">Multiple people can intend the same action looking for different consequences i.e. going home to avoid work vs to see family </w:t>
      </w:r>
    </w:p>
    <w:p w14:paraId="7F62A885" w14:textId="68954DBF" w:rsidR="005128F2" w:rsidRPr="00BC40AE" w:rsidRDefault="005128F2" w:rsidP="005128F2">
      <w:pPr>
        <w:pStyle w:val="Heading4"/>
      </w:pPr>
      <w:r>
        <w:t>[</w:t>
      </w:r>
      <w:r w:rsidR="000A457E">
        <w:t>5</w:t>
      </w:r>
      <w:r>
        <w:t xml:space="preserve">] </w:t>
      </w:r>
      <w:r w:rsidRPr="00BC40AE">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4FA11488" w14:textId="77777777" w:rsidR="00964CBE" w:rsidRPr="0089001B" w:rsidRDefault="00964CBE" w:rsidP="00964CBE"/>
    <w:p w14:paraId="719D7414" w14:textId="77777777" w:rsidR="00964CBE" w:rsidRDefault="00964CBE" w:rsidP="00964CBE">
      <w:pPr>
        <w:pStyle w:val="Heading2"/>
      </w:pPr>
      <w:r>
        <w:lastRenderedPageBreak/>
        <w:t>Offense</w:t>
      </w:r>
    </w:p>
    <w:p w14:paraId="62531032" w14:textId="77777777" w:rsidR="006006EF" w:rsidRPr="00266233" w:rsidRDefault="006006EF" w:rsidP="006006EF">
      <w:pPr>
        <w:pStyle w:val="Heading4"/>
        <w:rPr>
          <w:szCs w:val="26"/>
        </w:rPr>
      </w:pPr>
      <w:r w:rsidRPr="00266233">
        <w:t xml:space="preserve">I affirm the resolution as a general principle, that </w:t>
      </w:r>
      <w:r>
        <w:t>the member nations of the World Trade Organization ought to reduce intellectual property for medicines</w:t>
      </w:r>
      <w:r w:rsidRPr="00266233">
        <w:t xml:space="preserve">. CPs, Spec, and PICs </w:t>
      </w:r>
      <w:r>
        <w:t>don’t negate</w:t>
      </w:r>
      <w:r w:rsidRPr="00266233">
        <w:t xml:space="preserve"> since they do not disprove my general thesis. </w:t>
      </w:r>
    </w:p>
    <w:p w14:paraId="50B246CD" w14:textId="77777777" w:rsidR="006006EF" w:rsidRDefault="006006EF" w:rsidP="00964CBE">
      <w:pPr>
        <w:pStyle w:val="Heading4"/>
      </w:pPr>
    </w:p>
    <w:p w14:paraId="407B18D4" w14:textId="28D8D769" w:rsidR="00964CBE" w:rsidRDefault="006006EF" w:rsidP="00964CBE">
      <w:pPr>
        <w:pStyle w:val="Heading4"/>
      </w:pPr>
      <w:r>
        <w:t xml:space="preserve">Now </w:t>
      </w:r>
      <w:r w:rsidR="00964CBE">
        <w:t>Affirm</w:t>
      </w:r>
      <w:r>
        <w:t>:</w:t>
      </w:r>
    </w:p>
    <w:p w14:paraId="2AE76494" w14:textId="52022373" w:rsidR="0089246B" w:rsidRPr="0089246B" w:rsidRDefault="00964CBE" w:rsidP="00072A4B">
      <w:pPr>
        <w:pStyle w:val="Heading4"/>
      </w:pPr>
      <w:r>
        <w:t>[1]Intellectual property is coercive by restricting what people can do with their property</w:t>
      </w:r>
    </w:p>
    <w:p w14:paraId="032F217E" w14:textId="77777777" w:rsidR="00964CBE" w:rsidRDefault="00964CBE" w:rsidP="00964CBE">
      <w:pPr>
        <w:rPr>
          <w:sz w:val="16"/>
          <w:szCs w:val="18"/>
        </w:rPr>
      </w:pPr>
      <w:proofErr w:type="spellStart"/>
      <w:r w:rsidRPr="002D7188">
        <w:rPr>
          <w:rStyle w:val="Style13ptBold"/>
        </w:rPr>
        <w:t>Krawisz</w:t>
      </w:r>
      <w:proofErr w:type="spellEnd"/>
      <w:r w:rsidRPr="002D7188">
        <w:rPr>
          <w:rStyle w:val="Style13ptBold"/>
        </w:rPr>
        <w:t xml:space="preserve"> 9</w:t>
      </w:r>
      <w:r>
        <w:t xml:space="preserve"> </w:t>
      </w:r>
      <w:r w:rsidRPr="002D7188">
        <w:rPr>
          <w:sz w:val="16"/>
          <w:szCs w:val="16"/>
        </w:rPr>
        <w:t>[</w:t>
      </w:r>
      <w:proofErr w:type="spellStart"/>
      <w:r w:rsidRPr="002D7188">
        <w:rPr>
          <w:sz w:val="16"/>
          <w:szCs w:val="16"/>
        </w:rPr>
        <w:t>Kra</w:t>
      </w:r>
      <w:r w:rsidRPr="002D7188">
        <w:rPr>
          <w:sz w:val="16"/>
          <w:szCs w:val="18"/>
        </w:rPr>
        <w:t>wisz</w:t>
      </w:r>
      <w:proofErr w:type="spellEnd"/>
      <w:r w:rsidRPr="002D7188">
        <w:rPr>
          <w:sz w:val="16"/>
          <w:szCs w:val="18"/>
        </w:rPr>
        <w:t>, Daniel. “The Fallacy of Intellectual Property.” Mises Institute, 8 Aug. 2009, mises.org/library/fallacy-intellectual-property.</w:t>
      </w:r>
      <w:r>
        <w:rPr>
          <w:sz w:val="16"/>
          <w:szCs w:val="18"/>
        </w:rPr>
        <w:t>//</w:t>
      </w:r>
      <w:proofErr w:type="spellStart"/>
      <w:r>
        <w:rPr>
          <w:sz w:val="16"/>
          <w:szCs w:val="18"/>
        </w:rPr>
        <w:t>dhs</w:t>
      </w:r>
      <w:proofErr w:type="spellEnd"/>
      <w:r>
        <w:rPr>
          <w:sz w:val="16"/>
          <w:szCs w:val="18"/>
        </w:rPr>
        <w:t xml:space="preserve"> NJ]</w:t>
      </w:r>
    </w:p>
    <w:p w14:paraId="42249A0B" w14:textId="77777777" w:rsidR="00964CBE" w:rsidRDefault="00964CBE" w:rsidP="00964CBE">
      <w:pPr>
        <w:rPr>
          <w:rStyle w:val="Emphasis"/>
        </w:rPr>
      </w:pPr>
      <w:r w:rsidRPr="002D7188">
        <w:rPr>
          <w:rStyle w:val="Emphasis"/>
        </w:rPr>
        <w:t xml:space="preserve">Intellectual property is </w:t>
      </w:r>
      <w:r w:rsidRPr="007D1C1D">
        <w:rPr>
          <w:rStyle w:val="Emphasis"/>
          <w:highlight w:val="green"/>
        </w:rPr>
        <w:t>the principle that the creator</w:t>
      </w:r>
      <w:r w:rsidRPr="002D7188">
        <w:rPr>
          <w:rStyle w:val="Emphasis"/>
        </w:rPr>
        <w:t xml:space="preserve"> of an idea </w:t>
      </w:r>
      <w:r w:rsidRPr="007D1C1D">
        <w:rPr>
          <w:rStyle w:val="Emphasis"/>
          <w:highlight w:val="green"/>
        </w:rPr>
        <w:t>has</w:t>
      </w:r>
      <w:r w:rsidRPr="002D7188">
        <w:rPr>
          <w:rStyle w:val="Emphasis"/>
        </w:rPr>
        <w:t xml:space="preserve"> a right to certain </w:t>
      </w:r>
      <w:r w:rsidRPr="007D1C1D">
        <w:rPr>
          <w:rStyle w:val="Emphasis"/>
          <w:highlight w:val="green"/>
        </w:rPr>
        <w:t>controls over</w:t>
      </w:r>
      <w:r w:rsidRPr="002D7188">
        <w:rPr>
          <w:rStyle w:val="Emphasis"/>
        </w:rPr>
        <w:t xml:space="preserve"> all the </w:t>
      </w:r>
      <w:r w:rsidRPr="007D1C1D">
        <w:rPr>
          <w:rStyle w:val="Emphasis"/>
          <w:highlight w:val="green"/>
        </w:rPr>
        <w:t>physical forms in which his idea is recorded</w:t>
      </w:r>
      <w:r w:rsidRPr="002D7188">
        <w:rPr>
          <w:rStyle w:val="Emphasis"/>
        </w:rPr>
        <w:t xml:space="preserve">. The extent of this control may be different </w:t>
      </w:r>
      <w:r w:rsidRPr="007D1C1D">
        <w:rPr>
          <w:rStyle w:val="Emphasis"/>
          <w:highlight w:val="green"/>
        </w:rPr>
        <w:t>depending on whether the idea is</w:t>
      </w:r>
      <w:r w:rsidRPr="002D7188">
        <w:rPr>
          <w:rStyle w:val="Emphasis"/>
        </w:rPr>
        <w:t xml:space="preserve"> considered copyrighted, </w:t>
      </w:r>
      <w:r w:rsidRPr="007D1C1D">
        <w:rPr>
          <w:rStyle w:val="Emphasis"/>
          <w:highlight w:val="green"/>
        </w:rPr>
        <w:t>patented</w:t>
      </w:r>
      <w:r w:rsidRPr="002D7188">
        <w:rPr>
          <w:rStyle w:val="Emphasis"/>
        </w:rPr>
        <w:t>, or trademarked, but the essential principle is the same in all cases</w:t>
      </w:r>
      <w:r w:rsidRPr="002D7188">
        <w:rPr>
          <w:sz w:val="10"/>
        </w:rPr>
        <w:t xml:space="preserve">.[1] This presumed right of the creator of an idea is often believed to be similar to the right that a homesteader has to land he has settled, but the analogy is false. Intellectual property </w:t>
      </w:r>
      <w:r w:rsidRPr="007D1C1D">
        <w:rPr>
          <w:rStyle w:val="Emphasis"/>
          <w:highlight w:val="green"/>
        </w:rPr>
        <w:t>is</w:t>
      </w:r>
      <w:r w:rsidRPr="002D7188">
        <w:rPr>
          <w:rStyle w:val="Emphasis"/>
        </w:rPr>
        <w:t xml:space="preserve"> necessarily a </w:t>
      </w:r>
      <w:r w:rsidRPr="007D1C1D">
        <w:rPr>
          <w:rStyle w:val="Emphasis"/>
          <w:highlight w:val="green"/>
        </w:rPr>
        <w:t>statist</w:t>
      </w:r>
      <w:r w:rsidRPr="002D7188">
        <w:rPr>
          <w:rStyle w:val="Emphasis"/>
        </w:rPr>
        <w:t xml:space="preserve"> doctrine.</w:t>
      </w:r>
      <w:r w:rsidRPr="002D7188">
        <w:rPr>
          <w:sz w:val="1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RPr="002D7188">
        <w:rPr>
          <w:rStyle w:val="Emphasis"/>
        </w:rPr>
        <w:t xml:space="preserve">] </w:t>
      </w:r>
      <w:r w:rsidRPr="007D1C1D">
        <w:rPr>
          <w:rStyle w:val="Emphasis"/>
          <w:highlight w:val="green"/>
        </w:rPr>
        <w:t>Ideas</w:t>
      </w:r>
      <w:r w:rsidRPr="002D7188">
        <w:rPr>
          <w:rStyle w:val="Emphasis"/>
        </w:rPr>
        <w:t xml:space="preserve"> cannot themselves be controlled with physical force, but instead </w:t>
      </w:r>
      <w:r w:rsidRPr="007D1C1D">
        <w:rPr>
          <w:rStyle w:val="Emphasis"/>
          <w:highlight w:val="green"/>
        </w:rPr>
        <w:t>must be controlled by way of other things</w:t>
      </w:r>
      <w:r w:rsidRPr="002D7188">
        <w:rPr>
          <w:rStyle w:val="Emphasis"/>
        </w:rPr>
        <w:t xml:space="preserve"> — paper, printing presses, computers, and people. It is therefore in these things that intellectual property consists. </w:t>
      </w:r>
      <w:r w:rsidRPr="007D1C1D">
        <w:rPr>
          <w:rStyle w:val="Emphasis"/>
          <w:highlight w:val="green"/>
        </w:rPr>
        <w:t>To own a patent</w:t>
      </w:r>
      <w:r w:rsidRPr="002D7188">
        <w:rPr>
          <w:rStyle w:val="Emphasis"/>
        </w:rPr>
        <w:t xml:space="preserve"> in a given invention </w:t>
      </w:r>
      <w:r w:rsidRPr="007D1C1D">
        <w:rPr>
          <w:rStyle w:val="Emphasis"/>
          <w:highlight w:val="green"/>
        </w:rPr>
        <w:t>is to have rights over everything in the universe that might</w:t>
      </w:r>
      <w:r w:rsidRPr="002D7188">
        <w:rPr>
          <w:rStyle w:val="Emphasis"/>
        </w:rPr>
        <w:t xml:space="preserve"> be used to </w:t>
      </w:r>
      <w:r w:rsidRPr="007D1C1D">
        <w:rPr>
          <w:rStyle w:val="Emphasis"/>
          <w:highlight w:val="green"/>
        </w:rPr>
        <w:t>replicate that invention</w:t>
      </w:r>
      <w:r w:rsidRPr="002D7188">
        <w:rPr>
          <w:rStyle w:val="Emphasis"/>
        </w:rPr>
        <w:t xml:space="preserve">. This ownership is limited; </w:t>
      </w:r>
      <w:r w:rsidRPr="007D1C1D">
        <w:rPr>
          <w:rStyle w:val="Emphasis"/>
          <w:highlight w:val="green"/>
        </w:rPr>
        <w:t>one</w:t>
      </w:r>
      <w:r w:rsidRPr="002D7188">
        <w:rPr>
          <w:rStyle w:val="Emphasis"/>
        </w:rPr>
        <w:t xml:space="preserve"> only </w:t>
      </w:r>
      <w:r w:rsidRPr="007D1C1D">
        <w:rPr>
          <w:rStyle w:val="Emphasis"/>
          <w:highlight w:val="green"/>
        </w:rPr>
        <w:t>owns things to the extent of being able to prevent others from arranging them in a particular way</w:t>
      </w:r>
      <w:r w:rsidRPr="002D7188">
        <w:rPr>
          <w:rStyle w:val="Emphasis"/>
        </w:rPr>
        <w:t>. Similarly, to have a copyright in a song or a book is to have a property right over all paper, printing presses, computers — even over all people — everywhere. The owner may prevent the copying or public performance of his work by them all.</w:t>
      </w:r>
      <w:r w:rsidRPr="002D7188">
        <w:rPr>
          <w:sz w:val="1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RPr="002D7188">
        <w:rPr>
          <w:rStyle w:val="Emphasis"/>
        </w:rPr>
        <w:t xml:space="preserve">Anything that gives control over physical things necessarily limits others' control of those things, and therefore acts exactly like a physical property right. If you have an </w:t>
      </w:r>
      <w:r w:rsidRPr="007D1C1D">
        <w:rPr>
          <w:rStyle w:val="Emphasis"/>
          <w:highlight w:val="green"/>
        </w:rPr>
        <w:t>intellectual property right to your monograph</w:t>
      </w:r>
      <w:r w:rsidRPr="002D7188">
        <w:rPr>
          <w:rStyle w:val="Emphasis"/>
        </w:rPr>
        <w:t xml:space="preserve">, you may </w:t>
      </w:r>
      <w:r w:rsidRPr="007D1C1D">
        <w:rPr>
          <w:rStyle w:val="Emphasis"/>
          <w:highlight w:val="green"/>
        </w:rPr>
        <w:t>prevent me from copying it, thereby limiting the</w:t>
      </w:r>
      <w:r w:rsidRPr="002D7188">
        <w:rPr>
          <w:rStyle w:val="Emphasis"/>
        </w:rPr>
        <w:t xml:space="preserve"> physical property </w:t>
      </w:r>
      <w:r w:rsidRPr="007D1C1D">
        <w:rPr>
          <w:rStyle w:val="Emphasis"/>
          <w:highlight w:val="green"/>
        </w:rPr>
        <w:t>right I have in my ink, pen, and paper</w:t>
      </w:r>
      <w:r w:rsidRPr="002D7188">
        <w:rPr>
          <w:rStyle w:val="Emphasis"/>
        </w:rPr>
        <w:t>.</w:t>
      </w:r>
    </w:p>
    <w:p w14:paraId="1136657A" w14:textId="0A0A55C4" w:rsidR="00964CBE" w:rsidRDefault="00964CBE" w:rsidP="00964CBE">
      <w:pPr>
        <w:pStyle w:val="Heading4"/>
      </w:pPr>
      <w:r>
        <w:t xml:space="preserve">[2] The intention of intellectual property is to discriminate and help preserve rights for only a select few. </w:t>
      </w:r>
    </w:p>
    <w:p w14:paraId="6EDFBCC1" w14:textId="77777777" w:rsidR="00964CBE" w:rsidRDefault="00964CBE" w:rsidP="00964CBE">
      <w:pPr>
        <w:pStyle w:val="Heading4"/>
      </w:pPr>
      <w:proofErr w:type="spellStart"/>
      <w:r>
        <w:t>Kanning</w:t>
      </w:r>
      <w:proofErr w:type="spellEnd"/>
      <w:r>
        <w:t xml:space="preserve"> 12</w:t>
      </w:r>
    </w:p>
    <w:p w14:paraId="1859243D" w14:textId="77777777" w:rsidR="00964CBE" w:rsidRPr="00A50888" w:rsidRDefault="00964CBE" w:rsidP="00964CBE">
      <w:r w:rsidRPr="00A50888">
        <w:t>[</w:t>
      </w:r>
      <w:proofErr w:type="spellStart"/>
      <w:r w:rsidRPr="00A50888">
        <w:t>Kanning</w:t>
      </w:r>
      <w:proofErr w:type="spellEnd"/>
      <w:r w:rsidRPr="00A50888">
        <w:t xml:space="preserve">, Michael A., "A Philosophical Analysis of Intellectual Property: In Defense of Instrumentalism" (2012). Graduate Theses and Dissertations. </w:t>
      </w:r>
      <w:hyperlink r:id="rId8" w:history="1">
        <w:r w:rsidRPr="00AA4ECC">
          <w:rPr>
            <w:rStyle w:val="Hyperlink"/>
          </w:rPr>
          <w:t>http://scholarcommons.usf.edu/etd/4094]//</w:t>
        </w:r>
      </w:hyperlink>
      <w:r>
        <w:t xml:space="preserve"> </w:t>
      </w:r>
      <w:proofErr w:type="spellStart"/>
      <w:r>
        <w:t>RaZ</w:t>
      </w:r>
      <w:proofErr w:type="spellEnd"/>
    </w:p>
    <w:p w14:paraId="2ECFEFD5" w14:textId="77777777" w:rsidR="00964CBE" w:rsidRPr="006468DA" w:rsidRDefault="00964CBE" w:rsidP="00964CBE">
      <w:pPr>
        <w:rPr>
          <w:sz w:val="16"/>
        </w:rPr>
      </w:pPr>
      <w:proofErr w:type="spellStart"/>
      <w:r w:rsidRPr="006468DA">
        <w:rPr>
          <w:sz w:val="16"/>
        </w:rPr>
        <w:lastRenderedPageBreak/>
        <w:t>Drahos</w:t>
      </w:r>
      <w:proofErr w:type="spellEnd"/>
      <w:r w:rsidRPr="006468DA">
        <w:rPr>
          <w:sz w:val="16"/>
        </w:rPr>
        <w:t xml:space="preserve"> has other reservations with </w:t>
      </w:r>
      <w:proofErr w:type="spellStart"/>
      <w:r w:rsidRPr="006468DA">
        <w:rPr>
          <w:sz w:val="16"/>
        </w:rPr>
        <w:t>proprietarianism</w:t>
      </w:r>
      <w:proofErr w:type="spellEnd"/>
      <w:r w:rsidRPr="006468DA">
        <w:rPr>
          <w:sz w:val="16"/>
        </w:rPr>
        <w:t xml:space="preserve">. The </w:t>
      </w:r>
      <w:r w:rsidRPr="007D1C1D">
        <w:rPr>
          <w:rStyle w:val="Emphasis"/>
          <w:highlight w:val="green"/>
        </w:rPr>
        <w:t>historical origin of intellectual property</w:t>
      </w:r>
      <w:r w:rsidRPr="006468DA">
        <w:rPr>
          <w:sz w:val="16"/>
        </w:rPr>
        <w:t xml:space="preserve">, he argues, is in </w:t>
      </w:r>
      <w:r w:rsidRPr="007D1C1D">
        <w:rPr>
          <w:rStyle w:val="Emphasis"/>
          <w:highlight w:val="green"/>
        </w:rPr>
        <w:t>attempts</w:t>
      </w:r>
      <w:r w:rsidRPr="006468DA">
        <w:rPr>
          <w:sz w:val="16"/>
        </w:rPr>
        <w:t xml:space="preserve"> by government </w:t>
      </w:r>
      <w:r w:rsidRPr="007D1C1D">
        <w:rPr>
          <w:rStyle w:val="Emphasis"/>
          <w:highlight w:val="green"/>
        </w:rPr>
        <w:t>to grant beneficial privileges to a few at the cost of “common disadvantage</w:t>
      </w:r>
      <w:r w:rsidRPr="006468DA">
        <w:rPr>
          <w:sz w:val="16"/>
        </w:rPr>
        <w:t>” (213). This general idea continues today, when the cost of the overall system is justified through an appeal to its incentivizing effects. But the contemporary couching of IP in the language of property and of rights obscures the historical origin of these practices as public privilege.</w:t>
      </w:r>
    </w:p>
    <w:p w14:paraId="03126BA9" w14:textId="3716C799" w:rsidR="0089246B" w:rsidRPr="0089246B" w:rsidRDefault="00964CBE" w:rsidP="00072A4B">
      <w:pPr>
        <w:pStyle w:val="Heading4"/>
      </w:pPr>
      <w:r>
        <w:t xml:space="preserve">[3] Property rights prohibit freedom to make advancement on technologies; people are given exclusive ownership which hinder progress. </w:t>
      </w:r>
    </w:p>
    <w:p w14:paraId="351010BC" w14:textId="77777777" w:rsidR="00964CBE" w:rsidRDefault="00964CBE" w:rsidP="00964CBE">
      <w:pPr>
        <w:pStyle w:val="Heading4"/>
      </w:pPr>
      <w:proofErr w:type="spellStart"/>
      <w:r>
        <w:t>Kanning</w:t>
      </w:r>
      <w:proofErr w:type="spellEnd"/>
      <w:r>
        <w:t xml:space="preserve"> 12</w:t>
      </w:r>
    </w:p>
    <w:p w14:paraId="445EB937" w14:textId="77777777" w:rsidR="00964CBE" w:rsidRPr="00A50888" w:rsidRDefault="00964CBE" w:rsidP="00964CBE">
      <w:r w:rsidRPr="00A50888">
        <w:t>[</w:t>
      </w:r>
      <w:proofErr w:type="spellStart"/>
      <w:r w:rsidRPr="00A50888">
        <w:t>Kanning</w:t>
      </w:r>
      <w:proofErr w:type="spellEnd"/>
      <w:r w:rsidRPr="00A50888">
        <w:t xml:space="preserve">, Michael A., "A Philosophical Analysis of Intellectual Property: In Defense of Instrumentalism" (2012). Graduate Theses and Dissertations. </w:t>
      </w:r>
      <w:hyperlink r:id="rId9" w:history="1">
        <w:r w:rsidRPr="00AA4ECC">
          <w:rPr>
            <w:rStyle w:val="Hyperlink"/>
          </w:rPr>
          <w:t>http://scholarcommons.usf.edu/etd/4094]//</w:t>
        </w:r>
      </w:hyperlink>
      <w:r>
        <w:t xml:space="preserve"> </w:t>
      </w:r>
      <w:proofErr w:type="spellStart"/>
      <w:r>
        <w:t>RaZ</w:t>
      </w:r>
      <w:proofErr w:type="spellEnd"/>
    </w:p>
    <w:p w14:paraId="00F44050" w14:textId="77777777" w:rsidR="00964CBE" w:rsidRPr="006468DA" w:rsidRDefault="00964CBE" w:rsidP="00964CBE">
      <w:pPr>
        <w:rPr>
          <w:sz w:val="16"/>
        </w:rPr>
      </w:pPr>
      <w:r w:rsidRPr="006468DA">
        <w:rPr>
          <w:sz w:val="16"/>
        </w:rPr>
        <w:t xml:space="preserve">But such a narrow focus on the autonomy of the individual creator hides the extent of the costs imposed by exclusive property rights on the autonomy of other potential creators. </w:t>
      </w:r>
      <w:r w:rsidRPr="007D1C1D">
        <w:rPr>
          <w:rStyle w:val="Emphasis"/>
          <w:highlight w:val="green"/>
        </w:rPr>
        <w:t>Property rights</w:t>
      </w:r>
      <w:r w:rsidRPr="006468DA">
        <w:rPr>
          <w:sz w:val="16"/>
        </w:rPr>
        <w:t xml:space="preserve">, by their nature, </w:t>
      </w:r>
      <w:r w:rsidRPr="007D1C1D">
        <w:rPr>
          <w:rStyle w:val="Emphasis"/>
          <w:highlight w:val="green"/>
        </w:rPr>
        <w:t>inhibit</w:t>
      </w:r>
      <w:r w:rsidRPr="006468DA">
        <w:rPr>
          <w:sz w:val="16"/>
        </w:rPr>
        <w:t xml:space="preserve"> the </w:t>
      </w:r>
      <w:r w:rsidRPr="007D1C1D">
        <w:rPr>
          <w:rStyle w:val="Emphasis"/>
          <w:highlight w:val="green"/>
        </w:rPr>
        <w:t>freedom</w:t>
      </w:r>
      <w:r w:rsidRPr="006468DA">
        <w:rPr>
          <w:sz w:val="16"/>
        </w:rPr>
        <w:t xml:space="preserve"> of 15 others </w:t>
      </w:r>
      <w:r w:rsidRPr="007D1C1D">
        <w:rPr>
          <w:rStyle w:val="Emphasis"/>
          <w:highlight w:val="green"/>
        </w:rPr>
        <w:t>by disallowing</w:t>
      </w:r>
      <w:r w:rsidRPr="006468DA">
        <w:rPr>
          <w:sz w:val="16"/>
        </w:rPr>
        <w:t xml:space="preserve"> them from accessing or </w:t>
      </w:r>
      <w:r w:rsidRPr="007D1C1D">
        <w:rPr>
          <w:rStyle w:val="Emphasis"/>
          <w:highlight w:val="green"/>
        </w:rPr>
        <w:t>using the things covered by property rights.</w:t>
      </w:r>
      <w:r w:rsidRPr="00F528BF">
        <w:rPr>
          <w:rStyle w:val="Emphasis"/>
        </w:rPr>
        <w:t xml:space="preserve"> </w:t>
      </w:r>
      <w:r w:rsidRPr="006468DA">
        <w:rPr>
          <w:sz w:val="16"/>
        </w:rPr>
        <w:t xml:space="preserve">While Merges’ focus on enabling the highest degree of freedom for individual creators can plausibly be seen to help achieve the highest degree of freedom, it also at the same time inhibits the freedom of creators. Merges’ frequent example is that of the sculptor Michelangelo and a piece of stone. In order to realize his freedom as an artist, he needs to have control over the stone so that he may fully realize the project of turning that stone into a finished sculpture. This also requires the need to prevent others from altering or destroying the stone. In this example, prohibiting other creators from messing with Michelangelo’s stone is a reasonable infringement on the freedom of others. But </w:t>
      </w:r>
      <w:r w:rsidRPr="007D1C1D">
        <w:rPr>
          <w:rStyle w:val="Emphasis"/>
          <w:highlight w:val="green"/>
        </w:rPr>
        <w:t>intellectual property rights represent a</w:t>
      </w:r>
      <w:r w:rsidRPr="006468DA">
        <w:rPr>
          <w:sz w:val="16"/>
        </w:rPr>
        <w:t xml:space="preserve"> more </w:t>
      </w:r>
      <w:r w:rsidRPr="007D1C1D">
        <w:rPr>
          <w:rStyle w:val="Emphasis"/>
          <w:highlight w:val="green"/>
        </w:rPr>
        <w:t>significant impact on the freedom of others because they are not limited to particular entities. Copyrights and patents involve exclusive ownership of broad categories of things, and can result in severe restrictions on the freedoms of creators who engage in transformative works.</w:t>
      </w:r>
      <w:r w:rsidRPr="00037733">
        <w:rPr>
          <w:rStyle w:val="Emphasis"/>
        </w:rPr>
        <w:t xml:space="preserve"> </w:t>
      </w:r>
      <w:r w:rsidRPr="006468DA">
        <w:rPr>
          <w:sz w:val="16"/>
        </w:rPr>
        <w:t>This objection will be covered in more depth in Chapter 2.</w:t>
      </w:r>
    </w:p>
    <w:p w14:paraId="3553DB8F" w14:textId="77777777" w:rsidR="00964CBE" w:rsidRDefault="00964CBE" w:rsidP="00964CBE">
      <w:pPr>
        <w:pStyle w:val="Heading4"/>
      </w:pPr>
      <w:r>
        <w:t>[4] Hindering a hindrance</w:t>
      </w:r>
    </w:p>
    <w:p w14:paraId="5FF65D6B" w14:textId="27ACD619" w:rsidR="0089246B" w:rsidRPr="0089246B" w:rsidRDefault="00964CBE" w:rsidP="0089246B">
      <w:pPr>
        <w:pStyle w:val="Heading4"/>
      </w:pPr>
      <w:r>
        <w:t xml:space="preserve">[a] You can only restrict the freedoms of inventors when the invention being withheld is </w:t>
      </w:r>
      <w:proofErr w:type="spellStart"/>
      <w:r>
        <w:t>life saving</w:t>
      </w:r>
      <w:proofErr w:type="spellEnd"/>
      <w:r>
        <w:t xml:space="preserve">. Death kills freedoms and autonomy. </w:t>
      </w:r>
    </w:p>
    <w:p w14:paraId="39448558" w14:textId="77777777" w:rsidR="00964CBE" w:rsidRDefault="00964CBE" w:rsidP="00964CBE">
      <w:pPr>
        <w:pStyle w:val="Heading4"/>
      </w:pPr>
      <w:r>
        <w:t>Merges 11</w:t>
      </w:r>
    </w:p>
    <w:p w14:paraId="14BC41C9" w14:textId="77777777" w:rsidR="00964CBE" w:rsidRDefault="00964CBE" w:rsidP="00964CBE">
      <w:r>
        <w:t>[ROBERT P. MERGES; “JUSTIFYING INTELLECTUAL PROPERTY” HARVARD UNIVERSITY PRESS Cambridge, Massachusetts London, England 2011]//</w:t>
      </w:r>
      <w:proofErr w:type="spellStart"/>
      <w:r>
        <w:t>RaZ</w:t>
      </w:r>
      <w:proofErr w:type="spellEnd"/>
    </w:p>
    <w:p w14:paraId="15347412" w14:textId="77777777" w:rsidR="00964CBE" w:rsidRPr="008D79F2" w:rsidRDefault="00964CBE" w:rsidP="00964CBE">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7D1C1D">
        <w:rPr>
          <w:rStyle w:val="Emphasis"/>
          <w:highlight w:val="green"/>
        </w:rPr>
        <w:t>property</w:t>
      </w:r>
      <w:r w:rsidRPr="004B3BEF">
        <w:rPr>
          <w:rStyle w:val="Emphasis"/>
        </w:rPr>
        <w:t xml:space="preserve"> is widely available, yet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7D1C1D">
        <w:rPr>
          <w:rStyle w:val="Emphasis"/>
          <w:highlight w:val="green"/>
        </w:rPr>
        <w:t>must not</w:t>
      </w:r>
      <w:r w:rsidRPr="004B3BEF">
        <w:rPr>
          <w:rStyle w:val="Emphasis"/>
        </w:rPr>
        <w:t xml:space="preserve"> be so broad that they </w:t>
      </w:r>
      <w:r w:rsidRPr="007D1C1D">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185584EC" w14:textId="77777777" w:rsidR="00964CBE" w:rsidRPr="0006136D" w:rsidRDefault="00964CBE" w:rsidP="00964CBE">
      <w:pPr>
        <w:rPr>
          <w:sz w:val="16"/>
        </w:rPr>
      </w:pPr>
      <w:r w:rsidRPr="007D1C1D">
        <w:rPr>
          <w:rStyle w:val="Emphasis"/>
          <w:highlight w:val="green"/>
        </w:rPr>
        <w:t>Death is the ultimate restraint on autonomy</w:t>
      </w:r>
      <w:r w:rsidRPr="0006136D">
        <w:rPr>
          <w:sz w:val="16"/>
        </w:rPr>
        <w:t xml:space="preserve">; there is </w:t>
      </w:r>
      <w:r w:rsidRPr="007D1C1D">
        <w:rPr>
          <w:rStyle w:val="Emphasis"/>
          <w:highlight w:val="green"/>
        </w:rPr>
        <w:t>no more “self” to guide after a person dies</w:t>
      </w:r>
      <w:r w:rsidRPr="0006136D">
        <w:rPr>
          <w:sz w:val="16"/>
        </w:rPr>
        <w:t xml:space="preserve">. So when a </w:t>
      </w:r>
      <w:r w:rsidRPr="007D1C1D">
        <w:rPr>
          <w:rStyle w:val="Emphasis"/>
          <w:highlight w:val="green"/>
        </w:rPr>
        <w:t>claim to property by person A leads to the death of person B</w:t>
      </w:r>
      <w:r w:rsidRPr="0006136D">
        <w:rPr>
          <w:sz w:val="16"/>
        </w:rPr>
        <w:t xml:space="preserve">, Kant’s </w:t>
      </w:r>
      <w:r w:rsidRPr="007D1C1D">
        <w:rPr>
          <w:rStyle w:val="Emphasis"/>
          <w:highlight w:val="green"/>
        </w:rPr>
        <w:t>Universal Principle would</w:t>
      </w:r>
      <w:r w:rsidRPr="0006136D">
        <w:rPr>
          <w:sz w:val="16"/>
        </w:rPr>
        <w:t xml:space="preserve"> seem to </w:t>
      </w:r>
      <w:r w:rsidRPr="007D1C1D">
        <w:rPr>
          <w:rStyle w:val="Emphasis"/>
          <w:highlight w:val="green"/>
        </w:rPr>
        <w:t>rebut that claim</w:t>
      </w:r>
      <w:r w:rsidRPr="0006136D">
        <w:rPr>
          <w:sz w:val="16"/>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Kant thought of necessity as something like an excuse or defense: a wrong act is not made right by necessity, but it is insulated from formal legal liability.12 This view, well described by among others the Kant scholar Arthur Ripstein, depends on the distinction between formal, </w:t>
      </w:r>
      <w:r w:rsidRPr="0006136D">
        <w:rPr>
          <w:sz w:val="16"/>
        </w:rPr>
        <w:lastRenderedPageBreak/>
        <w:t xml:space="preserve">positive law (“external,” in Kant’s terminology; see Chapter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pertains to property rights, any application of his thinking to the case of pharmaceutical patents can only be speculation. Even so, </w:t>
      </w:r>
      <w:r w:rsidRPr="007D1C1D">
        <w:rPr>
          <w:rStyle w:val="Emphasis"/>
          <w:highlight w:val="green"/>
        </w:rPr>
        <w:t>there is one point to make</w:t>
      </w:r>
      <w:r w:rsidRPr="0006136D">
        <w:rPr>
          <w:sz w:val="16"/>
        </w:rPr>
        <w:t xml:space="preserve">. As I explained in some detail in Chapter 3, there is generally a high degree of symmetry between Kant’s thinking on law and his theory of property. The UPR is a good example; as I explained in Chapter 3, the idea that </w:t>
      </w:r>
      <w:r w:rsidRPr="007D1C1D">
        <w:rPr>
          <w:rStyle w:val="Emphasis"/>
          <w:highlight w:val="green"/>
        </w:rPr>
        <w:t>property can extend only up to the point that it interferes with the freedom of others</w:t>
      </w:r>
      <w:r w:rsidRPr="0006136D">
        <w:rPr>
          <w:sz w:val="16"/>
        </w:rPr>
        <w:t xml:space="preserve"> is simply one specific application of the general Kantian take on law and freedom. Thus, </w:t>
      </w:r>
      <w:r w:rsidRPr="007D1C1D">
        <w:rPr>
          <w:rStyle w:val="Emphasis"/>
          <w:highlight w:val="green"/>
        </w:rPr>
        <w:t>the analysis of the pharmaceutical patents problem would turn on the issue of property’s effect on the freedom of those suffering from treatable diseases.</w:t>
      </w:r>
      <w:r w:rsidRPr="0006136D">
        <w:rPr>
          <w:sz w:val="16"/>
        </w:rPr>
        <w:t xml:space="preserve"> To put it simply, it is difficult to be sure of the exact conclusion Kant would reach with regard to the issue, but I am sure that the analysis would turn on the </w:t>
      </w:r>
      <w:r w:rsidRPr="007D1C1D">
        <w:rPr>
          <w:rStyle w:val="Emphasis"/>
          <w:highlight w:val="green"/>
        </w:rPr>
        <w:t>freedom- restricting qualities of pharmaceutical patents</w:t>
      </w:r>
      <w:r w:rsidRPr="0006136D">
        <w:rPr>
          <w:sz w:val="16"/>
        </w:rPr>
        <w:t xml:space="preserve">. It is hard to know the right answer, but not hard to pose the right question: should property extend so far as to cut off or restrain the freedom of those who might be treated? In my view, </w:t>
      </w:r>
      <w:r w:rsidRPr="007D1C1D">
        <w:rPr>
          <w:rStyle w:val="Emphasis"/>
          <w:highlight w:val="green"/>
        </w:rPr>
        <w:t>the freedom of disease sufferers is so constrained that the property rights in pharmaceutical patents must give way</w:t>
      </w:r>
      <w:r w:rsidRPr="0006136D">
        <w:rPr>
          <w:sz w:val="16"/>
        </w:rPr>
        <w:t>. As I said, this is not the only plausible reading of Kant’s Universal Principle with respect to the problem at hand. But I think it is the best reading, and it is certainly the best I can do, given Kant’s text and the problem of pharmaceutical patents as I understand it.</w:t>
      </w:r>
    </w:p>
    <w:p w14:paraId="23D915EC" w14:textId="77777777" w:rsidR="00964CBE" w:rsidRPr="003E43E8" w:rsidRDefault="00964CBE" w:rsidP="00964CBE">
      <w:pPr>
        <w:pStyle w:val="Heading4"/>
      </w:pPr>
      <w:r>
        <w:t xml:space="preserve">[b] </w:t>
      </w:r>
      <w:r w:rsidRPr="003E43E8">
        <w:t xml:space="preserve">Medicines  are created with the intention of saving lives. </w:t>
      </w:r>
    </w:p>
    <w:p w14:paraId="5A2ABD73" w14:textId="77777777" w:rsidR="00964CBE" w:rsidRPr="003E43E8" w:rsidRDefault="00964CBE" w:rsidP="00964CBE">
      <w:pPr>
        <w:pStyle w:val="Heading4"/>
      </w:pPr>
      <w:r w:rsidRPr="003E43E8">
        <w:t xml:space="preserve">Nemours </w:t>
      </w:r>
    </w:p>
    <w:p w14:paraId="34B2BFE4" w14:textId="77777777" w:rsidR="00964CBE" w:rsidRPr="003E43E8" w:rsidRDefault="00964CBE" w:rsidP="00964CBE">
      <w:r w:rsidRPr="003E43E8">
        <w:t>[</w:t>
      </w:r>
      <w:proofErr w:type="spellStart"/>
      <w:r>
        <w:t>TeensHealth</w:t>
      </w:r>
      <w:proofErr w:type="spellEnd"/>
      <w:r>
        <w:t xml:space="preserve"> from Nemours ;</w:t>
      </w:r>
      <w:r w:rsidRPr="003E43E8">
        <w:t>Understanding Medicines and What They Do</w:t>
      </w:r>
      <w:r>
        <w:t xml:space="preserve">; </w:t>
      </w:r>
      <w:r w:rsidRPr="00D32F10">
        <w:t>https://kidshealth.org/en/teens/meds.html</w:t>
      </w:r>
      <w:r w:rsidRPr="003E43E8">
        <w:t>]//RaZ</w:t>
      </w:r>
    </w:p>
    <w:p w14:paraId="487862DF" w14:textId="77777777" w:rsidR="00964CBE" w:rsidRDefault="00964CBE" w:rsidP="00964CBE">
      <w:pPr>
        <w:rPr>
          <w:rStyle w:val="Emphasis"/>
        </w:rPr>
      </w:pPr>
      <w:r w:rsidRPr="007D1C1D">
        <w:rPr>
          <w:rStyle w:val="Emphasis"/>
          <w:highlight w:val="green"/>
        </w:rPr>
        <w:t>Medicines are chemicals or compounds used to</w:t>
      </w:r>
      <w:r w:rsidRPr="006468DA">
        <w:rPr>
          <w:rFonts w:ascii="Arial" w:hAnsi="Arial" w:cs="Arial"/>
          <w:color w:val="000000"/>
          <w:sz w:val="16"/>
          <w:szCs w:val="21"/>
          <w:shd w:val="clear" w:color="auto" w:fill="FFFFFF"/>
        </w:rPr>
        <w:t xml:space="preserve"> cure, halt, or prevent disease; ease symptoms; or help in the diagnosis of illnesses. Advances in medicines have enabled doctors to cure many diseases and </w:t>
      </w:r>
      <w:r w:rsidRPr="007D1C1D">
        <w:rPr>
          <w:rStyle w:val="Emphasis"/>
          <w:highlight w:val="green"/>
        </w:rPr>
        <w:t>save lives.</w:t>
      </w:r>
    </w:p>
    <w:p w14:paraId="5F1732F2" w14:textId="503B387C" w:rsidR="00A95652" w:rsidRDefault="00964CBE" w:rsidP="00964CBE">
      <w:pPr>
        <w:pStyle w:val="Heading2"/>
      </w:pPr>
      <w:proofErr w:type="spellStart"/>
      <w:r>
        <w:lastRenderedPageBreak/>
        <w:t>Underview</w:t>
      </w:r>
      <w:proofErr w:type="spellEnd"/>
    </w:p>
    <w:p w14:paraId="10380476" w14:textId="77777777" w:rsidR="00964CBE" w:rsidRDefault="00964CBE" w:rsidP="00964CBE">
      <w:pPr>
        <w:pStyle w:val="Heading4"/>
      </w:pPr>
      <w:r w:rsidRPr="00A76C6A">
        <w:t xml:space="preserve">1] AFF theory is no RVI, Drop the debater, competing </w:t>
      </w:r>
      <w:proofErr w:type="spellStart"/>
      <w:r w:rsidRPr="00A76C6A">
        <w:t>interps</w:t>
      </w:r>
      <w:proofErr w:type="spellEnd"/>
      <w:r w:rsidRPr="00A76C6A">
        <w:t xml:space="preserve">, and the highest layer of the round under an </w:t>
      </w:r>
      <w:proofErr w:type="spellStart"/>
      <w:r w:rsidRPr="00A76C6A">
        <w:t>interp</w:t>
      </w:r>
      <w:proofErr w:type="spellEnd"/>
      <w:r w:rsidRPr="00A76C6A">
        <w:t xml:space="preserve"> that </w:t>
      </w:r>
      <w:proofErr w:type="spellStart"/>
      <w:r w:rsidRPr="00A76C6A">
        <w:t>aff</w:t>
      </w:r>
      <w:proofErr w:type="spellEnd"/>
      <w:r w:rsidRPr="00A76C6A">
        <w:t xml:space="preserve"> theory is legit regardless of voters a) infinite abuse since otherwise it would be impossible to check NC abuse b) it would justify the </w:t>
      </w:r>
      <w:proofErr w:type="spellStart"/>
      <w:r w:rsidRPr="00A76C6A">
        <w:t>aff</w:t>
      </w:r>
      <w:proofErr w:type="spellEnd"/>
      <w:r w:rsidRPr="00A76C6A">
        <w:t xml:space="preserve"> never getting to read theory which is a reciprocity issue c) Time crunched 1ar means it becomes impossible to justify paradigm issues and win the shell. </w:t>
      </w:r>
      <w:r>
        <w:rPr>
          <w:rFonts w:cs="Times New Roman"/>
        </w:rPr>
        <w:t>d</w:t>
      </w:r>
      <w:r w:rsidRPr="00766B16">
        <w:rPr>
          <w:rFonts w:cs="Times New Roman"/>
        </w:rPr>
        <w:t xml:space="preserve">) the 2n can dump on a script to a CI and go for RVI’s making it impossible to check abuse </w:t>
      </w:r>
      <w:r>
        <w:rPr>
          <w:rFonts w:cs="Times New Roman"/>
        </w:rPr>
        <w:t>e</w:t>
      </w:r>
      <w:r w:rsidRPr="00766B16">
        <w:rPr>
          <w:rFonts w:cs="Times New Roman"/>
        </w:rPr>
        <w:t xml:space="preserve">) The 1ar is too short to win theory and substance </w:t>
      </w:r>
      <w:r>
        <w:rPr>
          <w:rFonts w:cs="Times New Roman"/>
        </w:rPr>
        <w:t>f</w:t>
      </w:r>
      <w:r w:rsidRPr="00766B16">
        <w:rPr>
          <w:rFonts w:cs="Times New Roman"/>
        </w:rPr>
        <w:t>) The 2n can always create infinite reasonability arguments the 2ar can’t get through</w:t>
      </w:r>
    </w:p>
    <w:p w14:paraId="500FD598" w14:textId="77777777" w:rsidR="00964CBE" w:rsidRPr="00A76C6A" w:rsidRDefault="00964CBE" w:rsidP="00964CBE">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p>
    <w:p w14:paraId="0A8200F0" w14:textId="77777777" w:rsidR="00964CBE" w:rsidRDefault="00964CBE" w:rsidP="00964CBE">
      <w:pPr>
        <w:pStyle w:val="Heading4"/>
      </w:pPr>
      <w:r>
        <w:t>3</w:t>
      </w:r>
      <w:r w:rsidRPr="004C5C04">
        <w:t>] No 2n theory arguments and paradigm issues. a) overloads the 2AR with a massive clarification burden b) it becomes impossible to check NC abuse if you can dump on reasons the shell doesn't matter in the 2n.</w:t>
      </w:r>
    </w:p>
    <w:p w14:paraId="386AAD10" w14:textId="4035318C" w:rsidR="00964CBE" w:rsidRDefault="00964CBE" w:rsidP="00964CBE">
      <w:pPr>
        <w:pStyle w:val="Heading4"/>
        <w:rPr>
          <w:rFonts w:eastAsia="Times New Roman"/>
          <w:color w:val="000000" w:themeColor="text1"/>
          <w:spacing w:val="3"/>
          <w:shd w:val="clear" w:color="auto" w:fill="FFFFFF"/>
        </w:rPr>
      </w:pPr>
      <w:r>
        <w:t>4</w:t>
      </w:r>
      <w:r w:rsidRPr="004C5C04">
        <w:t xml:space="preserve">] The role of the ballot is to determine the truth or falsity of the resolution </w:t>
      </w:r>
      <w:r>
        <w:t>[a]</w:t>
      </w:r>
      <w:r w:rsidRPr="004C5C04">
        <w:t xml:space="preserve">–reject their framing on inclusion – they exclude all offense except what follows from their specific </w:t>
      </w:r>
      <w:proofErr w:type="spellStart"/>
      <w:r w:rsidRPr="004C5C04">
        <w:t>fwk</w:t>
      </w:r>
      <w:proofErr w:type="spellEnd"/>
      <w:r w:rsidRPr="004C5C04">
        <w:t xml:space="preserve"> which shuts out those without the resources to prepare [</w:t>
      </w:r>
      <w:r>
        <w:t>b</w:t>
      </w:r>
      <w:r w:rsidRPr="004C5C04">
        <w:t xml:space="preserve">] the ballot says vote </w:t>
      </w:r>
      <w:proofErr w:type="spellStart"/>
      <w:r w:rsidRPr="004C5C04">
        <w:t>aff</w:t>
      </w:r>
      <w:proofErr w:type="spellEnd"/>
      <w:r w:rsidRPr="004C5C04">
        <w:t xml:space="preserve"> or neg based on a topic and five dictionaries</w:t>
      </w:r>
      <w:r w:rsidRPr="004C5C04">
        <w:rPr>
          <w:vertAlign w:val="superscript"/>
        </w:rPr>
        <w:footnoteReference w:id="1"/>
      </w:r>
      <w:r w:rsidRPr="004C5C04">
        <w:t xml:space="preserve"> define to negate as to deny the truth of and affirm</w:t>
      </w:r>
      <w:r w:rsidRPr="004C5C04">
        <w:rPr>
          <w:vertAlign w:val="superscript"/>
        </w:rPr>
        <w:footnoteReference w:id="2"/>
      </w:r>
      <w:r w:rsidRPr="004C5C04">
        <w:t xml:space="preserve"> as to prove true which means it’s </w:t>
      </w:r>
      <w:r w:rsidRPr="004C5C04">
        <w:rPr>
          <w:u w:val="single"/>
        </w:rPr>
        <w:t>constitutive and jurisdictional</w:t>
      </w:r>
      <w:r w:rsidRPr="004C5C04">
        <w:t>.</w:t>
      </w:r>
      <w:r>
        <w:t xml:space="preserve">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6F7E094A" w14:textId="77777777" w:rsidR="00964CBE" w:rsidRDefault="00964CBE" w:rsidP="00964CBE">
      <w:pPr>
        <w:pStyle w:val="Heading4"/>
      </w:pPr>
      <w:r>
        <w:t xml:space="preserve">5] Permissibility affirms- </w:t>
      </w:r>
      <w:r w:rsidRPr="00266233">
        <w:t>Freezes action – requiring pro-active justification for all our actions would make it impossible to make morally neutral claims like ‘I ought to drink water’ which means we always assume we can take an action absent a proactive reason not to.</w:t>
      </w:r>
    </w:p>
    <w:p w14:paraId="0AF2C1DF" w14:textId="77777777" w:rsidR="00964CBE" w:rsidRPr="00964CBE" w:rsidRDefault="00964CBE" w:rsidP="00964CBE"/>
    <w:sectPr w:rsidR="00964CBE" w:rsidRPr="00964C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1D74F" w14:textId="77777777" w:rsidR="00E8198D" w:rsidRDefault="00E8198D" w:rsidP="00964CBE">
      <w:pPr>
        <w:spacing w:after="0" w:line="240" w:lineRule="auto"/>
      </w:pPr>
      <w:r>
        <w:separator/>
      </w:r>
    </w:p>
  </w:endnote>
  <w:endnote w:type="continuationSeparator" w:id="0">
    <w:p w14:paraId="3A4DC04D" w14:textId="77777777" w:rsidR="00E8198D" w:rsidRDefault="00E8198D" w:rsidP="00964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B2541" w14:textId="77777777" w:rsidR="00E8198D" w:rsidRDefault="00E8198D" w:rsidP="00964CBE">
      <w:pPr>
        <w:spacing w:after="0" w:line="240" w:lineRule="auto"/>
      </w:pPr>
      <w:r>
        <w:separator/>
      </w:r>
    </w:p>
  </w:footnote>
  <w:footnote w:type="continuationSeparator" w:id="0">
    <w:p w14:paraId="20AB0A6F" w14:textId="77777777" w:rsidR="00E8198D" w:rsidRDefault="00E8198D" w:rsidP="00964CBE">
      <w:pPr>
        <w:spacing w:after="0" w:line="240" w:lineRule="auto"/>
      </w:pPr>
      <w:r>
        <w:continuationSeparator/>
      </w:r>
    </w:p>
  </w:footnote>
  <w:footnote w:id="1">
    <w:p w14:paraId="51374ADA" w14:textId="77777777" w:rsidR="00964CBE" w:rsidRPr="00752E9C" w:rsidRDefault="00964CBE" w:rsidP="00964CBE">
      <w:pPr>
        <w:ind w:right="-1440"/>
        <w:rPr>
          <w:sz w:val="16"/>
          <w:szCs w:val="16"/>
        </w:rPr>
      </w:pPr>
      <w:r w:rsidRPr="00752E9C">
        <w:rPr>
          <w:rStyle w:val="FootnoteReference"/>
          <w:sz w:val="16"/>
          <w:szCs w:val="16"/>
        </w:rPr>
        <w:footnoteRef/>
      </w:r>
      <w:r w:rsidRPr="00752E9C">
        <w:rPr>
          <w:sz w:val="16"/>
          <w:szCs w:val="16"/>
        </w:rPr>
        <w:t xml:space="preserve"> </w:t>
      </w:r>
      <w:bookmarkStart w:id="3"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3"/>
    </w:p>
  </w:footnote>
  <w:footnote w:id="2">
    <w:p w14:paraId="0871D52B" w14:textId="77777777" w:rsidR="00964CBE" w:rsidRPr="00855FDC" w:rsidRDefault="00964CBE" w:rsidP="00964CB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4CBE"/>
    <w:rsid w:val="000139A3"/>
    <w:rsid w:val="00072A4B"/>
    <w:rsid w:val="000A457E"/>
    <w:rsid w:val="000B2398"/>
    <w:rsid w:val="00100833"/>
    <w:rsid w:val="00104529"/>
    <w:rsid w:val="00105942"/>
    <w:rsid w:val="00107396"/>
    <w:rsid w:val="00134E4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28F2"/>
    <w:rsid w:val="00525BCF"/>
    <w:rsid w:val="00537BD5"/>
    <w:rsid w:val="0057268A"/>
    <w:rsid w:val="005D2912"/>
    <w:rsid w:val="006006EF"/>
    <w:rsid w:val="006065BD"/>
    <w:rsid w:val="00645FA9"/>
    <w:rsid w:val="00647866"/>
    <w:rsid w:val="00665003"/>
    <w:rsid w:val="006A2AD0"/>
    <w:rsid w:val="006C2375"/>
    <w:rsid w:val="006D4ECC"/>
    <w:rsid w:val="00722258"/>
    <w:rsid w:val="007243E5"/>
    <w:rsid w:val="00766EA0"/>
    <w:rsid w:val="007A2226"/>
    <w:rsid w:val="007F5B66"/>
    <w:rsid w:val="00813C4D"/>
    <w:rsid w:val="00823A1C"/>
    <w:rsid w:val="00845B9D"/>
    <w:rsid w:val="00860984"/>
    <w:rsid w:val="0089246B"/>
    <w:rsid w:val="008B3ECB"/>
    <w:rsid w:val="008B4E85"/>
    <w:rsid w:val="008C1B2E"/>
    <w:rsid w:val="0091627E"/>
    <w:rsid w:val="00964CBE"/>
    <w:rsid w:val="0097032B"/>
    <w:rsid w:val="009D2EAD"/>
    <w:rsid w:val="009D54B2"/>
    <w:rsid w:val="009E1922"/>
    <w:rsid w:val="009F7ED2"/>
    <w:rsid w:val="00A378D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198D"/>
    <w:rsid w:val="00EC7DC4"/>
    <w:rsid w:val="00ED30CF"/>
    <w:rsid w:val="00F176EF"/>
    <w:rsid w:val="00F45E10"/>
    <w:rsid w:val="00F6364A"/>
    <w:rsid w:val="00F9113A"/>
    <w:rsid w:val="00FE2546"/>
    <w:rsid w:val="00FE3FC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2B986"/>
  <w15:chartTrackingRefBased/>
  <w15:docId w15:val="{BDE12BDD-F1C3-40EB-A43D-1DF3FF11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4CBE"/>
    <w:rPr>
      <w:rFonts w:ascii="Calibri" w:hAnsi="Calibri"/>
    </w:rPr>
  </w:style>
  <w:style w:type="paragraph" w:styleId="Heading1">
    <w:name w:val="heading 1"/>
    <w:aliases w:val="Pocket"/>
    <w:basedOn w:val="Normal"/>
    <w:next w:val="Normal"/>
    <w:link w:val="Heading1Char"/>
    <w:qFormat/>
    <w:rsid w:val="00964C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4C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964C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964C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4C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4CBE"/>
  </w:style>
  <w:style w:type="character" w:customStyle="1" w:styleId="Heading1Char">
    <w:name w:val="Heading 1 Char"/>
    <w:aliases w:val="Pocket Char"/>
    <w:basedOn w:val="DefaultParagraphFont"/>
    <w:link w:val="Heading1"/>
    <w:rsid w:val="00964C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4CB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2"/>
    <w:rsid w:val="00964CB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964CB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964CB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64CBE"/>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964CBE"/>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C"/>
    <w:basedOn w:val="DefaultParagraphFont"/>
    <w:link w:val="Card"/>
    <w:uiPriority w:val="99"/>
    <w:unhideWhenUsed/>
    <w:rsid w:val="00964CBE"/>
    <w:rPr>
      <w:color w:val="auto"/>
      <w:u w:val="none"/>
    </w:rPr>
  </w:style>
  <w:style w:type="character" w:styleId="FollowedHyperlink">
    <w:name w:val="FollowedHyperlink"/>
    <w:basedOn w:val="DefaultParagraphFont"/>
    <w:uiPriority w:val="99"/>
    <w:semiHidden/>
    <w:unhideWhenUsed/>
    <w:rsid w:val="00964CBE"/>
    <w:rPr>
      <w:color w:val="auto"/>
      <w:u w:val="none"/>
    </w:rPr>
  </w:style>
  <w:style w:type="paragraph" w:customStyle="1" w:styleId="textbold">
    <w:name w:val="text bold"/>
    <w:basedOn w:val="Normal"/>
    <w:link w:val="Emphasis"/>
    <w:uiPriority w:val="7"/>
    <w:qFormat/>
    <w:rsid w:val="00964CBE"/>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Tags,tags"/>
    <w:basedOn w:val="Heading1"/>
    <w:link w:val="Hyperlink"/>
    <w:autoRedefine/>
    <w:uiPriority w:val="99"/>
    <w:qFormat/>
    <w:rsid w:val="00964CB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964CBE"/>
    <w:rPr>
      <w:vertAlign w:val="superscript"/>
    </w:rPr>
  </w:style>
  <w:style w:type="paragraph" w:styleId="FootnoteText">
    <w:name w:val="footnote text"/>
    <w:basedOn w:val="Normal"/>
    <w:link w:val="FootnoteTextChar"/>
    <w:uiPriority w:val="99"/>
    <w:semiHidden/>
    <w:unhideWhenUsed/>
    <w:rsid w:val="00964C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4CBE"/>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larcommons.usf.edu/etd/4094%5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larcommons.usf.edu/etd/4094%5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3061</Words>
  <Characters>17448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10</cp:revision>
  <dcterms:created xsi:type="dcterms:W3CDTF">2021-09-10T23:04:00Z</dcterms:created>
  <dcterms:modified xsi:type="dcterms:W3CDTF">2021-09-11T13:43:00Z</dcterms:modified>
</cp:coreProperties>
</file>