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FB2BC" w14:textId="77777777" w:rsidR="00E5507F" w:rsidRDefault="00E5507F" w:rsidP="00E5507F">
      <w:pPr>
        <w:pStyle w:val="Heading2"/>
      </w:pPr>
      <w:r>
        <w:t>1NC – Off</w:t>
      </w:r>
    </w:p>
    <w:p w14:paraId="24E89E01" w14:textId="77777777" w:rsidR="00E5507F" w:rsidRDefault="00E5507F" w:rsidP="00E5507F">
      <w:pPr>
        <w:pStyle w:val="Heading3"/>
      </w:pPr>
      <w:r>
        <w:lastRenderedPageBreak/>
        <w:t>1NC – 1</w:t>
      </w:r>
    </w:p>
    <w:p w14:paraId="0B025FB0" w14:textId="77777777" w:rsidR="00E5507F" w:rsidRPr="008D0848" w:rsidRDefault="00E5507F" w:rsidP="00E5507F">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751D95D0" w14:textId="77777777" w:rsidR="00E5507F" w:rsidRDefault="00E5507F" w:rsidP="00E5507F">
      <w:pPr>
        <w:rPr>
          <w:rStyle w:val="Style13ptBold"/>
        </w:rPr>
      </w:pPr>
      <w:r>
        <w:rPr>
          <w:rStyle w:val="Style13ptBold"/>
        </w:rPr>
        <w:t>Badiou ‘18</w:t>
      </w:r>
    </w:p>
    <w:p w14:paraId="0B093338" w14:textId="77777777" w:rsidR="00E5507F" w:rsidRDefault="00E5507F" w:rsidP="00E5507F">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6" w:history="1">
        <w:r w:rsidRPr="003C3FF2">
          <w:rPr>
            <w:rStyle w:val="Hyperlink"/>
            <w:sz w:val="16"/>
            <w:szCs w:val="16"/>
          </w:rPr>
          <w:t>https://www.versobooks.com/blogs/3948-the-neolithic-capitalism-and-communism</w:t>
        </w:r>
      </w:hyperlink>
      <w:r w:rsidRPr="003C3FF2">
        <w:rPr>
          <w:sz w:val="16"/>
          <w:szCs w:val="16"/>
        </w:rPr>
        <w:t>] pat</w:t>
      </w:r>
    </w:p>
    <w:p w14:paraId="7AFE991F" w14:textId="77777777" w:rsidR="00E5507F" w:rsidRPr="00EA5F46" w:rsidRDefault="00E5507F" w:rsidP="00E5507F">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144539CB" w14:textId="77777777" w:rsidR="00E5507F" w:rsidRPr="00EA5F46" w:rsidRDefault="00E5507F" w:rsidP="00E5507F">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3EC6DA37" w14:textId="77777777" w:rsidR="00E5507F" w:rsidRPr="00EA5F46" w:rsidRDefault="00E5507F" w:rsidP="00E5507F">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r w:rsidRPr="00EA5F46">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6DAE5608" w14:textId="77777777" w:rsidR="00E5507F" w:rsidRPr="00EA5F46" w:rsidRDefault="00E5507F" w:rsidP="00E5507F">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542759E1" w14:textId="77777777" w:rsidR="00E5507F" w:rsidRPr="00EA5F46" w:rsidRDefault="00E5507F" w:rsidP="00E5507F">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04AFF903" w14:textId="77777777" w:rsidR="00E5507F" w:rsidRPr="00EA5F46" w:rsidRDefault="00E5507F" w:rsidP="00E5507F">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6DF0AD9F" w14:textId="77777777" w:rsidR="00E5507F" w:rsidRPr="00EA5F46" w:rsidRDefault="00E5507F" w:rsidP="00E5507F">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45419C2E" w14:textId="77777777" w:rsidR="00E5507F" w:rsidRPr="00EA5F46" w:rsidRDefault="00E5507F" w:rsidP="00E5507F">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w:t>
      </w:r>
      <w:r w:rsidRPr="00EA5F46">
        <w:rPr>
          <w:sz w:val="16"/>
        </w:rPr>
        <w:lastRenderedPageBreak/>
        <w:t>creation. It does so either thrilled about the advent of the superman — something we have been expecting ever since Nietzsche — or fearing him and taking refuge under the skirt of Gaia, Mother Nature.</w:t>
      </w:r>
    </w:p>
    <w:p w14:paraId="01116E73" w14:textId="77777777" w:rsidR="00E5507F" w:rsidRPr="00EA5F46" w:rsidRDefault="00E5507F" w:rsidP="00E5507F">
      <w:pPr>
        <w:rPr>
          <w:sz w:val="16"/>
        </w:rPr>
      </w:pPr>
      <w:r w:rsidRPr="00EA5F46">
        <w:rPr>
          <w:sz w:val="16"/>
        </w:rPr>
        <w:t>Let’s put things in a bit more perspective.</w:t>
      </w:r>
    </w:p>
    <w:p w14:paraId="14C6EE2C" w14:textId="77777777" w:rsidR="00E5507F" w:rsidRPr="00EA5F46" w:rsidRDefault="00E5507F" w:rsidP="00E5507F">
      <w:pPr>
        <w:rPr>
          <w:sz w:val="16"/>
        </w:rPr>
      </w:pPr>
      <w:r w:rsidRPr="00EA5F46">
        <w:rPr>
          <w:sz w:val="16"/>
        </w:rPr>
        <w:t xml:space="preserve">For four or five millennia, </w:t>
      </w:r>
      <w:r w:rsidRPr="00EA5F46">
        <w:rPr>
          <w:rStyle w:val="StyleUnderline"/>
        </w:rPr>
        <w:t xml:space="preserve">humanity has been organised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2EABD0E6" w14:textId="77777777" w:rsidR="00E5507F" w:rsidRPr="00EA5F46" w:rsidRDefault="00E5507F" w:rsidP="00E5507F">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1079CE67" w14:textId="77777777" w:rsidR="00E5507F" w:rsidRPr="00EA5F46" w:rsidRDefault="00E5507F" w:rsidP="00E5507F">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2BF00226" w14:textId="77777777" w:rsidR="00E5507F" w:rsidRPr="00EA5F46" w:rsidRDefault="00E5507F" w:rsidP="00E5507F">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318F3AE5" w14:textId="77777777" w:rsidR="00E5507F" w:rsidRPr="00EA5F46" w:rsidRDefault="00E5507F" w:rsidP="00E5507F">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5ED31F2C" w14:textId="77777777" w:rsidR="00E5507F" w:rsidRPr="00EA5F46" w:rsidRDefault="00E5507F" w:rsidP="00E5507F">
      <w:pPr>
        <w:rPr>
          <w:sz w:val="16"/>
        </w:rPr>
      </w:pPr>
      <w:r w:rsidRPr="00EA5F46">
        <w:rPr>
          <w:sz w:val="16"/>
        </w:rPr>
        <w:t xml:space="preserve">The problem is not technology, or nature. </w:t>
      </w:r>
      <w:r w:rsidRPr="00EA5F46">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organising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EA5F46">
        <w:rPr>
          <w:rStyle w:val="StyleUnderline"/>
          <w:highlight w:val="green"/>
        </w:rPr>
        <w:t>collective organisation</w:t>
      </w:r>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645FB11D" w14:textId="77777777" w:rsidR="00E5507F" w:rsidRPr="00EA5F46" w:rsidRDefault="00E5507F" w:rsidP="00E5507F">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461A8AB0" w14:textId="77777777" w:rsidR="00E5507F" w:rsidRPr="00E36D94" w:rsidRDefault="00E5507F" w:rsidP="00E5507F">
      <w:pPr>
        <w:pStyle w:val="Heading4"/>
      </w:pPr>
      <w:r>
        <w:lastRenderedPageBreak/>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03476406" w14:textId="77777777" w:rsidR="00E5507F" w:rsidRDefault="00E5507F" w:rsidP="00E5507F">
      <w:pPr>
        <w:rPr>
          <w:rStyle w:val="Style13ptBold"/>
        </w:rPr>
      </w:pPr>
      <w:r>
        <w:rPr>
          <w:rStyle w:val="Style13ptBold"/>
        </w:rPr>
        <w:t>White ‘18</w:t>
      </w:r>
    </w:p>
    <w:p w14:paraId="64D4E4BD" w14:textId="77777777" w:rsidR="00E5507F" w:rsidRPr="00E36D94" w:rsidRDefault="00E5507F" w:rsidP="00E5507F">
      <w:pPr>
        <w:rPr>
          <w:sz w:val="16"/>
          <w:szCs w:val="16"/>
        </w:rPr>
      </w:pPr>
      <w:r w:rsidRPr="00E36D94">
        <w:rPr>
          <w:sz w:val="16"/>
          <w:szCs w:val="16"/>
        </w:rPr>
        <w:t xml:space="preserve">[Ahmed, University of Colorado Law School. 2018. “Its Own Dubious Battle: The Impossible Defense of an Effective Right to Strike,” </w:t>
      </w:r>
      <w:hyperlink r:id="rId7" w:history="1">
        <w:r w:rsidRPr="00E36D94">
          <w:rPr>
            <w:rStyle w:val="Hyperlink"/>
            <w:sz w:val="16"/>
            <w:szCs w:val="16"/>
          </w:rPr>
          <w:t>https://scholar.law.colorado.edu/articles/1261/</w:t>
        </w:r>
      </w:hyperlink>
      <w:r w:rsidRPr="00E36D94">
        <w:rPr>
          <w:sz w:val="16"/>
          <w:szCs w:val="16"/>
        </w:rPr>
        <w:t>] pat</w:t>
      </w:r>
    </w:p>
    <w:p w14:paraId="56580718" w14:textId="77777777" w:rsidR="00E5507F" w:rsidRPr="000677CD" w:rsidRDefault="00E5507F" w:rsidP="00E5507F">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0A150BCC" w14:textId="77777777" w:rsidR="00E5507F" w:rsidRPr="000677CD" w:rsidRDefault="00E5507F" w:rsidP="00E5507F">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6472500C" w14:textId="77777777" w:rsidR="00E5507F" w:rsidRPr="000677CD" w:rsidRDefault="00E5507F" w:rsidP="00E5507F">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1075CC61" w14:textId="77777777" w:rsidR="00E5507F" w:rsidRPr="000677CD" w:rsidRDefault="00E5507F" w:rsidP="00E5507F">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122E6DEC" w14:textId="77777777" w:rsidR="00E5507F" w:rsidRPr="000677CD" w:rsidRDefault="00E5507F" w:rsidP="00E5507F">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1A3BB18E" w14:textId="77777777" w:rsidR="00E5507F" w:rsidRPr="000677CD" w:rsidRDefault="00E5507F" w:rsidP="00E5507F">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7F175E9D" w14:textId="77777777" w:rsidR="00E5507F" w:rsidRPr="000677CD" w:rsidRDefault="00E5507F" w:rsidP="00E5507F">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3E95988F" w14:textId="77777777" w:rsidR="00E5507F" w:rsidRPr="000677CD" w:rsidRDefault="00E5507F" w:rsidP="00E5507F">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0C0A729B" w14:textId="77777777" w:rsidR="00E5507F" w:rsidRPr="000677CD" w:rsidRDefault="00E5507F" w:rsidP="00E5507F">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07DB50D2" w14:textId="77777777" w:rsidR="00E5507F" w:rsidRPr="000677CD" w:rsidRDefault="00E5507F" w:rsidP="00E5507F">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03B837B9" w14:textId="77777777" w:rsidR="00E5507F" w:rsidRPr="000677CD" w:rsidRDefault="00E5507F" w:rsidP="00E5507F">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D3E66DC" w14:textId="77777777" w:rsidR="00E5507F" w:rsidRPr="000677CD" w:rsidRDefault="00E5507F" w:rsidP="00E5507F">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6DFCD7AB" w14:textId="77777777" w:rsidR="00E5507F" w:rsidRPr="000677CD" w:rsidRDefault="00E5507F" w:rsidP="00E5507F">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17EA9B7B" w14:textId="77777777" w:rsidR="00E5507F" w:rsidRPr="000677CD" w:rsidRDefault="00E5507F" w:rsidP="00E5507F">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1E5B87F1" w14:textId="77777777" w:rsidR="00E5507F" w:rsidRPr="000677CD" w:rsidRDefault="00E5507F" w:rsidP="00E5507F">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387ADC41" w14:textId="77777777" w:rsidR="00E5507F" w:rsidRPr="000677CD" w:rsidRDefault="00E5507F" w:rsidP="00E5507F">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5C6069D3" w14:textId="77777777" w:rsidR="00E5507F" w:rsidRPr="000677CD" w:rsidRDefault="00E5507F" w:rsidP="00E5507F">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79C8B70A" w14:textId="77777777" w:rsidR="00E5507F" w:rsidRPr="000677CD" w:rsidRDefault="00E5507F" w:rsidP="00E5507F">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2422F059" w14:textId="77777777" w:rsidR="00E5507F" w:rsidRPr="000677CD" w:rsidRDefault="00E5507F" w:rsidP="00E5507F">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6B6B4798" w14:textId="77777777" w:rsidR="00E5507F" w:rsidRPr="00A2087E" w:rsidRDefault="00E5507F" w:rsidP="00E5507F">
      <w:pPr>
        <w:pStyle w:val="Heading4"/>
      </w:pPr>
      <w:r w:rsidRPr="00A2087E">
        <w:t xml:space="preserve">The aff identifies the non-Western world as a space </w:t>
      </w:r>
      <w:r w:rsidRPr="006F658A">
        <w:rPr>
          <w:u w:val="single"/>
        </w:rPr>
        <w:t>devoid</w:t>
      </w:r>
      <w:r w:rsidRPr="00A2087E">
        <w:t xml:space="preserve"> of the </w:t>
      </w:r>
      <w:r w:rsidRPr="006F658A">
        <w:rPr>
          <w:u w:val="single"/>
        </w:rPr>
        <w:t>rule of law</w:t>
      </w:r>
      <w:r>
        <w:t xml:space="preserve"> – </w:t>
      </w:r>
      <w:r w:rsidRPr="00A2087E">
        <w:t xml:space="preserve">makes aggressive </w:t>
      </w:r>
      <w:r w:rsidRPr="006F658A">
        <w:t>colonial and neoliberal violence</w:t>
      </w:r>
      <w:r w:rsidRPr="00A2087E">
        <w:t xml:space="preserve"> </w:t>
      </w:r>
      <w:r w:rsidRPr="006F658A">
        <w:rPr>
          <w:u w:val="single"/>
        </w:rPr>
        <w:t>inevitable</w:t>
      </w:r>
      <w:r>
        <w:t xml:space="preserve"> – </w:t>
      </w:r>
      <w:r w:rsidRPr="00A2087E">
        <w:t xml:space="preserve">their evidence is based on </w:t>
      </w:r>
      <w:r w:rsidRPr="006F658A">
        <w:rPr>
          <w:u w:val="single"/>
        </w:rPr>
        <w:t>distorted representations</w:t>
      </w:r>
      <w:r>
        <w:t>.</w:t>
      </w:r>
    </w:p>
    <w:p w14:paraId="0DA67414" w14:textId="77777777" w:rsidR="00E5507F" w:rsidRDefault="00E5507F" w:rsidP="00E5507F">
      <w:r w:rsidRPr="00D83EC5">
        <w:rPr>
          <w:rStyle w:val="Style13ptBold"/>
        </w:rPr>
        <w:t xml:space="preserve">Mattei </w:t>
      </w:r>
      <w:r>
        <w:rPr>
          <w:rStyle w:val="Style13ptBold"/>
        </w:rPr>
        <w:t>‘</w:t>
      </w:r>
      <w:r w:rsidRPr="00D83EC5">
        <w:rPr>
          <w:rStyle w:val="Style13ptBold"/>
        </w:rPr>
        <w:t>9</w:t>
      </w:r>
      <w:r>
        <w:t xml:space="preserve"> </w:t>
      </w:r>
    </w:p>
    <w:p w14:paraId="45BFDF6F" w14:textId="77777777" w:rsidR="00E5507F" w:rsidRPr="00C72161" w:rsidRDefault="00E5507F" w:rsidP="00E5507F">
      <w:pPr>
        <w:rPr>
          <w:sz w:val="16"/>
          <w:szCs w:val="16"/>
        </w:rPr>
      </w:pPr>
      <w:r w:rsidRPr="00C72161">
        <w:rPr>
          <w:sz w:val="16"/>
          <w:szCs w:val="16"/>
        </w:rPr>
        <w:t xml:space="preserve">Professor at Hastings College of the Law &amp; University of Turin [Ugo Mattei and Marco de Morpurgo, ** M.Sc. Candidate, International University College of Turin, LL.M. Candidate, Harvard Law School, 2009, “GLOBAL LAW &amp; PLUNDER: THE DARK SIDE OF THE RULE OF LAW,” 2009, </w:t>
      </w:r>
      <w:hyperlink r:id="rId8" w:history="1">
        <w:r w:rsidRPr="00C72161">
          <w:rPr>
            <w:rStyle w:val="Hyperlink"/>
            <w:sz w:val="16"/>
            <w:szCs w:val="16"/>
          </w:rPr>
          <w:t>http://works.bepress.com/cgi/viewcontent.cgi?article=1014&amp;context=bocconi_legal_papers</w:t>
        </w:r>
      </w:hyperlink>
      <w:r w:rsidRPr="00C72161">
        <w:rPr>
          <w:sz w:val="16"/>
          <w:szCs w:val="16"/>
        </w:rPr>
        <w:t>] rc/pat</w:t>
      </w:r>
    </w:p>
    <w:p w14:paraId="6CEB79B1" w14:textId="77777777" w:rsidR="00E5507F" w:rsidRDefault="00E5507F" w:rsidP="00E5507F">
      <w:pPr>
        <w:pStyle w:val="cardtext"/>
        <w:ind w:left="0"/>
        <w:rPr>
          <w:sz w:val="16"/>
        </w:rPr>
      </w:pPr>
      <w:r>
        <w:rPr>
          <w:sz w:val="16"/>
        </w:rPr>
        <w:t xml:space="preserve">Within this framework, </w:t>
      </w:r>
      <w:r>
        <w:rPr>
          <w:rStyle w:val="StyleUnderline"/>
        </w:rPr>
        <w:t>Western law has</w:t>
      </w:r>
      <w:r>
        <w:rPr>
          <w:sz w:val="16"/>
        </w:rPr>
        <w:t xml:space="preserve"> constantly </w:t>
      </w:r>
      <w:r>
        <w:rPr>
          <w:rStyle w:val="StyleUnderline"/>
        </w:rPr>
        <w:t>enjoyed a</w:t>
      </w:r>
      <w:r>
        <w:rPr>
          <w:sz w:val="16"/>
        </w:rPr>
        <w:t xml:space="preserve"> </w:t>
      </w:r>
      <w:r>
        <w:rPr>
          <w:rStyle w:val="StyleUnderline"/>
        </w:rPr>
        <w:t>dominant position</w:t>
      </w:r>
      <w:r>
        <w:rPr>
          <w:sz w:val="16"/>
        </w:rPr>
        <w:t xml:space="preserve"> during the past centuries and today, </w:t>
      </w:r>
      <w:r>
        <w:rPr>
          <w:rStyle w:val="StyleUnderline"/>
        </w:rPr>
        <w:t>thus being in the position to</w:t>
      </w:r>
      <w:r>
        <w:rPr>
          <w:sz w:val="16"/>
        </w:rPr>
        <w:t xml:space="preserve"> </w:t>
      </w:r>
      <w:r>
        <w:rPr>
          <w:rStyle w:val="StyleUnderline"/>
        </w:rPr>
        <w:t>shape and bend the evolution of other legal systems worldwide</w:t>
      </w:r>
      <w:r>
        <w:rPr>
          <w:sz w:val="16"/>
        </w:rPr>
        <w:t xml:space="preserve">. During the colonial era, continental-European powers have </w:t>
      </w:r>
      <w:r w:rsidRPr="009125F4">
        <w:rPr>
          <w:sz w:val="16"/>
        </w:rPr>
        <w:t xml:space="preserve">systematically exported their own legal systems to the colonized lands. During the past decades and today, </w:t>
      </w:r>
      <w:r w:rsidRPr="009125F4">
        <w:rPr>
          <w:rStyle w:val="StyleUnderline"/>
        </w:rPr>
        <w:t xml:space="preserve">the </w:t>
      </w:r>
      <w:r w:rsidRPr="00CC18A5">
        <w:rPr>
          <w:rStyle w:val="StyleUnderline"/>
          <w:highlight w:val="green"/>
        </w:rPr>
        <w:t>U</w:t>
      </w:r>
      <w:r w:rsidRPr="009125F4">
        <w:rPr>
          <w:sz w:val="16"/>
        </w:rPr>
        <w:t xml:space="preserve">nited </w:t>
      </w:r>
      <w:r w:rsidRPr="00CC18A5">
        <w:rPr>
          <w:rStyle w:val="StyleUnderline"/>
          <w:highlight w:val="green"/>
        </w:rPr>
        <w:t>S</w:t>
      </w:r>
      <w:r w:rsidRPr="009125F4">
        <w:rPr>
          <w:sz w:val="16"/>
        </w:rPr>
        <w:t xml:space="preserve">tates </w:t>
      </w:r>
      <w:r w:rsidRPr="009125F4">
        <w:rPr>
          <w:rStyle w:val="StyleUnderline"/>
        </w:rPr>
        <w:t>have been</w:t>
      </w:r>
      <w:r w:rsidRPr="009125F4">
        <w:rPr>
          <w:sz w:val="16"/>
        </w:rPr>
        <w:t xml:space="preserve"> </w:t>
      </w:r>
      <w:r w:rsidRPr="009125F4">
        <w:rPr>
          <w:rStyle w:val="StyleUnderline"/>
        </w:rPr>
        <w:t>dominating the international arena as the most powerful economic power</w:t>
      </w:r>
      <w:r w:rsidRPr="009125F4">
        <w:rPr>
          <w:sz w:val="16"/>
        </w:rPr>
        <w:t xml:space="preserve">, </w:t>
      </w:r>
      <w:r w:rsidRPr="00CC18A5">
        <w:rPr>
          <w:rStyle w:val="Emphasis"/>
          <w:highlight w:val="green"/>
        </w:rPr>
        <w:t>export</w:t>
      </w:r>
      <w:r w:rsidRPr="009125F4">
        <w:rPr>
          <w:rStyle w:val="Emphasis"/>
        </w:rPr>
        <w:t xml:space="preserve">ing </w:t>
      </w:r>
      <w:r w:rsidRPr="00CC18A5">
        <w:rPr>
          <w:rStyle w:val="Emphasis"/>
          <w:highlight w:val="green"/>
        </w:rPr>
        <w:t>their own legal system</w:t>
      </w:r>
      <w:r w:rsidRPr="009125F4">
        <w:rPr>
          <w:rStyle w:val="Emphasis"/>
        </w:rPr>
        <w:t xml:space="preserve"> </w:t>
      </w:r>
      <w:r w:rsidRPr="00CC18A5">
        <w:rPr>
          <w:rStyle w:val="Emphasis"/>
          <w:highlight w:val="green"/>
        </w:rPr>
        <w:t>to the ‘periphery’</w:t>
      </w:r>
      <w:r w:rsidRPr="009125F4">
        <w:rPr>
          <w:sz w:val="16"/>
        </w:rPr>
        <w:t xml:space="preserve">, both </w:t>
      </w:r>
      <w:r w:rsidRPr="009125F4">
        <w:rPr>
          <w:rStyle w:val="StyleUnderline"/>
        </w:rPr>
        <w:t>by itself and through a set of international institutions</w:t>
      </w:r>
      <w:r w:rsidRPr="00CC18A5">
        <w:rPr>
          <w:sz w:val="16"/>
          <w:highlight w:val="green"/>
        </w:rPr>
        <w:t xml:space="preserve">, </w:t>
      </w:r>
      <w:r w:rsidRPr="00CC18A5">
        <w:rPr>
          <w:rStyle w:val="Emphasis"/>
          <w:highlight w:val="green"/>
        </w:rPr>
        <w:t>behaving as a neo-colonialist</w:t>
      </w:r>
      <w:r w:rsidRPr="009125F4">
        <w:rPr>
          <w:rStyle w:val="Emphasis"/>
        </w:rPr>
        <w:t xml:space="preserve"> within the ideology known as neoliberalism</w:t>
      </w:r>
      <w:r w:rsidRPr="009125F4">
        <w:rPr>
          <w:sz w:val="16"/>
        </w:rPr>
        <w:t xml:space="preserve">. </w:t>
      </w:r>
      <w:r w:rsidRPr="009125F4">
        <w:rPr>
          <w:sz w:val="12"/>
        </w:rPr>
        <w:t>¶</w:t>
      </w:r>
      <w:r w:rsidRPr="009125F4">
        <w:rPr>
          <w:sz w:val="16"/>
        </w:rPr>
        <w:t xml:space="preserve"> </w:t>
      </w:r>
      <w:r w:rsidRPr="009125F4">
        <w:rPr>
          <w:rStyle w:val="StyleUnderline"/>
        </w:rPr>
        <w:t>Western countries</w:t>
      </w:r>
      <w:r w:rsidRPr="009125F4">
        <w:rPr>
          <w:sz w:val="16"/>
        </w:rPr>
        <w:t xml:space="preserve"> </w:t>
      </w:r>
      <w:r w:rsidRPr="009125F4">
        <w:rPr>
          <w:rStyle w:val="StyleUnderline"/>
        </w:rPr>
        <w:t>identify themselves as law-abiding and civilized no matter what their actual history reveals</w:t>
      </w:r>
      <w:r w:rsidRPr="009125F4">
        <w:rPr>
          <w:sz w:val="16"/>
        </w:rPr>
        <w:t xml:space="preserve">. </w:t>
      </w:r>
      <w:r w:rsidRPr="009125F4">
        <w:rPr>
          <w:rStyle w:val="StyleUnderline"/>
        </w:rPr>
        <w:t xml:space="preserve">Such identification is </w:t>
      </w:r>
      <w:r w:rsidRPr="00CC18A5">
        <w:rPr>
          <w:rStyle w:val="StyleUnderline"/>
          <w:highlight w:val="green"/>
        </w:rPr>
        <w:t>acquired by false</w:t>
      </w:r>
      <w:r w:rsidRPr="009125F4">
        <w:rPr>
          <w:rStyle w:val="StyleUnderline"/>
        </w:rPr>
        <w:t xml:space="preserve"> </w:t>
      </w:r>
      <w:r w:rsidRPr="00CC18A5">
        <w:rPr>
          <w:rStyle w:val="StyleUnderline"/>
          <w:highlight w:val="green"/>
        </w:rPr>
        <w:t>knowledge</w:t>
      </w:r>
      <w:r w:rsidRPr="009125F4">
        <w:rPr>
          <w:sz w:val="16"/>
        </w:rPr>
        <w:t xml:space="preserve"> </w:t>
      </w:r>
      <w:r w:rsidRPr="00CC18A5">
        <w:rPr>
          <w:rStyle w:val="StyleUnderline"/>
          <w:highlight w:val="green"/>
        </w:rPr>
        <w:t>and</w:t>
      </w:r>
      <w:r w:rsidRPr="009125F4">
        <w:rPr>
          <w:sz w:val="16"/>
        </w:rPr>
        <w:t xml:space="preserve"> </w:t>
      </w:r>
      <w:r w:rsidRPr="009125F4">
        <w:rPr>
          <w:rStyle w:val="Emphasis"/>
        </w:rPr>
        <w:t xml:space="preserve">false </w:t>
      </w:r>
      <w:r w:rsidRPr="00CC18A5">
        <w:rPr>
          <w:rStyle w:val="Emphasis"/>
          <w:highlight w:val="green"/>
        </w:rPr>
        <w:t>comparison with other peoples</w:t>
      </w:r>
      <w:r w:rsidRPr="009125F4">
        <w:rPr>
          <w:sz w:val="16"/>
        </w:rPr>
        <w:t xml:space="preserve">, those </w:t>
      </w:r>
      <w:r w:rsidRPr="009125F4">
        <w:rPr>
          <w:rStyle w:val="StyleUnderline"/>
        </w:rPr>
        <w:t>who were</w:t>
      </w:r>
      <w:r w:rsidRPr="009125F4">
        <w:rPr>
          <w:sz w:val="16"/>
        </w:rPr>
        <w:t xml:space="preserve"> </w:t>
      </w:r>
      <w:r w:rsidRPr="00CC18A5">
        <w:rPr>
          <w:rStyle w:val="Emphasis"/>
          <w:highlight w:val="green"/>
        </w:rPr>
        <w:t>said to ‘lack’ the rule of law</w:t>
      </w:r>
      <w:r w:rsidRPr="00CC18A5">
        <w:rPr>
          <w:sz w:val="16"/>
          <w:highlight w:val="green"/>
        </w:rPr>
        <w:t>,</w:t>
      </w:r>
      <w:r w:rsidRPr="009125F4">
        <w:rPr>
          <w:sz w:val="16"/>
        </w:rPr>
        <w:t xml:space="preserve"> </w:t>
      </w:r>
      <w:r w:rsidRPr="009125F4">
        <w:rPr>
          <w:rStyle w:val="StyleUnderline"/>
        </w:rPr>
        <w:t>such as</w:t>
      </w:r>
      <w:r w:rsidRPr="009125F4">
        <w:rPr>
          <w:sz w:val="16"/>
        </w:rPr>
        <w:t xml:space="preserve"> </w:t>
      </w:r>
      <w:r w:rsidRPr="009125F4">
        <w:rPr>
          <w:rStyle w:val="StyleUnderline"/>
        </w:rPr>
        <w:t>China, Japan, India, and the</w:t>
      </w:r>
      <w:r w:rsidRPr="009125F4">
        <w:rPr>
          <w:sz w:val="16"/>
        </w:rPr>
        <w:t xml:space="preserve"> </w:t>
      </w:r>
      <w:r w:rsidRPr="009125F4">
        <w:rPr>
          <w:rStyle w:val="Emphasis"/>
        </w:rPr>
        <w:t>Islamic world</w:t>
      </w:r>
      <w:r w:rsidRPr="009125F4">
        <w:rPr>
          <w:sz w:val="16"/>
        </w:rPr>
        <w:t xml:space="preserve"> more generally. In a similar fashion today, </w:t>
      </w:r>
      <w:r w:rsidRPr="009125F4">
        <w:rPr>
          <w:rStyle w:val="StyleUnderline"/>
        </w:rPr>
        <w:t>according to some leading economists,</w:t>
      </w:r>
      <w:r w:rsidRPr="009125F4">
        <w:rPr>
          <w:sz w:val="16"/>
        </w:rPr>
        <w:t xml:space="preserve"> </w:t>
      </w:r>
      <w:r w:rsidRPr="009125F4">
        <w:rPr>
          <w:rStyle w:val="Emphasis"/>
        </w:rPr>
        <w:t>Third World developing countries ‘lack’ the minimal institutional systems</w:t>
      </w:r>
      <w:r w:rsidRPr="009125F4">
        <w:rPr>
          <w:sz w:val="16"/>
        </w:rPr>
        <w:t xml:space="preserve"> </w:t>
      </w:r>
      <w:r w:rsidRPr="009125F4">
        <w:rPr>
          <w:rStyle w:val="StyleUnderline"/>
        </w:rPr>
        <w:t>necessary for the unfolding of a market economy</w:t>
      </w:r>
      <w:r w:rsidRPr="009125F4">
        <w:rPr>
          <w:sz w:val="16"/>
        </w:rPr>
        <w:t xml:space="preserve">. </w:t>
      </w:r>
    </w:p>
    <w:p w14:paraId="20A8695F" w14:textId="77777777" w:rsidR="00E5507F" w:rsidRDefault="00E5507F" w:rsidP="00E5507F">
      <w:pPr>
        <w:pStyle w:val="cardtext"/>
        <w:ind w:left="0"/>
        <w:rPr>
          <w:sz w:val="16"/>
        </w:rPr>
      </w:pPr>
      <w:r w:rsidRPr="009125F4">
        <w:rPr>
          <w:rStyle w:val="StyleUnderline"/>
        </w:rPr>
        <w:t>The</w:t>
      </w:r>
      <w:r w:rsidRPr="009125F4">
        <w:rPr>
          <w:sz w:val="16"/>
        </w:rPr>
        <w:t xml:space="preserve"> </w:t>
      </w:r>
      <w:r w:rsidRPr="00CC18A5">
        <w:rPr>
          <w:rStyle w:val="Emphasis"/>
          <w:highlight w:val="green"/>
        </w:rPr>
        <w:t>theory of ‘lack’</w:t>
      </w:r>
      <w:r w:rsidRPr="009125F4">
        <w:rPr>
          <w:sz w:val="16"/>
        </w:rPr>
        <w:t xml:space="preserve"> </w:t>
      </w:r>
      <w:r w:rsidRPr="009125F4">
        <w:rPr>
          <w:rStyle w:val="StyleUnderline"/>
        </w:rPr>
        <w:t>and the</w:t>
      </w:r>
      <w:r w:rsidRPr="009125F4">
        <w:rPr>
          <w:sz w:val="16"/>
        </w:rPr>
        <w:t xml:space="preserve"> </w:t>
      </w:r>
      <w:r w:rsidRPr="009125F4">
        <w:rPr>
          <w:rStyle w:val="Emphasis"/>
        </w:rPr>
        <w:t>rhetoric of the rule of law</w:t>
      </w:r>
      <w:r w:rsidRPr="009125F4">
        <w:rPr>
          <w:sz w:val="16"/>
        </w:rPr>
        <w:t xml:space="preserve"> </w:t>
      </w:r>
      <w:r w:rsidRPr="009125F4">
        <w:rPr>
          <w:rStyle w:val="StyleUnderline"/>
        </w:rPr>
        <w:t>have</w:t>
      </w:r>
      <w:r w:rsidRPr="009125F4">
        <w:rPr>
          <w:sz w:val="16"/>
        </w:rPr>
        <w:t xml:space="preserve"> </w:t>
      </w:r>
      <w:r w:rsidRPr="00CC18A5">
        <w:rPr>
          <w:rStyle w:val="Emphasis"/>
          <w:highlight w:val="green"/>
        </w:rPr>
        <w:t>justified aggressive interventions</w:t>
      </w:r>
      <w:r w:rsidRPr="009125F4">
        <w:rPr>
          <w:sz w:val="16"/>
        </w:rPr>
        <w:t xml:space="preserve"> </w:t>
      </w:r>
      <w:r w:rsidRPr="009125F4">
        <w:rPr>
          <w:rStyle w:val="StyleUnderline"/>
        </w:rPr>
        <w:t>from Western countries into non-Western ones.</w:t>
      </w:r>
      <w:r w:rsidRPr="009125F4">
        <w:rPr>
          <w:sz w:val="16"/>
        </w:rPr>
        <w:t xml:space="preserve"> The policy of </w:t>
      </w:r>
      <w:r w:rsidRPr="009125F4">
        <w:rPr>
          <w:rStyle w:val="StyleUnderline"/>
        </w:rPr>
        <w:t xml:space="preserve">corporatization and </w:t>
      </w:r>
      <w:r w:rsidRPr="00CC18A5">
        <w:rPr>
          <w:rStyle w:val="StyleUnderline"/>
          <w:highlight w:val="green"/>
        </w:rPr>
        <w:t>open markets</w:t>
      </w:r>
      <w:r w:rsidRPr="009125F4">
        <w:rPr>
          <w:rStyle w:val="StyleUnderline"/>
        </w:rPr>
        <w:t>,</w:t>
      </w:r>
      <w:r w:rsidRPr="009125F4">
        <w:rPr>
          <w:sz w:val="16"/>
        </w:rPr>
        <w:t xml:space="preserve"> supported today globally by the so-called Washington consensus, </w:t>
      </w:r>
      <w:r w:rsidRPr="009125F4">
        <w:rPr>
          <w:rStyle w:val="StyleUnderline"/>
        </w:rPr>
        <w:t>was used by Western bankers and the business community in Latin America as the main vehicle to ‘</w:t>
      </w:r>
      <w:r w:rsidRPr="00CC18A5">
        <w:rPr>
          <w:rStyle w:val="StyleUnderline"/>
          <w:highlight w:val="green"/>
        </w:rPr>
        <w:t>open the veins’ of the continent</w:t>
      </w:r>
      <w:r w:rsidRPr="009125F4">
        <w:rPr>
          <w:sz w:val="16"/>
        </w:rPr>
        <w:t xml:space="preserve">—to borrow Eduardo Galeano’s metaphor4—with no solution of continuity between colonial and post-colonial times. </w:t>
      </w:r>
      <w:r w:rsidRPr="009125F4">
        <w:rPr>
          <w:rStyle w:val="StyleUnderline"/>
        </w:rPr>
        <w:t>Similar policy was used in</w:t>
      </w:r>
      <w:r w:rsidRPr="009125F4">
        <w:rPr>
          <w:sz w:val="16"/>
        </w:rPr>
        <w:t xml:space="preserve"> </w:t>
      </w:r>
      <w:r w:rsidRPr="009125F4">
        <w:rPr>
          <w:rStyle w:val="Emphasis"/>
        </w:rPr>
        <w:t>Africa</w:t>
      </w:r>
      <w:r w:rsidRPr="009125F4">
        <w:rPr>
          <w:sz w:val="16"/>
        </w:rPr>
        <w:t xml:space="preserve"> to facilitate the forced transfer of slaves to America, and today </w:t>
      </w:r>
      <w:r w:rsidRPr="009125F4">
        <w:rPr>
          <w:rStyle w:val="StyleUnderline"/>
        </w:rPr>
        <w:t>to facilitate the</w:t>
      </w:r>
      <w:r w:rsidRPr="009125F4">
        <w:rPr>
          <w:sz w:val="16"/>
        </w:rPr>
        <w:t xml:space="preserve"> </w:t>
      </w:r>
      <w:r w:rsidRPr="009125F4">
        <w:rPr>
          <w:rStyle w:val="StyleUnderline"/>
        </w:rPr>
        <w:t>extraction of agricultural products, oil, minerals, ideas and cultural artefacts</w:t>
      </w:r>
      <w:r w:rsidRPr="009125F4">
        <w:rPr>
          <w:sz w:val="16"/>
        </w:rPr>
        <w:t xml:space="preserve"> in the same countries. The policy of opening markets for free trade, used today in Afghanistan and Iraq, was used in China during the nineteenth century Opium War, in which free trade was interpreted as an obligation to buy drugs from British dealers. The policy of forcing local industries to compete on open markets was used by the British empire in Bengal, as it is today by the WTO in Asia, Africa, and Latin America. </w:t>
      </w:r>
      <w:r w:rsidRPr="009125F4">
        <w:rPr>
          <w:sz w:val="12"/>
        </w:rPr>
        <w:t>¶</w:t>
      </w:r>
      <w:r w:rsidRPr="009125F4">
        <w:rPr>
          <w:sz w:val="16"/>
        </w:rPr>
        <w:t xml:space="preserve"> </w:t>
      </w:r>
      <w:r w:rsidRPr="00CC18A5">
        <w:rPr>
          <w:rStyle w:val="Emphasis"/>
          <w:highlight w:val="green"/>
        </w:rPr>
        <w:t>Foreign-imposed privatization laws</w:t>
      </w:r>
      <w:r w:rsidRPr="009125F4">
        <w:rPr>
          <w:sz w:val="16"/>
        </w:rPr>
        <w:t xml:space="preserve"> </w:t>
      </w:r>
      <w:r w:rsidRPr="009125F4">
        <w:rPr>
          <w:rStyle w:val="StyleUnderline"/>
        </w:rPr>
        <w:t>that facilitate</w:t>
      </w:r>
      <w:r w:rsidRPr="009125F4">
        <w:rPr>
          <w:sz w:val="16"/>
        </w:rPr>
        <w:t xml:space="preserve"> </w:t>
      </w:r>
      <w:r w:rsidRPr="009125F4">
        <w:rPr>
          <w:rStyle w:val="StyleUnderline"/>
        </w:rPr>
        <w:t>unconscionable bargains</w:t>
      </w:r>
      <w:r w:rsidRPr="009125F4">
        <w:rPr>
          <w:sz w:val="16"/>
        </w:rPr>
        <w:t xml:space="preserve"> </w:t>
      </w:r>
      <w:r w:rsidRPr="009125F4">
        <w:rPr>
          <w:rStyle w:val="Emphasis"/>
        </w:rPr>
        <w:t>at the expense of the people</w:t>
      </w:r>
      <w:r w:rsidRPr="009125F4">
        <w:rPr>
          <w:sz w:val="16"/>
        </w:rPr>
        <w:t xml:space="preserve"> </w:t>
      </w:r>
      <w:r w:rsidRPr="00CC18A5">
        <w:rPr>
          <w:rStyle w:val="StyleUnderline"/>
          <w:highlight w:val="green"/>
        </w:rPr>
        <w:t>have been</w:t>
      </w:r>
      <w:r w:rsidRPr="00CC18A5">
        <w:rPr>
          <w:sz w:val="16"/>
          <w:highlight w:val="green"/>
        </w:rPr>
        <w:t xml:space="preserve"> </w:t>
      </w:r>
      <w:r w:rsidRPr="00CC18A5">
        <w:rPr>
          <w:rStyle w:val="Emphasis"/>
          <w:highlight w:val="green"/>
        </w:rPr>
        <w:t>vehicles of plunder</w:t>
      </w:r>
      <w:r w:rsidRPr="009125F4">
        <w:rPr>
          <w:rStyle w:val="Emphasis"/>
        </w:rPr>
        <w:t>, not of legality</w:t>
      </w:r>
      <w:r w:rsidRPr="009125F4">
        <w:rPr>
          <w:sz w:val="16"/>
        </w:rPr>
        <w:t xml:space="preserve">. In all these settings </w:t>
      </w:r>
      <w:r w:rsidRPr="009125F4">
        <w:rPr>
          <w:rStyle w:val="StyleUnderline"/>
        </w:rPr>
        <w:t>the</w:t>
      </w:r>
      <w:r w:rsidRPr="009125F4">
        <w:rPr>
          <w:sz w:val="16"/>
        </w:rPr>
        <w:t xml:space="preserve"> </w:t>
      </w:r>
      <w:r w:rsidRPr="00CC18A5">
        <w:rPr>
          <w:rStyle w:val="Emphasis"/>
          <w:highlight w:val="green"/>
        </w:rPr>
        <w:t>tragic human suffering</w:t>
      </w:r>
      <w:r w:rsidRPr="009125F4">
        <w:rPr>
          <w:sz w:val="16"/>
        </w:rPr>
        <w:t xml:space="preserve"> </w:t>
      </w:r>
      <w:r w:rsidRPr="009125F4">
        <w:rPr>
          <w:rStyle w:val="StyleUnderline"/>
        </w:rPr>
        <w:t xml:space="preserve">produced by such plunder </w:t>
      </w:r>
      <w:r w:rsidRPr="00CC18A5">
        <w:rPr>
          <w:rStyle w:val="StyleUnderline"/>
          <w:highlight w:val="green"/>
        </w:rPr>
        <w:t>is</w:t>
      </w:r>
      <w:r w:rsidRPr="009125F4">
        <w:rPr>
          <w:sz w:val="16"/>
        </w:rPr>
        <w:t xml:space="preserve"> </w:t>
      </w:r>
      <w:r w:rsidRPr="009125F4">
        <w:rPr>
          <w:rStyle w:val="Emphasis"/>
        </w:rPr>
        <w:t xml:space="preserve">simply </w:t>
      </w:r>
      <w:r w:rsidRPr="00CC18A5">
        <w:rPr>
          <w:rStyle w:val="Emphasis"/>
          <w:highlight w:val="green"/>
        </w:rPr>
        <w:t>ignored</w:t>
      </w:r>
      <w:r w:rsidRPr="009125F4">
        <w:rPr>
          <w:sz w:val="16"/>
        </w:rPr>
        <w:t xml:space="preserve">. In this context </w:t>
      </w:r>
      <w:r w:rsidRPr="00CC18A5">
        <w:rPr>
          <w:rStyle w:val="StyleUnderline"/>
          <w:highlight w:val="green"/>
        </w:rPr>
        <w:t>law</w:t>
      </w:r>
      <w:r w:rsidRPr="009125F4">
        <w:rPr>
          <w:rStyle w:val="StyleUnderline"/>
        </w:rPr>
        <w:t xml:space="preserve"> played a major role in </w:t>
      </w:r>
      <w:r w:rsidRPr="00CC18A5">
        <w:rPr>
          <w:rStyle w:val="StyleUnderline"/>
          <w:highlight w:val="green"/>
        </w:rPr>
        <w:t>legaliz</w:t>
      </w:r>
      <w:r w:rsidRPr="009125F4">
        <w:rPr>
          <w:rStyle w:val="StyleUnderline"/>
        </w:rPr>
        <w:t>ing</w:t>
      </w:r>
      <w:r w:rsidRPr="00CC18A5">
        <w:rPr>
          <w:rStyle w:val="StyleUnderline"/>
          <w:highlight w:val="green"/>
        </w:rPr>
        <w:t xml:space="preserve"> such practices</w:t>
      </w:r>
      <w:r w:rsidRPr="009125F4">
        <w:rPr>
          <w:rStyle w:val="StyleUnderline"/>
        </w:rPr>
        <w:t xml:space="preserve"> of powerful actors against the powerless.</w:t>
      </w:r>
      <w:r w:rsidRPr="009125F4">
        <w:rPr>
          <w:sz w:val="16"/>
        </w:rPr>
        <w:t xml:space="preserve">5 </w:t>
      </w:r>
      <w:r w:rsidRPr="009125F4">
        <w:rPr>
          <w:rStyle w:val="StyleUnderline"/>
        </w:rPr>
        <w:t>Yet</w:t>
      </w:r>
      <w:r w:rsidRPr="009125F4">
        <w:rPr>
          <w:sz w:val="16"/>
        </w:rPr>
        <w:t xml:space="preserve">, </w:t>
      </w:r>
      <w:r w:rsidRPr="009125F4">
        <w:rPr>
          <w:rStyle w:val="Emphasis"/>
        </w:rPr>
        <w:t>this use of power is scarcely explored in the study of Western law</w:t>
      </w:r>
      <w:r w:rsidRPr="009125F4">
        <w:rPr>
          <w:sz w:val="16"/>
        </w:rPr>
        <w:t xml:space="preserve">. </w:t>
      </w:r>
    </w:p>
    <w:p w14:paraId="77DF34E7" w14:textId="77777777" w:rsidR="00E5507F" w:rsidRDefault="00E5507F" w:rsidP="00E5507F">
      <w:pPr>
        <w:pStyle w:val="cardtext"/>
        <w:ind w:left="0"/>
        <w:rPr>
          <w:sz w:val="16"/>
        </w:rPr>
      </w:pPr>
      <w:r w:rsidRPr="009125F4">
        <w:rPr>
          <w:rStyle w:val="StyleUnderline"/>
        </w:rPr>
        <w:t>The</w:t>
      </w:r>
      <w:r w:rsidRPr="009125F4">
        <w:rPr>
          <w:sz w:val="16"/>
        </w:rPr>
        <w:t xml:space="preserve"> </w:t>
      </w:r>
      <w:r w:rsidRPr="00CC18A5">
        <w:rPr>
          <w:rStyle w:val="Emphasis"/>
          <w:highlight w:val="green"/>
        </w:rPr>
        <w:t>exportation of Western legal institutions</w:t>
      </w:r>
      <w:r w:rsidRPr="009125F4">
        <w:rPr>
          <w:sz w:val="16"/>
        </w:rPr>
        <w:t xml:space="preserve"> </w:t>
      </w:r>
      <w:r w:rsidRPr="009125F4">
        <w:rPr>
          <w:rStyle w:val="StyleUnderline"/>
        </w:rPr>
        <w:t>from the West to the ‘rest’ has</w:t>
      </w:r>
      <w:r w:rsidRPr="009125F4">
        <w:rPr>
          <w:sz w:val="16"/>
        </w:rPr>
        <w:t xml:space="preserve"> </w:t>
      </w:r>
      <w:r w:rsidRPr="009125F4">
        <w:rPr>
          <w:rStyle w:val="StyleUnderline"/>
        </w:rPr>
        <w:t xml:space="preserve">systematically been </w:t>
      </w:r>
      <w:r w:rsidRPr="00CC18A5">
        <w:rPr>
          <w:rStyle w:val="StyleUnderline"/>
          <w:highlight w:val="green"/>
        </w:rPr>
        <w:t>justified</w:t>
      </w:r>
      <w:r w:rsidRPr="009125F4">
        <w:rPr>
          <w:rStyle w:val="StyleUnderline"/>
        </w:rPr>
        <w:t xml:space="preserve"> </w:t>
      </w:r>
      <w:r w:rsidRPr="00CC18A5">
        <w:rPr>
          <w:rStyle w:val="StyleUnderline"/>
          <w:highlight w:val="green"/>
        </w:rPr>
        <w:t>through</w:t>
      </w:r>
      <w:r w:rsidRPr="009125F4">
        <w:rPr>
          <w:rStyle w:val="StyleUnderline"/>
        </w:rPr>
        <w:t xml:space="preserve"> the</w:t>
      </w:r>
      <w:r w:rsidRPr="009125F4">
        <w:rPr>
          <w:sz w:val="16"/>
        </w:rPr>
        <w:t xml:space="preserve"> </w:t>
      </w:r>
      <w:r w:rsidRPr="009125F4">
        <w:rPr>
          <w:rStyle w:val="Emphasis"/>
        </w:rPr>
        <w:t>ideological use</w:t>
      </w:r>
      <w:r w:rsidRPr="009125F4">
        <w:rPr>
          <w:sz w:val="16"/>
        </w:rPr>
        <w:t xml:space="preserve"> </w:t>
      </w:r>
      <w:r w:rsidRPr="009125F4">
        <w:rPr>
          <w:rStyle w:val="StyleUnderline"/>
        </w:rPr>
        <w:t>of the extremely politically strong and</w:t>
      </w:r>
      <w:r w:rsidRPr="009125F4">
        <w:rPr>
          <w:sz w:val="16"/>
        </w:rPr>
        <w:t xml:space="preserve"> </w:t>
      </w:r>
      <w:r w:rsidRPr="009125F4">
        <w:rPr>
          <w:rStyle w:val="Emphasis"/>
        </w:rPr>
        <w:t>technically weak</w:t>
      </w:r>
      <w:r w:rsidRPr="009125F4">
        <w:rPr>
          <w:sz w:val="16"/>
        </w:rPr>
        <w:t xml:space="preserve"> </w:t>
      </w:r>
      <w:r w:rsidRPr="009125F4">
        <w:rPr>
          <w:rStyle w:val="StyleUnderline"/>
        </w:rPr>
        <w:t>concept of ‘</w:t>
      </w:r>
      <w:r w:rsidRPr="00CC18A5">
        <w:rPr>
          <w:rStyle w:val="StyleUnderline"/>
          <w:highlight w:val="green"/>
        </w:rPr>
        <w:t>rule of law’</w:t>
      </w:r>
      <w:r w:rsidRPr="009125F4">
        <w:rPr>
          <w:sz w:val="16"/>
        </w:rPr>
        <w:t xml:space="preserve">. The notion of ‘rule of law’ is an extremely ambiguous one. Notwithstanding, within any public discussion </w:t>
      </w:r>
      <w:r w:rsidRPr="009125F4">
        <w:rPr>
          <w:rStyle w:val="StyleUnderline"/>
        </w:rPr>
        <w:t xml:space="preserve">its </w:t>
      </w:r>
      <w:r w:rsidRPr="00CC18A5">
        <w:rPr>
          <w:rStyle w:val="StyleUnderline"/>
          <w:highlight w:val="green"/>
        </w:rPr>
        <w:t>positive connotations</w:t>
      </w:r>
      <w:r w:rsidRPr="009125F4">
        <w:rPr>
          <w:rStyle w:val="StyleUnderline"/>
        </w:rPr>
        <w:t xml:space="preserve"> have always been </w:t>
      </w:r>
      <w:r w:rsidRPr="00CC18A5">
        <w:rPr>
          <w:rStyle w:val="StyleUnderline"/>
          <w:highlight w:val="green"/>
        </w:rPr>
        <w:t>taken for granted</w:t>
      </w:r>
      <w:r w:rsidRPr="009125F4">
        <w:rPr>
          <w:rStyle w:val="StyleUnderline"/>
        </w:rPr>
        <w:t>.</w:t>
      </w:r>
      <w:r w:rsidRPr="009125F4">
        <w:rPr>
          <w:sz w:val="16"/>
        </w:rPr>
        <w:t xml:space="preserve"> </w:t>
      </w:r>
      <w:r w:rsidRPr="009125F4">
        <w:rPr>
          <w:rStyle w:val="Emphasis"/>
        </w:rPr>
        <w:t>The dominant image</w:t>
      </w:r>
      <w:r w:rsidRPr="009125F4">
        <w:rPr>
          <w:sz w:val="16"/>
        </w:rPr>
        <w:t xml:space="preserve"> </w:t>
      </w:r>
      <w:r w:rsidRPr="009125F4">
        <w:rPr>
          <w:rStyle w:val="StyleUnderline"/>
        </w:rPr>
        <w:t>of the rule of law is</w:t>
      </w:r>
      <w:r w:rsidRPr="009125F4">
        <w:rPr>
          <w:sz w:val="16"/>
        </w:rPr>
        <w:t xml:space="preserve"> </w:t>
      </w:r>
      <w:r w:rsidRPr="009125F4">
        <w:rPr>
          <w:rStyle w:val="Emphasis"/>
        </w:rPr>
        <w:t>false</w:t>
      </w:r>
      <w:r w:rsidRPr="009125F4">
        <w:rPr>
          <w:sz w:val="16"/>
        </w:rPr>
        <w:t xml:space="preserve"> both </w:t>
      </w:r>
      <w:r w:rsidRPr="009125F4">
        <w:rPr>
          <w:rStyle w:val="StyleUnderline"/>
        </w:rPr>
        <w:t>historically and in the present</w:t>
      </w:r>
      <w:r w:rsidRPr="009125F4">
        <w:rPr>
          <w:sz w:val="16"/>
        </w:rPr>
        <w:t xml:space="preserve">, </w:t>
      </w:r>
      <w:r w:rsidRPr="009125F4">
        <w:rPr>
          <w:rStyle w:val="StyleUnderline"/>
        </w:rPr>
        <w:t>because it does not fully acknowledge its dark side</w:t>
      </w:r>
      <w:r w:rsidRPr="009125F4">
        <w:rPr>
          <w:sz w:val="16"/>
        </w:rPr>
        <w:t xml:space="preserve">. </w:t>
      </w:r>
      <w:r w:rsidRPr="009125F4">
        <w:rPr>
          <w:rStyle w:val="StyleUnderline"/>
        </w:rPr>
        <w:t>The</w:t>
      </w:r>
      <w:r w:rsidRPr="009125F4">
        <w:rPr>
          <w:sz w:val="16"/>
        </w:rPr>
        <w:t xml:space="preserve"> </w:t>
      </w:r>
      <w:r w:rsidRPr="00CC18A5">
        <w:rPr>
          <w:rStyle w:val="Emphasis"/>
          <w:highlight w:val="green"/>
        </w:rPr>
        <w:t>false representation</w:t>
      </w:r>
      <w:r w:rsidRPr="00CC18A5">
        <w:rPr>
          <w:sz w:val="16"/>
          <w:highlight w:val="green"/>
        </w:rPr>
        <w:t xml:space="preserve"> </w:t>
      </w:r>
      <w:r w:rsidRPr="00CC18A5">
        <w:rPr>
          <w:rStyle w:val="StyleUnderline"/>
          <w:highlight w:val="green"/>
        </w:rPr>
        <w:t>starts</w:t>
      </w:r>
      <w:r w:rsidRPr="009125F4">
        <w:rPr>
          <w:rStyle w:val="StyleUnderline"/>
        </w:rPr>
        <w:t xml:space="preserve"> </w:t>
      </w:r>
      <w:r w:rsidRPr="00CC18A5">
        <w:rPr>
          <w:rStyle w:val="StyleUnderline"/>
          <w:highlight w:val="green"/>
        </w:rPr>
        <w:t>from</w:t>
      </w:r>
      <w:r w:rsidRPr="009125F4">
        <w:rPr>
          <w:rStyle w:val="StyleUnderline"/>
        </w:rPr>
        <w:t xml:space="preserve"> the </w:t>
      </w:r>
      <w:r w:rsidRPr="00CC18A5">
        <w:rPr>
          <w:rStyle w:val="StyleUnderline"/>
          <w:highlight w:val="green"/>
        </w:rPr>
        <w:t>idea that good law</w:t>
      </w:r>
      <w:r w:rsidRPr="009125F4">
        <w:rPr>
          <w:sz w:val="16"/>
        </w:rPr>
        <w:t xml:space="preserve"> (</w:t>
      </w:r>
      <w:r w:rsidRPr="009125F4">
        <w:rPr>
          <w:rStyle w:val="Emphasis"/>
        </w:rPr>
        <w:t>which others ‘lack’</w:t>
      </w:r>
      <w:r w:rsidRPr="009125F4">
        <w:rPr>
          <w:sz w:val="16"/>
        </w:rPr>
        <w:t xml:space="preserve">) </w:t>
      </w:r>
      <w:r w:rsidRPr="00CC18A5">
        <w:rPr>
          <w:rStyle w:val="StyleUnderline"/>
          <w:highlight w:val="green"/>
        </w:rPr>
        <w:t>is autonomous</w:t>
      </w:r>
      <w:r w:rsidRPr="009125F4">
        <w:rPr>
          <w:rStyle w:val="StyleUnderline"/>
        </w:rPr>
        <w:t xml:space="preserve">, separate </w:t>
      </w:r>
      <w:r w:rsidRPr="00CC18A5">
        <w:rPr>
          <w:rStyle w:val="StyleUnderline"/>
          <w:highlight w:val="green"/>
        </w:rPr>
        <w:t>from</w:t>
      </w:r>
      <w:r w:rsidRPr="009125F4">
        <w:rPr>
          <w:rStyle w:val="StyleUnderline"/>
        </w:rPr>
        <w:t xml:space="preserve"> </w:t>
      </w:r>
      <w:r w:rsidRPr="00CC18A5">
        <w:rPr>
          <w:rStyle w:val="StyleUnderline"/>
          <w:highlight w:val="green"/>
        </w:rPr>
        <w:t>society</w:t>
      </w:r>
      <w:r w:rsidRPr="009125F4">
        <w:rPr>
          <w:rStyle w:val="StyleUnderline"/>
        </w:rPr>
        <w:t xml:space="preserve"> and its institutions, technical,</w:t>
      </w:r>
      <w:r w:rsidRPr="009125F4">
        <w:rPr>
          <w:sz w:val="16"/>
        </w:rPr>
        <w:t xml:space="preserve"> non-political, </w:t>
      </w:r>
      <w:r w:rsidRPr="009125F4">
        <w:rPr>
          <w:rStyle w:val="StyleUnderline"/>
        </w:rPr>
        <w:t>non-distributive and reactive rather than proactive</w:t>
      </w:r>
      <w:r w:rsidRPr="009125F4">
        <w:rPr>
          <w:sz w:val="16"/>
        </w:rPr>
        <w:t xml:space="preserve">: more succinctly, </w:t>
      </w:r>
      <w:r w:rsidRPr="009125F4">
        <w:rPr>
          <w:rStyle w:val="Emphasis"/>
        </w:rPr>
        <w:t>a technological framework for an ‘efficient’ market.</w:t>
      </w:r>
      <w:r w:rsidRPr="009125F4">
        <w:rPr>
          <w:sz w:val="16"/>
        </w:rPr>
        <w:t xml:space="preserve"> </w:t>
      </w:r>
      <w:r w:rsidRPr="009125F4">
        <w:rPr>
          <w:sz w:val="12"/>
        </w:rPr>
        <w:t>¶</w:t>
      </w:r>
      <w:r w:rsidRPr="009125F4">
        <w:rPr>
          <w:sz w:val="16"/>
        </w:rPr>
        <w:t xml:space="preserve"> </w:t>
      </w:r>
      <w:r w:rsidRPr="009125F4">
        <w:rPr>
          <w:rStyle w:val="StyleUnderline"/>
        </w:rPr>
        <w:t>The rule of law has</w:t>
      </w:r>
      <w:r w:rsidRPr="009125F4">
        <w:rPr>
          <w:sz w:val="16"/>
        </w:rPr>
        <w:t xml:space="preserve"> a bright and </w:t>
      </w:r>
      <w:r w:rsidRPr="009125F4">
        <w:rPr>
          <w:rStyle w:val="Emphasis"/>
        </w:rPr>
        <w:t>a dark side,</w:t>
      </w:r>
      <w:r w:rsidRPr="009125F4">
        <w:rPr>
          <w:sz w:val="16"/>
        </w:rPr>
        <w:t xml:space="preserve"> </w:t>
      </w:r>
      <w:r w:rsidRPr="009125F4">
        <w:rPr>
          <w:rStyle w:val="StyleUnderline"/>
        </w:rPr>
        <w:t>with the latter progressively</w:t>
      </w:r>
      <w:r w:rsidRPr="009125F4">
        <w:rPr>
          <w:sz w:val="16"/>
        </w:rPr>
        <w:t xml:space="preserve"> </w:t>
      </w:r>
      <w:r w:rsidRPr="009125F4">
        <w:rPr>
          <w:rStyle w:val="Emphasis"/>
        </w:rPr>
        <w:t>conquering new ground</w:t>
      </w:r>
      <w:r w:rsidRPr="009125F4">
        <w:rPr>
          <w:sz w:val="16"/>
        </w:rPr>
        <w:t xml:space="preserve"> whenever the former is not empowered by a political soul. In the absence of such political life, </w:t>
      </w:r>
      <w:r w:rsidRPr="009125F4">
        <w:rPr>
          <w:rStyle w:val="Emphasis"/>
        </w:rPr>
        <w:t xml:space="preserve">the </w:t>
      </w:r>
      <w:r w:rsidRPr="00CC18A5">
        <w:rPr>
          <w:rStyle w:val="Emphasis"/>
          <w:highlight w:val="green"/>
        </w:rPr>
        <w:t>rule of law becomes a cold technology</w:t>
      </w:r>
      <w:r w:rsidRPr="009125F4">
        <w:rPr>
          <w:sz w:val="16"/>
        </w:rPr>
        <w:t xml:space="preserve">. Moreover, </w:t>
      </w:r>
      <w:r w:rsidRPr="009125F4">
        <w:rPr>
          <w:rStyle w:val="StyleUnderline"/>
        </w:rPr>
        <w:t>when large corporate actors dominate states</w:t>
      </w:r>
      <w:r w:rsidRPr="009125F4">
        <w:rPr>
          <w:sz w:val="16"/>
        </w:rPr>
        <w:t xml:space="preserve"> (affected by a declining regulatory role), </w:t>
      </w:r>
      <w:r w:rsidRPr="009125F4">
        <w:rPr>
          <w:rStyle w:val="StyleUnderline"/>
        </w:rPr>
        <w:t>law becomes a product of the economy, and economy governs the law rather than being governed by it</w:t>
      </w:r>
      <w:r w:rsidRPr="009125F4">
        <w:rPr>
          <w:sz w:val="16"/>
        </w:rPr>
        <w:t>.</w:t>
      </w:r>
      <w:r>
        <w:rPr>
          <w:sz w:val="16"/>
        </w:rPr>
        <w:t xml:space="preserve"> </w:t>
      </w:r>
    </w:p>
    <w:p w14:paraId="48FD887D" w14:textId="77777777" w:rsidR="00E5507F" w:rsidRPr="000D2198" w:rsidRDefault="00E5507F" w:rsidP="00E5507F">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416A05F1" w14:textId="77777777" w:rsidR="00E5507F" w:rsidRDefault="00E5507F" w:rsidP="00E5507F">
      <w:pPr>
        <w:rPr>
          <w:rStyle w:val="Style13ptBold"/>
        </w:rPr>
      </w:pPr>
      <w:r>
        <w:rPr>
          <w:rStyle w:val="Style13ptBold"/>
        </w:rPr>
        <w:t>Escalante ‘18</w:t>
      </w:r>
    </w:p>
    <w:p w14:paraId="1B72C2EC" w14:textId="77777777" w:rsidR="00E5507F" w:rsidRPr="001E1390" w:rsidRDefault="00E5507F" w:rsidP="00E5507F">
      <w:pPr>
        <w:rPr>
          <w:sz w:val="16"/>
          <w:szCs w:val="16"/>
        </w:rPr>
      </w:pPr>
      <w:r w:rsidRPr="001E1390">
        <w:rPr>
          <w:sz w:val="16"/>
          <w:szCs w:val="16"/>
        </w:rPr>
        <w:t xml:space="preserve">[Alyson, philosophy at U of Oregon. 08/24/2018. “Against Electoralism, For Dual Power!” </w:t>
      </w:r>
      <w:hyperlink r:id="rId9" w:history="1">
        <w:r w:rsidRPr="001E1390">
          <w:rPr>
            <w:rStyle w:val="Hyperlink"/>
            <w:sz w:val="16"/>
            <w:szCs w:val="16"/>
          </w:rPr>
          <w:t>https://theforgenews.org/2018/08/24/against-electoralism-for-dual-power/</w:t>
        </w:r>
      </w:hyperlink>
      <w:r w:rsidRPr="001E1390">
        <w:rPr>
          <w:sz w:val="16"/>
          <w:szCs w:val="16"/>
        </w:rPr>
        <w:t>] pat</w:t>
      </w:r>
    </w:p>
    <w:p w14:paraId="1CAC9F71" w14:textId="77777777" w:rsidR="00E5507F" w:rsidRPr="000D2198" w:rsidRDefault="00E5507F" w:rsidP="00E5507F">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256D855F" w14:textId="77777777" w:rsidR="00E5507F" w:rsidRPr="000D2198" w:rsidRDefault="00E5507F" w:rsidP="00E5507F">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75A266C0" w14:textId="77777777" w:rsidR="00E5507F" w:rsidRPr="000D2198" w:rsidRDefault="00E5507F" w:rsidP="00E5507F">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724CBA66" w14:textId="77777777" w:rsidR="00E5507F" w:rsidRPr="000D2198" w:rsidRDefault="00E5507F" w:rsidP="00E5507F">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0497D591" w14:textId="77777777" w:rsidR="00E5507F" w:rsidRPr="000D2198" w:rsidRDefault="00E5507F" w:rsidP="00E5507F">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4FE8CE8D" w14:textId="77777777" w:rsidR="00E5507F" w:rsidRPr="000D2198" w:rsidRDefault="00E5507F" w:rsidP="00E5507F">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3148DDE0" w14:textId="77777777" w:rsidR="00E5507F" w:rsidRPr="000D2198" w:rsidRDefault="00E5507F" w:rsidP="00E5507F">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374AE5E" w14:textId="77777777" w:rsidR="00E5507F" w:rsidRPr="000D2198" w:rsidRDefault="00E5507F" w:rsidP="00E5507F">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3E523DBD" w14:textId="77777777" w:rsidR="00E5507F" w:rsidRPr="000D2198" w:rsidRDefault="00E5507F" w:rsidP="00E5507F">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74176395" w14:textId="77777777" w:rsidR="00E5507F" w:rsidRPr="000D2198" w:rsidRDefault="00E5507F" w:rsidP="00E5507F">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405448DC" w14:textId="77777777" w:rsidR="00E5507F" w:rsidRPr="000D2198" w:rsidRDefault="00E5507F" w:rsidP="00E5507F">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7C7BF1F7" w14:textId="77777777" w:rsidR="00E5507F" w:rsidRPr="000D2198" w:rsidRDefault="00E5507F" w:rsidP="00E5507F">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39FE8CF6" w14:textId="77777777" w:rsidR="00E5507F" w:rsidRDefault="00E5507F" w:rsidP="00E5507F">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7572997F" w14:textId="77777777" w:rsidR="00E5507F" w:rsidRPr="00DA16F9" w:rsidRDefault="00E5507F" w:rsidP="00E5507F">
      <w:pPr>
        <w:pStyle w:val="cardtext"/>
        <w:ind w:left="0"/>
        <w:rPr>
          <w:sz w:val="16"/>
        </w:rPr>
      </w:pPr>
    </w:p>
    <w:p w14:paraId="48779F10" w14:textId="77777777" w:rsidR="00E5507F" w:rsidRDefault="00E5507F" w:rsidP="00E5507F">
      <w:pPr>
        <w:pStyle w:val="Heading3"/>
      </w:pPr>
      <w:r>
        <w:t>1NC – 2</w:t>
      </w:r>
    </w:p>
    <w:p w14:paraId="301E0174" w14:textId="77777777" w:rsidR="00E5507F" w:rsidRPr="001C63F8" w:rsidRDefault="00E5507F" w:rsidP="00E5507F">
      <w:pPr>
        <w:pStyle w:val="Heading4"/>
      </w:pPr>
      <w:r w:rsidRPr="001C63F8">
        <w:t>Interpretation –</w:t>
      </w:r>
      <w:r>
        <w:t xml:space="preserve"> “A” in the resolution indicates that you must defend that all just governments recognize an unconditional right to strike. </w:t>
      </w:r>
    </w:p>
    <w:p w14:paraId="0A2A946A" w14:textId="77777777" w:rsidR="00E5507F" w:rsidRPr="001C63F8" w:rsidRDefault="00E5507F" w:rsidP="00E5507F"/>
    <w:p w14:paraId="1E8C4EBF" w14:textId="77777777" w:rsidR="00E5507F" w:rsidRPr="001C63F8" w:rsidRDefault="00E5507F" w:rsidP="00E5507F">
      <w:pPr>
        <w:pStyle w:val="Heading4"/>
      </w:pPr>
      <w:r w:rsidRPr="001C63F8">
        <w:t>An indefinite article like the word “a” is a universal quantifier if the main verb applies directly to it</w:t>
      </w:r>
    </w:p>
    <w:p w14:paraId="07B5BD9F" w14:textId="77777777" w:rsidR="00E5507F" w:rsidRPr="00572A97" w:rsidRDefault="00E5507F" w:rsidP="00E5507F">
      <w:pPr>
        <w:rPr>
          <w:sz w:val="16"/>
        </w:rPr>
      </w:pPr>
      <w:r w:rsidRPr="00572A97">
        <w:rPr>
          <w:sz w:val="16"/>
        </w:rPr>
        <w:t xml:space="preserve">Michael </w:t>
      </w:r>
      <w:r w:rsidRPr="00572A97">
        <w:rPr>
          <w:rStyle w:val="Emphasis"/>
        </w:rPr>
        <w:t>Hess. 1985.</w:t>
      </w:r>
      <w:r w:rsidRPr="00572A97">
        <w:rPr>
          <w:sz w:val="16"/>
        </w:rPr>
        <w:t xml:space="preserve"> (Michael Hess is professor of Computational Linguistics and head of the Institute of Computational Linguistics. PhD at University of Zurch). “How Does Natural Language Quantify?”. </w:t>
      </w:r>
      <w:hyperlink r:id="rId10" w:history="1">
        <w:r w:rsidRPr="00572A97">
          <w:rPr>
            <w:rStyle w:val="Hyperlink"/>
            <w:sz w:val="16"/>
          </w:rPr>
          <w:t>https://www.aclweb.org/anthology/E85-1002.pdf</w:t>
        </w:r>
      </w:hyperlink>
      <w:r w:rsidRPr="00572A97">
        <w:rPr>
          <w:sz w:val="16"/>
        </w:rPr>
        <w:t>. Bergen AK</w:t>
      </w:r>
    </w:p>
    <w:p w14:paraId="62383422" w14:textId="77777777" w:rsidR="00E5507F" w:rsidRPr="001C63F8" w:rsidRDefault="00E5507F" w:rsidP="00E5507F">
      <w:pPr>
        <w:rPr>
          <w:rStyle w:val="StyleUnderline"/>
        </w:rPr>
      </w:pPr>
      <w:r w:rsidRPr="001C63F8">
        <w:rPr>
          <w:sz w:val="16"/>
        </w:rPr>
        <w:t xml:space="preserve">The indefinite article seems, on the surface, to cause much less trouble than the definite article. Its interpretation as an existential quantifier always looked quite straightforward. </w:t>
      </w:r>
      <w:r w:rsidRPr="001C63F8">
        <w:rPr>
          <w:rStyle w:val="StyleUnderline"/>
        </w:rPr>
        <w:t xml:space="preserve">However, it was noticed (Kamp 1981) that </w:t>
      </w:r>
      <w:r w:rsidRPr="001C63F8">
        <w:rPr>
          <w:rStyle w:val="StyleUnderline"/>
          <w:highlight w:val="green"/>
        </w:rPr>
        <w:t>indefinite articles sometimes must be represented as universal quantifiers</w:t>
      </w:r>
      <w:r w:rsidRPr="001C63F8">
        <w:rPr>
          <w:rStyle w:val="StyleUnderline"/>
        </w:rPr>
        <w:t xml:space="preserve">. Prominent among these cases are the so- called donkey sentences, </w:t>
      </w:r>
      <w:r w:rsidRPr="001C63F8">
        <w:rPr>
          <w:rStyle w:val="StyleUnderline"/>
          <w:highlight w:val="green"/>
        </w:rPr>
        <w:t>exemplified by sentences 7 and 8. 7) If Pedro owns a donkey he is rich. 8) If Pedro owns a donkey he beats it</w:t>
      </w:r>
      <w:r w:rsidRPr="001C63F8">
        <w:rPr>
          <w:rStyle w:val="StyleUnderline"/>
        </w:rPr>
        <w:t>.</w:t>
      </w:r>
      <w:r w:rsidRPr="001C63F8">
        <w:rPr>
          <w:sz w:val="16"/>
        </w:rPr>
        <w:t xml:space="preserve"> The traditional, and most natural, representation of 7 is 7a 7a) EXISTS X: (donkey(X) AND owns(pedro,X)) IMPLIES rich(pedro). where the top-most syntactic connector of the English sentence, i.e. the conjunction "if", corresponds to the top-most connector of the logical form, i.e. the implication. </w:t>
      </w:r>
      <w:r w:rsidRPr="001C63F8">
        <w:rPr>
          <w:rStyle w:val="StyleUnderline"/>
        </w:rPr>
        <w:t>However, if we apply the same schema mechanically to example 8 it will produce the non-sentence 8a: 8a) EXISTS X: (</w:t>
      </w:r>
      <w:r w:rsidRPr="001C63F8">
        <w:rPr>
          <w:rStyle w:val="StyleUnderline"/>
          <w:highlight w:val="green"/>
        </w:rPr>
        <w:t>donkey</w:t>
      </w:r>
      <w:r w:rsidRPr="001C63F8">
        <w:rPr>
          <w:rStyle w:val="StyleUnderline"/>
        </w:rPr>
        <w:t xml:space="preserve">(X) AND owns(pedro,X)) IMPLIES beats(pedro, X). This is not a logical sentence because the variable "X" in the consequent </w:t>
      </w:r>
      <w:r w:rsidRPr="001C63F8">
        <w:rPr>
          <w:rStyle w:val="StyleUnderline"/>
          <w:highlight w:val="green"/>
        </w:rPr>
        <w:t xml:space="preserve">is outside the scope of the existential quantifier and </w:t>
      </w:r>
      <w:r w:rsidRPr="001C63F8">
        <w:rPr>
          <w:rStyle w:val="Emphasis"/>
          <w:highlight w:val="green"/>
        </w:rPr>
        <w:t>remains unbound</w:t>
      </w:r>
      <w:r w:rsidRPr="001C63F8">
        <w:rPr>
          <w:rStyle w:val="StyleUnderline"/>
        </w:rPr>
        <w:t xml:space="preserve">. </w:t>
      </w:r>
      <w:r w:rsidRPr="001C63F8">
        <w:rPr>
          <w:rStyle w:val="StyleUnderline"/>
          <w:highlight w:val="green"/>
        </w:rPr>
        <w:t>8</w:t>
      </w:r>
      <w:r w:rsidRPr="001C63F8">
        <w:rPr>
          <w:rStyle w:val="StyleUnderline"/>
        </w:rPr>
        <w:t xml:space="preserve"> </w:t>
      </w:r>
      <w:r w:rsidRPr="001C63F8">
        <w:rPr>
          <w:rStyle w:val="StyleUnderline"/>
          <w:highlight w:val="green"/>
        </w:rPr>
        <w:t>must</w:t>
      </w:r>
      <w:r w:rsidRPr="001C63F8">
        <w:rPr>
          <w:rStyle w:val="StyleUnderline"/>
        </w:rPr>
        <w:t xml:space="preserve"> therefore </w:t>
      </w:r>
      <w:r w:rsidRPr="001C63F8">
        <w:rPr>
          <w:rStyle w:val="StyleUnderline"/>
          <w:highlight w:val="green"/>
        </w:rPr>
        <w:t>be represented as</w:t>
      </w:r>
      <w:r w:rsidRPr="001C63F8">
        <w:rPr>
          <w:rStyle w:val="StyleUnderline"/>
        </w:rPr>
        <w:t xml:space="preserve"> 8b 8b) ALL X: ((donkey(X) AND owns(pedro,X)) IMPLIES beats(pedro, X)) </w:t>
      </w:r>
      <w:r w:rsidRPr="001C63F8">
        <w:rPr>
          <w:rStyle w:val="Emphasis"/>
        </w:rPr>
        <w:t xml:space="preserve">where the indefinite article is now represented </w:t>
      </w:r>
      <w:r w:rsidRPr="001C63F8">
        <w:rPr>
          <w:rStyle w:val="Emphasis"/>
          <w:highlight w:val="green"/>
        </w:rPr>
        <w:t>as a universal quantifier</w:t>
      </w:r>
      <w:r w:rsidRPr="001C63F8">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quantfflers we get 7b as representation for 7 7b) ALL X: ((donkey(X) AND owns(pedro,X)) IMPLIES rich(pedro)). which is indeed logically equivalent to 7a, but on purely formal grounds. </w:t>
      </w:r>
      <w:r w:rsidRPr="001C63F8">
        <w:rPr>
          <w:rStyle w:val="StyleUnderline"/>
          <w:highlight w:val="green"/>
        </w:rPr>
        <w:t>The scope has been artificially extended</w:t>
      </w:r>
      <w:r w:rsidRPr="001C63F8">
        <w:rPr>
          <w:rStyle w:val="StyleUnderline"/>
        </w:rPr>
        <w:t xml:space="preserve"> to span over terms without any variables,</w:t>
      </w:r>
      <w:r w:rsidRPr="001C63F8">
        <w:rPr>
          <w:sz w:val="16"/>
        </w:rPr>
        <w:t xml:space="preserve"> which certainly runs very much against our intuition about the meaning of the original sentence. </w:t>
      </w:r>
      <w:r w:rsidRPr="001C63F8">
        <w:rPr>
          <w:rStyle w:val="StyleUnderline"/>
        </w:rPr>
        <w:t>The conclusion cannot be avoided that even the seemingly innocuous indefinite article cannot be represented as a straightforward existential quantifier.</w:t>
      </w:r>
    </w:p>
    <w:p w14:paraId="2134DF1C" w14:textId="77777777" w:rsidR="00E5507F" w:rsidRDefault="00E5507F" w:rsidP="00E5507F">
      <w:pPr>
        <w:pStyle w:val="Heading4"/>
      </w:pPr>
      <w:r>
        <w:t>That applies to the rez – the obligation in the resolution applies directly to the just government, which makes “A” a universal quantifier. Vote aff:</w:t>
      </w:r>
    </w:p>
    <w:p w14:paraId="045FF816" w14:textId="77777777" w:rsidR="00E5507F" w:rsidRDefault="00E5507F" w:rsidP="00E5507F">
      <w:pPr>
        <w:pStyle w:val="Heading4"/>
      </w:pPr>
      <w:r>
        <w:t>1] Limits – there’s 195 different governments that you could potentially specify, which explodes the number of affs – there’s no universal disad to every government since each has different political scenarios so we lose core neg ground like the business confidence DA or the Grids/Police PIC. Limits outweighs – it controls the internal link to the possibility of engagement which turns education.</w:t>
      </w:r>
    </w:p>
    <w:p w14:paraId="70BD1F55" w14:textId="77777777" w:rsidR="00E5507F" w:rsidRDefault="00E5507F" w:rsidP="00E5507F">
      <w:pPr>
        <w:pStyle w:val="Heading4"/>
      </w:pPr>
      <w:r>
        <w:t>2] Precision – semantics outweighs pragmatics:</w:t>
      </w:r>
    </w:p>
    <w:p w14:paraId="2267FAB0" w14:textId="77777777" w:rsidR="00E5507F" w:rsidRDefault="00E5507F" w:rsidP="00E5507F">
      <w:pPr>
        <w:pStyle w:val="Heading4"/>
      </w:pPr>
      <w:r>
        <w:t>A] Anything else allows the aff to jettison words from the resolution to moot neg ground since they’re not bound by the resolution – they’ll say they’re good enough but there’s no brightline for that which justifies straying from the rez always.</w:t>
      </w:r>
    </w:p>
    <w:p w14:paraId="0A0900B1" w14:textId="77777777" w:rsidR="00E5507F" w:rsidRDefault="00E5507F" w:rsidP="00E5507F">
      <w:pPr>
        <w:pStyle w:val="Heading4"/>
      </w:pPr>
      <w: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166C361C" w14:textId="77777777" w:rsidR="00E5507F" w:rsidRDefault="00E5507F" w:rsidP="00E5507F">
      <w:pPr>
        <w:pStyle w:val="Heading4"/>
      </w:pPr>
      <w:r>
        <w:t>C] Jurisdiction – tournament rules mandate that we must defend the resolution, which means the judge doesn’t have the jurisdiction to vote on an advocacy that’s not topical.</w:t>
      </w:r>
      <w:r w:rsidRPr="00717EA9">
        <w:t xml:space="preserve"> </w:t>
      </w:r>
      <w:r>
        <w:t xml:space="preserve">Fairness is a voter—the judge must vote for the better debater which is impossible if the round is skewed.  </w:t>
      </w:r>
    </w:p>
    <w:p w14:paraId="50647F4D" w14:textId="77777777" w:rsidR="00E5507F" w:rsidRDefault="00E5507F" w:rsidP="00E5507F">
      <w:pPr>
        <w:pStyle w:val="Heading4"/>
      </w:pPr>
      <w:r>
        <w:t xml:space="preserve">Drop the debater since drop the arg is severance – restarts the debate so the aff gets 7-6 time skew and too late for new neg offense.  </w:t>
      </w:r>
    </w:p>
    <w:p w14:paraId="3A74907A" w14:textId="77777777" w:rsidR="00E5507F" w:rsidRDefault="00E5507F" w:rsidP="00E5507F">
      <w:pPr>
        <w:pStyle w:val="Heading4"/>
      </w:pPr>
      <w:r>
        <w:t xml:space="preserve">Use competing interps—[a] leads to a race to the top where we find the best norms [b] reasonability is arbitrary and invites judge intervention [c] reasonability collapses—you use offense/defense on the paradigm debate.  </w:t>
      </w:r>
    </w:p>
    <w:p w14:paraId="24D77A8E" w14:textId="77777777" w:rsidR="00E5507F" w:rsidRDefault="00E5507F" w:rsidP="00E5507F">
      <w:pPr>
        <w:pStyle w:val="Heading4"/>
      </w:pPr>
      <w:r>
        <w:t xml:space="preserve">No RVIs—[a] logic – you don’t win for being fair, [b] means you bait theory and go for the RVI  </w:t>
      </w:r>
    </w:p>
    <w:p w14:paraId="1127EFB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507F"/>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507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67E79"/>
  <w15:chartTrackingRefBased/>
  <w15:docId w15:val="{31DB468D-9E58-4E28-B135-4BFCDEEF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507F"/>
    <w:rPr>
      <w:rFonts w:ascii="Calibri" w:hAnsi="Calibri"/>
    </w:rPr>
  </w:style>
  <w:style w:type="paragraph" w:styleId="Heading1">
    <w:name w:val="heading 1"/>
    <w:aliases w:val="Pocket"/>
    <w:basedOn w:val="Normal"/>
    <w:next w:val="Normal"/>
    <w:link w:val="Heading1Char"/>
    <w:qFormat/>
    <w:rsid w:val="00E550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50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Char1,Heading 3 Char3,Heading 3 Char4 Char Char,Heading 3 Char3 Char Char Char,3: Cite,Index Headers,Bold Cite,Cite 1"/>
    <w:basedOn w:val="Normal"/>
    <w:next w:val="Normal"/>
    <w:link w:val="Heading3Char"/>
    <w:uiPriority w:val="2"/>
    <w:unhideWhenUsed/>
    <w:qFormat/>
    <w:rsid w:val="00E550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3"/>
    <w:unhideWhenUsed/>
    <w:qFormat/>
    <w:rsid w:val="00E550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50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507F"/>
  </w:style>
  <w:style w:type="character" w:customStyle="1" w:styleId="Heading1Char">
    <w:name w:val="Heading 1 Char"/>
    <w:aliases w:val="Pocket Char"/>
    <w:basedOn w:val="DefaultParagraphFont"/>
    <w:link w:val="Heading1"/>
    <w:rsid w:val="00E550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507F"/>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Char1 Char,Heading 3 Char3 Char,Heading 3 Char4 Char Char Char,Cite 1 Char"/>
    <w:basedOn w:val="DefaultParagraphFont"/>
    <w:link w:val="Heading3"/>
    <w:uiPriority w:val="2"/>
    <w:rsid w:val="00E5507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5507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E5507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5507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E5507F"/>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E5507F"/>
    <w:rPr>
      <w:color w:val="auto"/>
      <w:u w:val="none"/>
    </w:rPr>
  </w:style>
  <w:style w:type="character" w:styleId="FollowedHyperlink">
    <w:name w:val="FollowedHyperlink"/>
    <w:basedOn w:val="DefaultParagraphFont"/>
    <w:uiPriority w:val="99"/>
    <w:semiHidden/>
    <w:unhideWhenUsed/>
    <w:rsid w:val="00E5507F"/>
    <w:rPr>
      <w:color w:val="auto"/>
      <w:u w:val="none"/>
    </w:rPr>
  </w:style>
  <w:style w:type="paragraph" w:customStyle="1" w:styleId="Emphasis1">
    <w:name w:val="Emphasis1"/>
    <w:basedOn w:val="Normal"/>
    <w:link w:val="Emphasis"/>
    <w:autoRedefine/>
    <w:uiPriority w:val="7"/>
    <w:qFormat/>
    <w:rsid w:val="00E5507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text">
    <w:name w:val="card text"/>
    <w:basedOn w:val="Normal"/>
    <w:link w:val="cardtextChar"/>
    <w:qFormat/>
    <w:rsid w:val="00E5507F"/>
    <w:pPr>
      <w:ind w:left="288" w:right="288"/>
    </w:pPr>
  </w:style>
  <w:style w:type="character" w:customStyle="1" w:styleId="cardtextChar">
    <w:name w:val="card text Char"/>
    <w:basedOn w:val="DefaultParagraphFont"/>
    <w:link w:val="cardtext"/>
    <w:rsid w:val="00E5507F"/>
    <w:rPr>
      <w:rFonts w:ascii="Calibri" w:hAnsi="Calibri"/>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CD - Cite"/>
    <w:basedOn w:val="Heading1"/>
    <w:link w:val="Hyperlink"/>
    <w:autoRedefine/>
    <w:uiPriority w:val="99"/>
    <w:qFormat/>
    <w:rsid w:val="00E550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orks.bepress.com/cgi/viewcontent.cgi?article=1014&amp;context=bocconi_legal_papers" TargetMode="External"/><Relationship Id="rId3" Type="http://schemas.openxmlformats.org/officeDocument/2006/relationships/styles" Target="styles.xml"/><Relationship Id="rId7" Type="http://schemas.openxmlformats.org/officeDocument/2006/relationships/hyperlink" Target="https://scholar.law.colorado.edu/articles/126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ersobooks.com/blogs/3948-the-neolithic-capitalism-and-communis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clweb.org/anthology/E85-1002.pdf" TargetMode="External"/><Relationship Id="rId4" Type="http://schemas.openxmlformats.org/officeDocument/2006/relationships/settings" Target="settings.xml"/><Relationship Id="rId9" Type="http://schemas.openxmlformats.org/officeDocument/2006/relationships/hyperlink" Target="https://theforgenews.org/2018/08/24/against-electoralism-for-dual-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6343</Words>
  <Characters>36157</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2021-11-21T23:28:00Z</dcterms:created>
  <dcterms:modified xsi:type="dcterms:W3CDTF">2021-11-21T23:28:00Z</dcterms:modified>
</cp:coreProperties>
</file>