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3246A" w14:textId="77777777" w:rsidR="003739CC" w:rsidRPr="00D47864" w:rsidRDefault="003739CC" w:rsidP="003739CC">
      <w:pPr>
        <w:pStyle w:val="Heading2"/>
        <w:rPr>
          <w:rFonts w:ascii="Segoe UI" w:eastAsia="Times New Roman" w:hAnsi="Segoe UI" w:cs="Segoe UI"/>
          <w:sz w:val="18"/>
          <w:szCs w:val="18"/>
        </w:rPr>
      </w:pPr>
      <w:r w:rsidRPr="00D47864">
        <w:rPr>
          <w:rFonts w:eastAsia="Times New Roman"/>
        </w:rPr>
        <w:t>Substandard Drugs DA </w:t>
      </w:r>
    </w:p>
    <w:p w14:paraId="2FE8CE40" w14:textId="77777777" w:rsidR="003739CC" w:rsidRPr="00D47864" w:rsidRDefault="003739CC" w:rsidP="003739CC">
      <w:pPr>
        <w:pStyle w:val="Heading4"/>
        <w:rPr>
          <w:rFonts w:ascii="Segoe UI" w:eastAsia="Times New Roman" w:hAnsi="Segoe UI" w:cs="Segoe UI"/>
          <w:sz w:val="18"/>
          <w:szCs w:val="18"/>
        </w:rPr>
      </w:pPr>
      <w:r w:rsidRPr="00D47864">
        <w:rPr>
          <w:rFonts w:eastAsia="Times New Roman"/>
        </w:rPr>
        <w:t>Brink: 10% of all drugs in developing countries are substandard; </w:t>
      </w:r>
      <w:proofErr w:type="spellStart"/>
      <w:r w:rsidRPr="00D47864">
        <w:rPr>
          <w:rFonts w:eastAsia="Times New Roman"/>
        </w:rPr>
        <w:t>Breman</w:t>
      </w:r>
      <w:proofErr w:type="spellEnd"/>
      <w:r w:rsidRPr="00D47864">
        <w:rPr>
          <w:rFonts w:eastAsia="Times New Roman"/>
        </w:rPr>
        <w:t> 19 </w:t>
      </w:r>
    </w:p>
    <w:p w14:paraId="113D3BA1" w14:textId="77777777" w:rsidR="003739CC" w:rsidRPr="00D47864" w:rsidRDefault="003739CC" w:rsidP="003739CC">
      <w:pPr>
        <w:spacing w:after="0" w:line="240" w:lineRule="auto"/>
        <w:textAlignment w:val="baseline"/>
        <w:rPr>
          <w:rFonts w:ascii="Segoe UI" w:eastAsia="Times New Roman" w:hAnsi="Segoe UI" w:cs="Segoe UI"/>
          <w:sz w:val="18"/>
          <w:szCs w:val="18"/>
        </w:rPr>
      </w:pPr>
      <w:proofErr w:type="spellStart"/>
      <w:r w:rsidRPr="00D47864">
        <w:rPr>
          <w:rFonts w:eastAsia="Times New Roman"/>
          <w:color w:val="000000"/>
        </w:rPr>
        <w:t>Breman</w:t>
      </w:r>
      <w:proofErr w:type="spellEnd"/>
      <w:r w:rsidRPr="00D47864">
        <w:rPr>
          <w:rFonts w:eastAsia="Times New Roman"/>
          <w:color w:val="000000"/>
        </w:rPr>
        <w:t>, Joel </w:t>
      </w:r>
      <w:r w:rsidRPr="00D47864">
        <w:rPr>
          <w:rFonts w:eastAsia="Times New Roman"/>
          <w:color w:val="000000"/>
          <w:sz w:val="18"/>
          <w:szCs w:val="18"/>
        </w:rPr>
        <w:t>(C. Dr. </w:t>
      </w:r>
      <w:proofErr w:type="spellStart"/>
      <w:r w:rsidRPr="00D47864">
        <w:rPr>
          <w:rFonts w:eastAsia="Times New Roman"/>
          <w:color w:val="000000"/>
          <w:sz w:val="18"/>
          <w:szCs w:val="18"/>
        </w:rPr>
        <w:t>Breman</w:t>
      </w:r>
      <w:proofErr w:type="spellEnd"/>
      <w:r w:rsidRPr="00D47864">
        <w:rPr>
          <w:rFonts w:eastAsia="Times New Roman"/>
          <w:color w:val="000000"/>
          <w:sz w:val="18"/>
          <w:szCs w:val="18"/>
        </w:rPr>
        <w:t> was educated at the University of California, Los Angeles; Keck School of Medicine, University of Southern California (USC); and the London School of Hygiene and Tropical Medicine. He trained in internal medicine at the USC-Los Angeles County Medical Center, infectious diseases at the Channing Laboratory, Harvard Medical School, and epidemiology at CDC. He is Senior Scientist Emeritus, NIH and President-Elect, the American Society of Tropical Medicine and Hygiene. Dr. </w:t>
      </w:r>
      <w:proofErr w:type="spellStart"/>
      <w:r w:rsidRPr="00D47864">
        <w:rPr>
          <w:rFonts w:eastAsia="Times New Roman"/>
          <w:color w:val="000000"/>
          <w:sz w:val="18"/>
          <w:szCs w:val="18"/>
        </w:rPr>
        <w:t>Breman</w:t>
      </w:r>
      <w:proofErr w:type="spellEnd"/>
      <w:r w:rsidRPr="00D47864">
        <w:rPr>
          <w:rFonts w:eastAsia="Times New Roman"/>
          <w:color w:val="000000"/>
          <w:sz w:val="18"/>
          <w:szCs w:val="18"/>
        </w:rPr>
        <w:t> worked on smallpox eradication, measles control, and disease surveillance as a CDC assignee to Guinea, Burkina Faso (Upper Volta), and WHO, Geneva. Following the eradication of smallpox, </w:t>
      </w:r>
      <w:proofErr w:type="spellStart"/>
      <w:r w:rsidRPr="00D47864">
        <w:rPr>
          <w:rFonts w:eastAsia="Times New Roman"/>
          <w:color w:val="000000"/>
          <w:sz w:val="18"/>
          <w:szCs w:val="18"/>
        </w:rPr>
        <w:t>Breman</w:t>
      </w:r>
      <w:proofErr w:type="spellEnd"/>
      <w:r w:rsidRPr="00D47864">
        <w:rPr>
          <w:rFonts w:eastAsia="Times New Roman"/>
          <w:color w:val="000000"/>
          <w:sz w:val="18"/>
          <w:szCs w:val="18"/>
        </w:rPr>
        <w:t> returned to CDC where he worked on malaria treatment, epidemiology and control in Africa. In 1995, he followed his wife, an environmental lawyer, to Washington, DC, to become Director, Program in Emerging Infectious Diseases, Fogarty International Center, NIH.)</w:t>
      </w:r>
      <w:r w:rsidRPr="00D47864">
        <w:rPr>
          <w:rFonts w:eastAsia="Times New Roman"/>
          <w:b/>
          <w:bCs/>
          <w:color w:val="000000"/>
          <w:sz w:val="18"/>
          <w:szCs w:val="18"/>
        </w:rPr>
        <w:t>. “</w:t>
      </w:r>
      <w:r w:rsidRPr="00D47864">
        <w:rPr>
          <w:rFonts w:eastAsia="Times New Roman"/>
          <w:color w:val="000000"/>
          <w:sz w:val="18"/>
          <w:szCs w:val="18"/>
        </w:rPr>
        <w:t>It's time to stop murder by counterfeit medicine.” </w:t>
      </w:r>
      <w:r w:rsidRPr="00D47864">
        <w:rPr>
          <w:rFonts w:eastAsia="Times New Roman"/>
          <w:i/>
          <w:iCs/>
          <w:color w:val="000000"/>
          <w:sz w:val="18"/>
          <w:szCs w:val="18"/>
        </w:rPr>
        <w:t>STAT</w:t>
      </w:r>
      <w:r w:rsidRPr="00D47864">
        <w:rPr>
          <w:rFonts w:eastAsia="Times New Roman"/>
          <w:color w:val="000000"/>
          <w:sz w:val="18"/>
          <w:szCs w:val="18"/>
        </w:rPr>
        <w:t>, 2019, May 7,  </w:t>
      </w:r>
      <w:hyperlink r:id="rId4" w:tgtFrame="_blank" w:history="1">
        <w:r w:rsidRPr="00D47864">
          <w:rPr>
            <w:rFonts w:eastAsia="Times New Roman"/>
            <w:color w:val="1155CC"/>
            <w:sz w:val="18"/>
            <w:szCs w:val="18"/>
          </w:rPr>
          <w:t>https://www.statnews.com/2019/05/07/stopping-murder-counterfeit-medicine/</w:t>
        </w:r>
      </w:hyperlink>
      <w:r w:rsidRPr="00D47864">
        <w:rPr>
          <w:rFonts w:eastAsia="Times New Roman"/>
          <w:color w:val="000000"/>
          <w:sz w:val="18"/>
          <w:szCs w:val="18"/>
        </w:rPr>
        <w:t> Accessed 30 Aug. 2021.  </w:t>
      </w:r>
    </w:p>
    <w:p w14:paraId="752542D0" w14:textId="77777777" w:rsidR="003739CC" w:rsidRPr="00D47864" w:rsidRDefault="003739CC" w:rsidP="003739CC">
      <w:pPr>
        <w:spacing w:after="0" w:line="240" w:lineRule="auto"/>
        <w:textAlignment w:val="baseline"/>
        <w:rPr>
          <w:rFonts w:ascii="Segoe UI" w:eastAsia="Times New Roman" w:hAnsi="Segoe UI" w:cs="Segoe UI"/>
          <w:sz w:val="18"/>
          <w:szCs w:val="18"/>
        </w:rPr>
      </w:pPr>
      <w:r w:rsidRPr="00D47864">
        <w:rPr>
          <w:rFonts w:eastAsia="Times New Roman"/>
        </w:rPr>
        <w:t> </w:t>
      </w:r>
    </w:p>
    <w:p w14:paraId="31810FAA" w14:textId="77777777" w:rsidR="003739CC" w:rsidRPr="00D47864" w:rsidRDefault="003739CC" w:rsidP="003739CC">
      <w:pPr>
        <w:spacing w:after="0" w:line="240" w:lineRule="auto"/>
        <w:textAlignment w:val="baseline"/>
        <w:rPr>
          <w:rFonts w:ascii="Segoe UI" w:eastAsia="Times New Roman" w:hAnsi="Segoe UI" w:cs="Segoe UI"/>
          <w:sz w:val="18"/>
          <w:szCs w:val="18"/>
        </w:rPr>
      </w:pPr>
      <w:r w:rsidRPr="00D47864">
        <w:rPr>
          <w:rFonts w:eastAsia="Times New Roman"/>
          <w:b/>
          <w:bCs/>
          <w:color w:val="000000"/>
          <w:u w:val="single"/>
          <w:shd w:val="clear" w:color="auto" w:fill="00FF00"/>
        </w:rPr>
        <w:t>Each year,</w:t>
      </w:r>
      <w:r w:rsidRPr="00D47864">
        <w:rPr>
          <w:rFonts w:eastAsia="Times New Roman"/>
          <w:b/>
          <w:bCs/>
          <w:color w:val="000000"/>
          <w:u w:val="single"/>
        </w:rPr>
        <w:t> more than </w:t>
      </w:r>
      <w:r w:rsidRPr="00D47864">
        <w:rPr>
          <w:rFonts w:eastAsia="Times New Roman"/>
          <w:b/>
          <w:bCs/>
          <w:color w:val="000000"/>
          <w:u w:val="single"/>
          <w:shd w:val="clear" w:color="auto" w:fill="00FF00"/>
        </w:rPr>
        <w:t>250,000 children</w:t>
      </w:r>
      <w:r w:rsidRPr="00D47864">
        <w:rPr>
          <w:rFonts w:eastAsia="Times New Roman"/>
          <w:b/>
          <w:bCs/>
          <w:color w:val="000000"/>
          <w:u w:val="single"/>
        </w:rPr>
        <w:t> with malaria and pneumonia, common illnesses in poor countries, </w:t>
      </w:r>
      <w:r w:rsidRPr="00D47864">
        <w:rPr>
          <w:rFonts w:eastAsia="Times New Roman"/>
          <w:b/>
          <w:bCs/>
          <w:color w:val="000000"/>
          <w:u w:val="single"/>
          <w:shd w:val="clear" w:color="auto" w:fill="00FF00"/>
        </w:rPr>
        <w:t>do not survive </w:t>
      </w:r>
      <w:r w:rsidRPr="00D47864">
        <w:rPr>
          <w:rFonts w:eastAsia="Times New Roman"/>
          <w:b/>
          <w:bCs/>
          <w:color w:val="000000"/>
          <w:u w:val="single"/>
        </w:rPr>
        <w:t>after </w:t>
      </w:r>
      <w:r w:rsidRPr="00D47864">
        <w:rPr>
          <w:rFonts w:eastAsia="Times New Roman"/>
          <w:b/>
          <w:bCs/>
          <w:color w:val="000000"/>
          <w:u w:val="single"/>
          <w:shd w:val="clear" w:color="auto" w:fill="00FF00"/>
        </w:rPr>
        <w:t>treatment with fake and substandard drugs.</w:t>
      </w:r>
      <w:r w:rsidRPr="00D47864">
        <w:rPr>
          <w:rFonts w:eastAsia="Times New Roman"/>
          <w:color w:val="000000"/>
        </w:rPr>
        <w:t> </w:t>
      </w:r>
      <w:r w:rsidRPr="00D47864">
        <w:rPr>
          <w:rFonts w:eastAsia="Times New Roman"/>
          <w:color w:val="000000"/>
          <w:sz w:val="16"/>
          <w:szCs w:val="16"/>
        </w:rPr>
        <w:t>While poor quality drugs targeting older individuals are also entering global markets, the World Health Organization says “it is very difficult to quantify [their] impact.” Such useless or harmful drugs once went by the confusing designation “substandard/spurious/falsely labeled/falsified/counterfeit medical products.” A recent move by the WHO aims to simplify this by separating them into three categories: </w:t>
      </w:r>
      <w:r w:rsidRPr="00D47864">
        <w:rPr>
          <w:rFonts w:eastAsia="Times New Roman"/>
          <w:color w:val="1C1C1C"/>
          <w:sz w:val="16"/>
          <w:szCs w:val="16"/>
        </w:rPr>
        <w:t>falsified medical products deliberately misrepresent their identity and are distributed with criminal intent substandard medical products fail to meet quality standards unregistered or unlicensed medical products have not been assessed or approved </w:t>
      </w:r>
      <w:r w:rsidRPr="00D47864">
        <w:rPr>
          <w:rFonts w:eastAsia="Times New Roman"/>
          <w:b/>
          <w:bCs/>
          <w:color w:val="000000"/>
          <w:u w:val="single"/>
          <w:shd w:val="clear" w:color="auto" w:fill="00FF00"/>
        </w:rPr>
        <w:t>According to the WHO, 1 in 10 medical products in developing countries is falsified or substandard. The personal and public health tolls are huge, as is the economic burden — up to $200 billion annually.</w:t>
      </w:r>
      <w:r w:rsidRPr="00D47864">
        <w:rPr>
          <w:rFonts w:eastAsia="Times New Roman"/>
          <w:color w:val="000000"/>
          <w:shd w:val="clear" w:color="auto" w:fill="00FF00"/>
        </w:rPr>
        <w:t> </w:t>
      </w:r>
      <w:r w:rsidRPr="00D47864">
        <w:rPr>
          <w:rFonts w:eastAsia="Times New Roman"/>
          <w:b/>
          <w:bCs/>
          <w:color w:val="000000"/>
          <w:u w:val="single"/>
          <w:shd w:val="clear" w:color="auto" w:fill="00FF00"/>
        </w:rPr>
        <w:t>Poor-quality antimicrobials are most often found in low-income countries.</w:t>
      </w:r>
      <w:r w:rsidRPr="00D47864">
        <w:rPr>
          <w:rFonts w:eastAsia="Times New Roman"/>
          <w:color w:val="000000"/>
          <w:sz w:val="16"/>
          <w:szCs w:val="16"/>
        </w:rPr>
        <w:t> In addition to failing to treat infection,</w:t>
      </w:r>
      <w:r w:rsidRPr="00D47864">
        <w:rPr>
          <w:rFonts w:eastAsia="Times New Roman"/>
          <w:color w:val="000000"/>
          <w:shd w:val="clear" w:color="auto" w:fill="00FF00"/>
        </w:rPr>
        <w:t> </w:t>
      </w:r>
      <w:r w:rsidRPr="00D47864">
        <w:rPr>
          <w:rFonts w:eastAsia="Times New Roman"/>
          <w:b/>
          <w:bCs/>
          <w:color w:val="000000"/>
          <w:u w:val="single"/>
          <w:shd w:val="clear" w:color="auto" w:fill="00FF00"/>
        </w:rPr>
        <w:t>they</w:t>
      </w:r>
      <w:r w:rsidRPr="00D47864">
        <w:rPr>
          <w:rFonts w:eastAsia="Times New Roman"/>
          <w:b/>
          <w:bCs/>
          <w:color w:val="000000"/>
          <w:u w:val="single"/>
        </w:rPr>
        <w:t> also </w:t>
      </w:r>
      <w:r w:rsidRPr="00D47864">
        <w:rPr>
          <w:rFonts w:eastAsia="Times New Roman"/>
          <w:b/>
          <w:bCs/>
          <w:color w:val="000000"/>
          <w:u w:val="single"/>
          <w:shd w:val="clear" w:color="auto" w:fill="00FF00"/>
        </w:rPr>
        <w:t>contribute to the evolution of antimicrobial resistance, which </w:t>
      </w:r>
      <w:r w:rsidRPr="00D47864">
        <w:rPr>
          <w:rFonts w:eastAsia="Times New Roman"/>
          <w:b/>
          <w:bCs/>
          <w:color w:val="000000"/>
          <w:u w:val="single"/>
        </w:rPr>
        <w:t>British </w:t>
      </w:r>
      <w:r w:rsidRPr="00D47864">
        <w:rPr>
          <w:rFonts w:eastAsia="Times New Roman"/>
          <w:b/>
          <w:bCs/>
          <w:color w:val="000000"/>
          <w:u w:val="single"/>
          <w:shd w:val="clear" w:color="auto" w:fill="00FF00"/>
        </w:rPr>
        <w:t>researchers have estimated could kill up to 10 million people a year by 2050.</w:t>
      </w:r>
      <w:r w:rsidRPr="00D47864">
        <w:rPr>
          <w:rFonts w:eastAsia="Times New Roman"/>
          <w:b/>
          <w:bCs/>
          <w:color w:val="000000"/>
          <w:u w:val="single"/>
        </w:rPr>
        <w:t> </w:t>
      </w:r>
      <w:r w:rsidRPr="00D47864">
        <w:rPr>
          <w:rFonts w:eastAsia="Times New Roman"/>
          <w:color w:val="000000"/>
          <w:sz w:val="16"/>
          <w:szCs w:val="16"/>
        </w:rPr>
        <w:t>But counterfeit medications in virtually every therapeutic class, from blood pressure pills to treatments for cancer and vaccines, are made and distributed by unscrupulous criminals.</w:t>
      </w:r>
      <w:r w:rsidRPr="00D47864">
        <w:rPr>
          <w:rFonts w:eastAsia="Times New Roman"/>
          <w:color w:val="000000"/>
        </w:rPr>
        <w:t> </w:t>
      </w:r>
      <w:r w:rsidRPr="00D47864">
        <w:rPr>
          <w:rFonts w:eastAsia="Times New Roman"/>
          <w:b/>
          <w:bCs/>
          <w:color w:val="000000"/>
          <w:u w:val="single"/>
        </w:rPr>
        <w:t>In </w:t>
      </w:r>
      <w:r w:rsidRPr="00D47864">
        <w:rPr>
          <w:rFonts w:eastAsia="Times New Roman"/>
          <w:b/>
          <w:bCs/>
          <w:color w:val="000000"/>
          <w:u w:val="single"/>
          <w:shd w:val="clear" w:color="auto" w:fill="00FF00"/>
        </w:rPr>
        <w:t>countries with poor pharmaceutical control systems, such drugs can be made in illicit facilities</w:t>
      </w:r>
      <w:r w:rsidRPr="00D47864">
        <w:rPr>
          <w:rFonts w:eastAsia="Times New Roman"/>
          <w:b/>
          <w:bCs/>
          <w:color w:val="000000"/>
          <w:u w:val="single"/>
        </w:rPr>
        <w:t> inside or outside the country </w:t>
      </w:r>
      <w:r w:rsidRPr="00D47864">
        <w:rPr>
          <w:rFonts w:eastAsia="Times New Roman"/>
          <w:b/>
          <w:bCs/>
          <w:color w:val="000000"/>
          <w:u w:val="single"/>
          <w:shd w:val="clear" w:color="auto" w:fill="00FF00"/>
        </w:rPr>
        <w:t>and enter the supply stream</w:t>
      </w:r>
      <w:r w:rsidRPr="00D47864">
        <w:rPr>
          <w:rFonts w:eastAsia="Times New Roman"/>
          <w:b/>
          <w:bCs/>
          <w:color w:val="000000"/>
          <w:u w:val="single"/>
        </w:rPr>
        <w:t> because no FDA-like system exists for inspection or approval. Expensive analytic equipment generally isn’t available, while simple, accurate, and inexpensive testing systems for use in the field, at pharmacies, and at the point of care remain out of reach in virtually all poor countries. To make matters worse, </w:t>
      </w:r>
      <w:r w:rsidRPr="00D47864">
        <w:rPr>
          <w:rFonts w:eastAsia="Times New Roman"/>
          <w:b/>
          <w:bCs/>
          <w:color w:val="000000"/>
          <w:u w:val="single"/>
          <w:shd w:val="clear" w:color="auto" w:fill="00FF00"/>
        </w:rPr>
        <w:t>many countries do not have laws to define and enforce regulations addressing crimes related to counterfeit or substandard medicines, nor do </w:t>
      </w:r>
      <w:proofErr w:type="spellStart"/>
      <w:r w:rsidRPr="00D47864">
        <w:rPr>
          <w:rFonts w:eastAsia="Times New Roman"/>
          <w:b/>
          <w:bCs/>
          <w:color w:val="000000"/>
          <w:u w:val="single"/>
          <w:shd w:val="clear" w:color="auto" w:fill="00FF00"/>
        </w:rPr>
        <w:t>the</w:t>
      </w:r>
      <w:proofErr w:type="spellEnd"/>
      <w:r w:rsidRPr="00D47864">
        <w:rPr>
          <w:rFonts w:eastAsia="Times New Roman"/>
          <w:b/>
          <w:bCs/>
          <w:color w:val="000000"/>
          <w:u w:val="single"/>
          <w:shd w:val="clear" w:color="auto" w:fill="00FF00"/>
        </w:rPr>
        <w:t> have well-defined judicial actions once criminals are suspected or identified.</w:t>
      </w:r>
      <w:r w:rsidRPr="00D47864">
        <w:rPr>
          <w:rFonts w:eastAsia="Times New Roman"/>
          <w:color w:val="000000"/>
        </w:rPr>
        <w:t> </w:t>
      </w:r>
    </w:p>
    <w:p w14:paraId="3F42A807" w14:textId="77777777" w:rsidR="003739CC" w:rsidRPr="00D47864" w:rsidRDefault="003739CC" w:rsidP="003739CC">
      <w:pPr>
        <w:pStyle w:val="Heading4"/>
        <w:rPr>
          <w:rFonts w:ascii="Segoe UI" w:eastAsia="Times New Roman" w:hAnsi="Segoe UI" w:cs="Segoe UI"/>
          <w:sz w:val="18"/>
          <w:szCs w:val="18"/>
        </w:rPr>
      </w:pPr>
      <w:r w:rsidRPr="00D47864">
        <w:rPr>
          <w:rFonts w:eastAsia="Times New Roman"/>
        </w:rPr>
        <w:t> </w:t>
      </w:r>
    </w:p>
    <w:p w14:paraId="7B34E204" w14:textId="77777777" w:rsidR="003739CC" w:rsidRPr="00D47864" w:rsidRDefault="003739CC" w:rsidP="003739CC">
      <w:pPr>
        <w:pStyle w:val="Heading4"/>
        <w:rPr>
          <w:rFonts w:ascii="Segoe UI" w:eastAsia="Times New Roman" w:hAnsi="Segoe UI" w:cs="Segoe UI"/>
          <w:sz w:val="18"/>
          <w:szCs w:val="18"/>
        </w:rPr>
      </w:pPr>
      <w:r w:rsidRPr="00D47864">
        <w:rPr>
          <w:rFonts w:eastAsia="Times New Roman"/>
        </w:rPr>
        <w:t>Link: IP protections are </w:t>
      </w:r>
      <w:proofErr w:type="spellStart"/>
      <w:proofErr w:type="gramStart"/>
      <w:r w:rsidRPr="00D47864">
        <w:rPr>
          <w:rFonts w:eastAsia="Times New Roman"/>
        </w:rPr>
        <w:t>a</w:t>
      </w:r>
      <w:proofErr w:type="spellEnd"/>
      <w:proofErr w:type="gramEnd"/>
      <w:r w:rsidRPr="00D47864">
        <w:rPr>
          <w:rFonts w:eastAsia="Times New Roman"/>
        </w:rPr>
        <w:t> essential barrier to fight counterfeit medicine and substandard drugs; </w:t>
      </w:r>
      <w:proofErr w:type="spellStart"/>
      <w:r w:rsidRPr="00D47864">
        <w:rPr>
          <w:rFonts w:eastAsia="Times New Roman"/>
        </w:rPr>
        <w:t>Lybecker</w:t>
      </w:r>
      <w:proofErr w:type="spellEnd"/>
      <w:r w:rsidRPr="00D47864">
        <w:rPr>
          <w:rFonts w:eastAsia="Times New Roman"/>
        </w:rPr>
        <w:t>, 16  </w:t>
      </w:r>
    </w:p>
    <w:p w14:paraId="36CFAC9D" w14:textId="77777777" w:rsidR="003739CC" w:rsidRPr="00D47864" w:rsidRDefault="003739CC" w:rsidP="003739CC">
      <w:pPr>
        <w:spacing w:after="0" w:line="240" w:lineRule="auto"/>
        <w:textAlignment w:val="baseline"/>
        <w:rPr>
          <w:rFonts w:ascii="Segoe UI" w:eastAsia="Times New Roman" w:hAnsi="Segoe UI" w:cs="Segoe UI"/>
          <w:sz w:val="18"/>
          <w:szCs w:val="18"/>
        </w:rPr>
      </w:pPr>
      <w:proofErr w:type="spellStart"/>
      <w:r w:rsidRPr="00D47864">
        <w:rPr>
          <w:rFonts w:eastAsia="Times New Roman"/>
          <w:color w:val="000000"/>
          <w:sz w:val="16"/>
          <w:szCs w:val="16"/>
        </w:rPr>
        <w:t>Lybecker</w:t>
      </w:r>
      <w:proofErr w:type="spellEnd"/>
      <w:r w:rsidRPr="00D47864">
        <w:rPr>
          <w:rFonts w:eastAsia="Times New Roman"/>
          <w:color w:val="000000"/>
          <w:sz w:val="16"/>
          <w:szCs w:val="16"/>
        </w:rPr>
        <w:t>, Kristina M (C. Dr. Kristina M. </w:t>
      </w:r>
      <w:proofErr w:type="spellStart"/>
      <w:r w:rsidRPr="00D47864">
        <w:rPr>
          <w:rFonts w:eastAsia="Times New Roman"/>
          <w:color w:val="000000"/>
          <w:sz w:val="16"/>
          <w:szCs w:val="16"/>
        </w:rPr>
        <w:t>Lybecker</w:t>
      </w:r>
      <w:proofErr w:type="spellEnd"/>
      <w:r w:rsidRPr="00D47864">
        <w:rPr>
          <w:rFonts w:eastAsia="Times New Roman"/>
          <w:color w:val="000000"/>
          <w:sz w:val="16"/>
          <w:szCs w:val="16"/>
        </w:rPr>
        <w:t> is an Associate Professor of Economics at Colorado College in Colorado Springs, where she is also the Associate Chair of the Department of Economics and Business and the Gerald L. </w:t>
      </w:r>
      <w:proofErr w:type="spellStart"/>
      <w:r w:rsidRPr="00D47864">
        <w:rPr>
          <w:rFonts w:eastAsia="Times New Roman"/>
          <w:color w:val="000000"/>
          <w:sz w:val="16"/>
          <w:szCs w:val="16"/>
        </w:rPr>
        <w:t>Schlessman</w:t>
      </w:r>
      <w:proofErr w:type="spellEnd"/>
      <w:r w:rsidRPr="00D47864">
        <w:rPr>
          <w:rFonts w:eastAsia="Times New Roman"/>
          <w:color w:val="000000"/>
          <w:sz w:val="16"/>
          <w:szCs w:val="16"/>
        </w:rPr>
        <w:t> Professor of Economics. She has testified numerous times on the economics of the importation of Canadian drugs and the risks of pharmaceutical counterfeiting. Dr. </w:t>
      </w:r>
      <w:proofErr w:type="spellStart"/>
      <w:r w:rsidRPr="00D47864">
        <w:rPr>
          <w:rFonts w:eastAsia="Times New Roman"/>
          <w:color w:val="000000"/>
          <w:sz w:val="16"/>
          <w:szCs w:val="16"/>
        </w:rPr>
        <w:t>Lybecker</w:t>
      </w:r>
      <w:proofErr w:type="spellEnd"/>
      <w:r w:rsidRPr="00D47864">
        <w:rPr>
          <w:rFonts w:eastAsia="Times New Roman"/>
          <w:color w:val="000000"/>
          <w:sz w:val="16"/>
          <w:szCs w:val="16"/>
        </w:rPr>
        <w:t> has also worked with US Food and Drug Administration, PhRMA, and the World Bank, on a variety of issues relating to the economics of innovation and international trade policies.) “Counterfeit Medicines and the Role of IP in Patient Safety.” IPWatchdog.com | Patents &amp;amp; Patent Law, </w:t>
      </w:r>
      <w:proofErr w:type="spellStart"/>
      <w:r w:rsidRPr="00D47864">
        <w:rPr>
          <w:rFonts w:eastAsia="Times New Roman"/>
          <w:color w:val="000000"/>
          <w:sz w:val="16"/>
          <w:szCs w:val="16"/>
        </w:rPr>
        <w:t>IPWatchdog</w:t>
      </w:r>
      <w:proofErr w:type="spellEnd"/>
      <w:r w:rsidRPr="00D47864">
        <w:rPr>
          <w:rFonts w:eastAsia="Times New Roman"/>
          <w:color w:val="000000"/>
          <w:sz w:val="16"/>
          <w:szCs w:val="16"/>
        </w:rPr>
        <w:t>, 27 June 2016, </w:t>
      </w:r>
      <w:hyperlink r:id="rId5" w:tgtFrame="_blank" w:history="1">
        <w:r w:rsidRPr="00D47864">
          <w:rPr>
            <w:rFonts w:eastAsia="Times New Roman"/>
            <w:color w:val="1155CC"/>
            <w:sz w:val="16"/>
            <w:szCs w:val="16"/>
          </w:rPr>
          <w:t>www.ipwatchdog.com/2016/06/27/counterfeit-medicines-ip-patient-safety/id=70397/</w:t>
        </w:r>
      </w:hyperlink>
      <w:r w:rsidRPr="00D47864">
        <w:rPr>
          <w:rFonts w:eastAsia="Times New Roman"/>
          <w:color w:val="000000"/>
          <w:sz w:val="16"/>
          <w:szCs w:val="16"/>
        </w:rPr>
        <w:t>. </w:t>
      </w:r>
    </w:p>
    <w:p w14:paraId="581DD1EF" w14:textId="77777777" w:rsidR="003739CC" w:rsidRPr="00D47864" w:rsidRDefault="003739CC" w:rsidP="003739CC">
      <w:pPr>
        <w:spacing w:after="0" w:line="240" w:lineRule="auto"/>
        <w:textAlignment w:val="baseline"/>
        <w:rPr>
          <w:rFonts w:ascii="Segoe UI" w:eastAsia="Times New Roman" w:hAnsi="Segoe UI" w:cs="Segoe UI"/>
          <w:sz w:val="18"/>
          <w:szCs w:val="18"/>
        </w:rPr>
      </w:pPr>
      <w:r w:rsidRPr="00D47864">
        <w:rPr>
          <w:rFonts w:eastAsia="Times New Roman"/>
        </w:rPr>
        <w:t> </w:t>
      </w:r>
    </w:p>
    <w:p w14:paraId="0B0BA1EF" w14:textId="77777777" w:rsidR="003739CC" w:rsidRPr="00D47864" w:rsidRDefault="003739CC" w:rsidP="003739CC">
      <w:pPr>
        <w:spacing w:after="0" w:line="240" w:lineRule="auto"/>
        <w:textAlignment w:val="baseline"/>
        <w:rPr>
          <w:rFonts w:ascii="Segoe UI" w:eastAsia="Times New Roman" w:hAnsi="Segoe UI" w:cs="Segoe UI"/>
          <w:sz w:val="18"/>
          <w:szCs w:val="18"/>
        </w:rPr>
      </w:pPr>
      <w:r w:rsidRPr="00D47864">
        <w:rPr>
          <w:rFonts w:eastAsia="Times New Roman"/>
          <w:color w:val="000000"/>
          <w:sz w:val="16"/>
          <w:szCs w:val="16"/>
        </w:rPr>
        <w:t>As the author of the chapter on illicit trade in counterfeit medicines within the OECD report, I worry that global policymakers may be working against each other when it comes to battling counterfeit drugs, especially in the context of intellectual property rights. While the Senate Hearing and </w:t>
      </w:r>
      <w:r w:rsidRPr="00D47864">
        <w:rPr>
          <w:rFonts w:eastAsia="Times New Roman"/>
          <w:b/>
          <w:bCs/>
          <w:color w:val="000000"/>
          <w:u w:val="single"/>
          <w:shd w:val="clear" w:color="auto" w:fill="00FF00"/>
        </w:rPr>
        <w:t>the OECD report highlight the importance of strong IP protection in combating the</w:t>
      </w:r>
      <w:r w:rsidRPr="00D47864">
        <w:rPr>
          <w:rFonts w:eastAsia="Times New Roman"/>
          <w:b/>
          <w:bCs/>
          <w:color w:val="000000"/>
          <w:u w:val="single"/>
        </w:rPr>
        <w:t> growing </w:t>
      </w:r>
      <w:r w:rsidRPr="00D47864">
        <w:rPr>
          <w:rFonts w:eastAsia="Times New Roman"/>
          <w:b/>
          <w:bCs/>
          <w:color w:val="000000"/>
          <w:u w:val="single"/>
          <w:shd w:val="clear" w:color="auto" w:fill="00FF00"/>
        </w:rPr>
        <w:t>threat of counterfeit goods</w:t>
      </w:r>
      <w:r w:rsidRPr="00D47864">
        <w:rPr>
          <w:rFonts w:eastAsia="Times New Roman"/>
          <w:b/>
          <w:bCs/>
          <w:color w:val="000000"/>
          <w:u w:val="single"/>
        </w:rPr>
        <w:t xml:space="preserve">, their efforts coincide with an initiative by the UN </w:t>
      </w:r>
      <w:r w:rsidRPr="00D47864">
        <w:rPr>
          <w:rFonts w:eastAsia="Times New Roman"/>
          <w:b/>
          <w:bCs/>
          <w:color w:val="000000"/>
          <w:u w:val="single"/>
        </w:rPr>
        <w:lastRenderedPageBreak/>
        <w:t>Secretary-General that has the potential to greatly worsen the problems of counterfeit pharmaceuticals.</w:t>
      </w:r>
      <w:r w:rsidRPr="00D47864">
        <w:rPr>
          <w:rFonts w:eastAsia="Times New Roman"/>
          <w:color w:val="000000"/>
        </w:rPr>
        <w:t> </w:t>
      </w:r>
      <w:r w:rsidRPr="00D47864">
        <w:rPr>
          <w:rFonts w:eastAsia="Times New Roman"/>
          <w:color w:val="000000"/>
          <w:sz w:val="16"/>
          <w:szCs w:val="16"/>
        </w:rPr>
        <w:t>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w:t>
      </w:r>
      <w:r w:rsidRPr="00D47864">
        <w:rPr>
          <w:rFonts w:eastAsia="Times New Roman"/>
          <w:b/>
          <w:bCs/>
          <w:color w:val="000000"/>
          <w:u w:val="single"/>
        </w:rPr>
        <w:t>The High Level Panel is a thinly veiled attempt to undermine the intellectual property rights architecture that incentivizes pharmaceutical innovation and protects patients from counterfeit medicines.</w:t>
      </w:r>
      <w:r w:rsidRPr="00D47864">
        <w:rPr>
          <w:rFonts w:eastAsia="Times New Roman"/>
          <w:color w:val="000000"/>
        </w:rPr>
        <w:t> </w:t>
      </w:r>
      <w:r w:rsidRPr="00D47864">
        <w:rPr>
          <w:rFonts w:eastAsia="Times New Roman"/>
          <w:color w:val="000000"/>
          <w:sz w:val="16"/>
          <w:szCs w:val="16"/>
        </w:rPr>
        <w:t>While</w:t>
      </w:r>
      <w:r w:rsidRPr="00D47864">
        <w:rPr>
          <w:rFonts w:eastAsia="Times New Roman"/>
          <w:color w:val="000000"/>
        </w:rPr>
        <w:t> </w:t>
      </w:r>
      <w:r w:rsidRPr="00D47864">
        <w:rPr>
          <w:rFonts w:eastAsia="Times New Roman"/>
          <w:b/>
          <w:bCs/>
          <w:color w:val="000000"/>
          <w:u w:val="single"/>
          <w:shd w:val="clear" w:color="auto" w:fill="00FF00"/>
        </w:rPr>
        <w:t>patents and</w:t>
      </w:r>
      <w:r w:rsidRPr="00D47864">
        <w:rPr>
          <w:rFonts w:eastAsia="Times New Roman"/>
          <w:b/>
          <w:bCs/>
          <w:color w:val="000000"/>
          <w:u w:val="single"/>
        </w:rPr>
        <w:t> other forms of</w:t>
      </w:r>
      <w:r w:rsidRPr="00D47864">
        <w:rPr>
          <w:rFonts w:eastAsia="Times New Roman"/>
          <w:b/>
          <w:bCs/>
          <w:color w:val="000000"/>
          <w:u w:val="single"/>
          <w:shd w:val="clear" w:color="auto" w:fill="00FF00"/>
        </w:rPr>
        <w:t> i</w:t>
      </w:r>
      <w:r w:rsidRPr="00D47864">
        <w:rPr>
          <w:rFonts w:eastAsia="Times New Roman"/>
          <w:b/>
          <w:bCs/>
          <w:color w:val="000000"/>
          <w:u w:val="single"/>
        </w:rPr>
        <w:t>ntellectual</w:t>
      </w:r>
      <w:r w:rsidRPr="00D47864">
        <w:rPr>
          <w:rFonts w:eastAsia="Times New Roman"/>
          <w:b/>
          <w:bCs/>
          <w:color w:val="000000"/>
          <w:u w:val="single"/>
          <w:shd w:val="clear" w:color="auto" w:fill="00FF00"/>
        </w:rPr>
        <w:t> p</w:t>
      </w:r>
      <w:r w:rsidRPr="00D47864">
        <w:rPr>
          <w:rFonts w:eastAsia="Times New Roman"/>
          <w:b/>
          <w:bCs/>
          <w:color w:val="000000"/>
          <w:u w:val="single"/>
        </w:rPr>
        <w:t>roperty </w:t>
      </w:r>
      <w:r w:rsidRPr="00D47864">
        <w:rPr>
          <w:rFonts w:eastAsia="Times New Roman"/>
          <w:b/>
          <w:bCs/>
          <w:color w:val="000000"/>
          <w:u w:val="single"/>
          <w:shd w:val="clear" w:color="auto" w:fill="00FF00"/>
        </w:rPr>
        <w:t>rights are </w:t>
      </w:r>
      <w:r w:rsidRPr="00D47864">
        <w:rPr>
          <w:rFonts w:eastAsia="Times New Roman"/>
          <w:b/>
          <w:bCs/>
          <w:color w:val="000000"/>
          <w:u w:val="single"/>
        </w:rPr>
        <w:t>widely </w:t>
      </w:r>
      <w:r w:rsidRPr="00D47864">
        <w:rPr>
          <w:rFonts w:eastAsia="Times New Roman"/>
          <w:b/>
          <w:bCs/>
          <w:color w:val="000000"/>
          <w:u w:val="single"/>
          <w:shd w:val="clear" w:color="auto" w:fill="00FF00"/>
        </w:rPr>
        <w:t>recognized as fostering pharmaceutical innovation, they also serve to inhibit</w:t>
      </w:r>
      <w:r w:rsidRPr="00D47864">
        <w:rPr>
          <w:rFonts w:eastAsia="Times New Roman"/>
          <w:color w:val="000000"/>
          <w:shd w:val="clear" w:color="auto" w:fill="00FF00"/>
        </w:rPr>
        <w:t> </w:t>
      </w:r>
      <w:r w:rsidRPr="00D47864">
        <w:rPr>
          <w:rFonts w:eastAsia="Times New Roman"/>
          <w:b/>
          <w:bCs/>
          <w:color w:val="000000"/>
          <w:u w:val="single"/>
          <w:shd w:val="clear" w:color="auto" w:fill="00FF00"/>
        </w:rPr>
        <w:t>counterfeiting. The W</w:t>
      </w:r>
      <w:r w:rsidRPr="00D47864">
        <w:rPr>
          <w:rFonts w:eastAsia="Times New Roman"/>
          <w:b/>
          <w:bCs/>
          <w:color w:val="000000"/>
          <w:u w:val="single"/>
        </w:rPr>
        <w:t>orld </w:t>
      </w:r>
      <w:r w:rsidRPr="00D47864">
        <w:rPr>
          <w:rFonts w:eastAsia="Times New Roman"/>
          <w:b/>
          <w:bCs/>
          <w:color w:val="000000"/>
          <w:u w:val="single"/>
          <w:shd w:val="clear" w:color="auto" w:fill="00FF00"/>
        </w:rPr>
        <w:t>H</w:t>
      </w:r>
      <w:r w:rsidRPr="00D47864">
        <w:rPr>
          <w:rFonts w:eastAsia="Times New Roman"/>
          <w:b/>
          <w:bCs/>
          <w:color w:val="000000"/>
          <w:u w:val="single"/>
        </w:rPr>
        <w:t>ealth </w:t>
      </w:r>
      <w:r w:rsidRPr="00D47864">
        <w:rPr>
          <w:rFonts w:eastAsia="Times New Roman"/>
          <w:b/>
          <w:bCs/>
          <w:color w:val="000000"/>
          <w:u w:val="single"/>
          <w:shd w:val="clear" w:color="auto" w:fill="00FF00"/>
        </w:rPr>
        <w:t>O</w:t>
      </w:r>
      <w:r w:rsidRPr="00D47864">
        <w:rPr>
          <w:rFonts w:eastAsia="Times New Roman"/>
          <w:b/>
          <w:bCs/>
          <w:color w:val="000000"/>
          <w:u w:val="single"/>
        </w:rPr>
        <w:t>rganization </w:t>
      </w:r>
      <w:r w:rsidRPr="00D47864">
        <w:rPr>
          <w:rFonts w:eastAsia="Times New Roman"/>
          <w:b/>
          <w:bCs/>
          <w:color w:val="000000"/>
          <w:u w:val="single"/>
          <w:shd w:val="clear" w:color="auto" w:fill="00FF00"/>
        </w:rPr>
        <w:t>has determined that counterfeiting is facilitated where </w:t>
      </w:r>
      <w:r w:rsidRPr="00D47864">
        <w:rPr>
          <w:rFonts w:eastAsia="Times New Roman"/>
          <w:b/>
          <w:bCs/>
          <w:color w:val="000000"/>
          <w:u w:val="single"/>
        </w:rPr>
        <w:t>“there is weak drug regulatory control and enforcement;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w:t>
      </w:r>
      <w:r w:rsidRPr="00D47864">
        <w:rPr>
          <w:rFonts w:eastAsia="Times New Roman"/>
          <w:b/>
          <w:bCs/>
          <w:color w:val="000000"/>
          <w:u w:val="single"/>
          <w:shd w:val="clear" w:color="auto" w:fill="00FF00"/>
        </w:rPr>
        <w:t> there is lack of effective intellectual property protection</w:t>
      </w:r>
      <w:r w:rsidRPr="00D47864">
        <w:rPr>
          <w:rFonts w:eastAsia="Times New Roman"/>
          <w:b/>
          <w:bCs/>
          <w:color w:val="000000"/>
          <w:u w:val="single"/>
        </w:rPr>
        <w:t>; due regard is not paid to quality assurance”.</w:t>
      </w:r>
      <w:r w:rsidRPr="00D47864">
        <w:rPr>
          <w:rFonts w:eastAsia="Times New Roman"/>
          <w:color w:val="000000"/>
        </w:rPr>
        <w:t> </w:t>
      </w:r>
    </w:p>
    <w:p w14:paraId="584FF4B6" w14:textId="77777777" w:rsidR="003739CC" w:rsidRPr="00D47864" w:rsidRDefault="003739CC" w:rsidP="003739CC">
      <w:pPr>
        <w:spacing w:after="0" w:line="240" w:lineRule="auto"/>
        <w:textAlignment w:val="baseline"/>
        <w:rPr>
          <w:rFonts w:ascii="Segoe UI" w:eastAsia="Times New Roman" w:hAnsi="Segoe UI" w:cs="Segoe UI"/>
          <w:sz w:val="18"/>
          <w:szCs w:val="18"/>
        </w:rPr>
      </w:pPr>
      <w:r w:rsidRPr="00D47864">
        <w:rPr>
          <w:rFonts w:eastAsia="Times New Roman"/>
        </w:rPr>
        <w:t> </w:t>
      </w:r>
    </w:p>
    <w:p w14:paraId="0E6BCE60" w14:textId="77777777" w:rsidR="003739CC" w:rsidRPr="00D47864" w:rsidRDefault="003739CC" w:rsidP="003739CC">
      <w:pPr>
        <w:pStyle w:val="Heading4"/>
        <w:rPr>
          <w:rFonts w:ascii="Segoe UI" w:eastAsia="Times New Roman" w:hAnsi="Segoe UI" w:cs="Segoe UI"/>
          <w:sz w:val="18"/>
          <w:szCs w:val="18"/>
        </w:rPr>
      </w:pPr>
      <w:r w:rsidRPr="00D47864">
        <w:rPr>
          <w:rFonts w:eastAsia="Times New Roman"/>
        </w:rPr>
        <w:t>Internal Link: Lack of IP floods markets with dangerous products; </w:t>
      </w:r>
      <w:proofErr w:type="spellStart"/>
      <w:r w:rsidRPr="00D47864">
        <w:rPr>
          <w:rFonts w:eastAsia="Times New Roman"/>
        </w:rPr>
        <w:t>Mercurio</w:t>
      </w:r>
      <w:proofErr w:type="spellEnd"/>
      <w:r w:rsidRPr="00D47864">
        <w:rPr>
          <w:rFonts w:eastAsia="Times New Roman"/>
        </w:rPr>
        <w:t>, 21 </w:t>
      </w:r>
    </w:p>
    <w:p w14:paraId="58D8EDB3" w14:textId="77777777" w:rsidR="003739CC" w:rsidRPr="00D47864" w:rsidRDefault="003739CC" w:rsidP="003739CC">
      <w:pPr>
        <w:spacing w:after="0" w:line="240" w:lineRule="auto"/>
        <w:textAlignment w:val="baseline"/>
        <w:rPr>
          <w:rFonts w:ascii="Segoe UI" w:eastAsia="Times New Roman" w:hAnsi="Segoe UI" w:cs="Segoe UI"/>
          <w:sz w:val="18"/>
          <w:szCs w:val="18"/>
        </w:rPr>
      </w:pPr>
      <w:proofErr w:type="spellStart"/>
      <w:r w:rsidRPr="00D47864">
        <w:rPr>
          <w:rFonts w:eastAsia="Times New Roman"/>
          <w:color w:val="303030"/>
          <w:sz w:val="16"/>
          <w:szCs w:val="16"/>
          <w:shd w:val="clear" w:color="auto" w:fill="FFFFFF"/>
        </w:rPr>
        <w:t>Mercurio</w:t>
      </w:r>
      <w:proofErr w:type="spellEnd"/>
      <w:r w:rsidRPr="00D47864">
        <w:rPr>
          <w:rFonts w:eastAsia="Times New Roman"/>
          <w:color w:val="303030"/>
          <w:sz w:val="16"/>
          <w:szCs w:val="16"/>
          <w:shd w:val="clear" w:color="auto" w:fill="FFFFFF"/>
        </w:rPr>
        <w:t>, Bryan (</w:t>
      </w:r>
      <w:proofErr w:type="spellStart"/>
      <w:proofErr w:type="gramStart"/>
      <w:r w:rsidRPr="00D47864">
        <w:rPr>
          <w:rFonts w:eastAsia="Times New Roman"/>
          <w:color w:val="303030"/>
          <w:sz w:val="16"/>
          <w:szCs w:val="16"/>
          <w:shd w:val="clear" w:color="auto" w:fill="FFFFFF"/>
        </w:rPr>
        <w:t>C.</w:t>
      </w:r>
      <w:r w:rsidRPr="00D47864">
        <w:rPr>
          <w:rFonts w:eastAsia="Times New Roman"/>
          <w:color w:val="646569"/>
          <w:sz w:val="16"/>
          <w:szCs w:val="16"/>
          <w:shd w:val="clear" w:color="auto" w:fill="FFFFFF"/>
        </w:rPr>
        <w:t>Bryan</w:t>
      </w:r>
      <w:proofErr w:type="spellEnd"/>
      <w:proofErr w:type="gramEnd"/>
      <w:r w:rsidRPr="00D47864">
        <w:rPr>
          <w:rFonts w:eastAsia="Times New Roman"/>
          <w:color w:val="646569"/>
          <w:sz w:val="16"/>
          <w:szCs w:val="16"/>
          <w:shd w:val="clear" w:color="auto" w:fill="FFFFFF"/>
        </w:rPr>
        <w:t> </w:t>
      </w:r>
      <w:proofErr w:type="spellStart"/>
      <w:r w:rsidRPr="00D47864">
        <w:rPr>
          <w:rFonts w:eastAsia="Times New Roman"/>
          <w:color w:val="646569"/>
          <w:sz w:val="16"/>
          <w:szCs w:val="16"/>
          <w:shd w:val="clear" w:color="auto" w:fill="FFFFFF"/>
        </w:rPr>
        <w:t>Mercurio</w:t>
      </w:r>
      <w:proofErr w:type="spellEnd"/>
      <w:r w:rsidRPr="00D47864">
        <w:rPr>
          <w:rFonts w:eastAsia="Times New Roman"/>
          <w:color w:val="646569"/>
          <w:sz w:val="16"/>
          <w:szCs w:val="16"/>
          <w:shd w:val="clear" w:color="auto" w:fill="FFFFFF"/>
        </w:rPr>
        <w:t> is the Simon F.S. Li Professor of Law at the Chinese University of Hong Kong (CUHK), having served as Associate Dean (Research) from 2010-14 and again from 2017-19. Professor </w:t>
      </w:r>
      <w:proofErr w:type="spellStart"/>
      <w:r w:rsidRPr="00D47864">
        <w:rPr>
          <w:rFonts w:eastAsia="Times New Roman"/>
          <w:color w:val="646569"/>
          <w:sz w:val="16"/>
          <w:szCs w:val="16"/>
          <w:shd w:val="clear" w:color="auto" w:fill="FFFFFF"/>
        </w:rPr>
        <w:t>Mercurio</w:t>
      </w:r>
      <w:proofErr w:type="spellEnd"/>
      <w:r w:rsidRPr="00D47864">
        <w:rPr>
          <w:rFonts w:eastAsia="Times New Roman"/>
          <w:color w:val="646569"/>
          <w:sz w:val="16"/>
          <w:szCs w:val="16"/>
          <w:shd w:val="clear" w:color="auto" w:fill="FFFFFF"/>
        </w:rPr>
        <w:t> </w:t>
      </w:r>
      <w:proofErr w:type="spellStart"/>
      <w:r w:rsidRPr="00D47864">
        <w:rPr>
          <w:rFonts w:eastAsia="Times New Roman"/>
          <w:color w:val="646569"/>
          <w:sz w:val="16"/>
          <w:szCs w:val="16"/>
          <w:shd w:val="clear" w:color="auto" w:fill="FFFFFF"/>
        </w:rPr>
        <w:t>specialises</w:t>
      </w:r>
      <w:proofErr w:type="spellEnd"/>
      <w:r w:rsidRPr="00D47864">
        <w:rPr>
          <w:rFonts w:eastAsia="Times New Roman"/>
          <w:color w:val="646569"/>
          <w:sz w:val="16"/>
          <w:szCs w:val="16"/>
          <w:shd w:val="clear" w:color="auto" w:fill="FFFFFF"/>
        </w:rPr>
        <w:t> in international economic law (IEL), with particular expertise in the intersection between trade law and intellectual property rights, free trade agreements, trade in services, dispute settlement and increasingly international investment law</w:t>
      </w:r>
      <w:r w:rsidRPr="00D47864">
        <w:rPr>
          <w:rFonts w:eastAsia="Times New Roman"/>
          <w:color w:val="303030"/>
          <w:sz w:val="16"/>
          <w:szCs w:val="16"/>
          <w:shd w:val="clear" w:color="auto" w:fill="FFFFFF"/>
        </w:rPr>
        <w:t>.) “The IP Waiver for COVID-19: Bad Policy, Bad Precedent.” </w:t>
      </w:r>
      <w:r w:rsidRPr="00D47864">
        <w:rPr>
          <w:rFonts w:eastAsia="Times New Roman"/>
          <w:i/>
          <w:iCs/>
          <w:color w:val="303030"/>
          <w:sz w:val="16"/>
          <w:szCs w:val="16"/>
          <w:shd w:val="clear" w:color="auto" w:fill="FFFFFF"/>
        </w:rPr>
        <w:t>IIC; international review of industrial property and copyright law</w:t>
      </w:r>
      <w:r w:rsidRPr="00D47864">
        <w:rPr>
          <w:rFonts w:eastAsia="Times New Roman"/>
          <w:color w:val="303030"/>
          <w:sz w:val="16"/>
          <w:szCs w:val="16"/>
          <w:shd w:val="clear" w:color="auto" w:fill="FFFFFF"/>
        </w:rPr>
        <w:t>, 1-6. 24 Jun. 2021, doi:10.1007/s40319-021-01083-5 </w:t>
      </w:r>
      <w:hyperlink r:id="rId6" w:tgtFrame="_blank" w:history="1">
        <w:r w:rsidRPr="00D47864">
          <w:rPr>
            <w:rFonts w:eastAsia="Times New Roman"/>
            <w:color w:val="1155CC"/>
            <w:sz w:val="16"/>
            <w:szCs w:val="16"/>
          </w:rPr>
          <w:t>https://www.ncbi.nlm.nih.gov/pmc/articles/PMC8223179/</w:t>
        </w:r>
      </w:hyperlink>
      <w:r w:rsidRPr="00D47864">
        <w:rPr>
          <w:rFonts w:eastAsia="Times New Roman"/>
        </w:rPr>
        <w:t> </w:t>
      </w:r>
    </w:p>
    <w:p w14:paraId="1523C80B" w14:textId="77777777" w:rsidR="003739CC" w:rsidRPr="00D47864" w:rsidRDefault="003739CC" w:rsidP="003739CC">
      <w:pPr>
        <w:spacing w:after="0" w:line="240" w:lineRule="auto"/>
        <w:textAlignment w:val="baseline"/>
        <w:rPr>
          <w:rFonts w:ascii="Segoe UI" w:eastAsia="Times New Roman" w:hAnsi="Segoe UI" w:cs="Segoe UI"/>
          <w:sz w:val="18"/>
          <w:szCs w:val="18"/>
        </w:rPr>
      </w:pPr>
      <w:r w:rsidRPr="00D47864">
        <w:rPr>
          <w:rFonts w:eastAsia="Times New Roman"/>
        </w:rPr>
        <w:t> </w:t>
      </w:r>
    </w:p>
    <w:p w14:paraId="18BE0393" w14:textId="77777777" w:rsidR="003739CC" w:rsidRPr="00D47864" w:rsidRDefault="003739CC" w:rsidP="003739CC">
      <w:pPr>
        <w:shd w:val="clear" w:color="auto" w:fill="FFFFFF"/>
        <w:spacing w:after="0" w:line="240" w:lineRule="auto"/>
        <w:textAlignment w:val="baseline"/>
        <w:rPr>
          <w:rFonts w:ascii="Segoe UI" w:eastAsia="Times New Roman" w:hAnsi="Segoe UI" w:cs="Segoe UI"/>
          <w:sz w:val="18"/>
          <w:szCs w:val="18"/>
        </w:rPr>
      </w:pPr>
      <w:r w:rsidRPr="00D47864">
        <w:rPr>
          <w:rFonts w:eastAsia="Times New Roman"/>
          <w:color w:val="000000"/>
          <w:sz w:val="16"/>
          <w:szCs w:val="16"/>
        </w:rPr>
        <w:t>Alan Beattie, writing in the </w:t>
      </w:r>
      <w:r w:rsidRPr="00D47864">
        <w:rPr>
          <w:rFonts w:eastAsia="Times New Roman"/>
          <w:i/>
          <w:iCs/>
          <w:color w:val="000000"/>
          <w:sz w:val="16"/>
          <w:szCs w:val="16"/>
        </w:rPr>
        <w:t>Financial Times</w:t>
      </w:r>
      <w:r w:rsidRPr="00D47864">
        <w:rPr>
          <w:rFonts w:eastAsia="Times New Roman"/>
          <w:color w:val="000000"/>
          <w:sz w:val="16"/>
          <w:szCs w:val="16"/>
        </w:rPr>
        <w:t>, believes that even the proponents of the waiver desire this outcome: “having talked to the proponents, [the original proposal] was always a tactical position designed to start a debate, identify possible support and flush out opponents rather than a likely outcome. To that end, it seems to have worked rather well.”</w:t>
      </w:r>
      <w:hyperlink r:id="rId7" w:anchor="Fn19" w:tgtFrame="_blank" w:history="1">
        <w:r w:rsidRPr="00D47864">
          <w:rPr>
            <w:rFonts w:eastAsia="Times New Roman"/>
            <w:color w:val="2F4A8B"/>
            <w:sz w:val="16"/>
            <w:szCs w:val="16"/>
          </w:rPr>
          <w:t>19</w:t>
        </w:r>
      </w:hyperlink>
      <w:r w:rsidRPr="00D47864">
        <w:rPr>
          <w:rFonts w:eastAsia="Times New Roman"/>
          <w:color w:val="000000"/>
          <w:sz w:val="16"/>
          <w:szCs w:val="16"/>
        </w:rPr>
        <w:t> India’s negotiator to the TRIPS Agreement and longtime WTO staffer, Jayashree </w:t>
      </w:r>
      <w:proofErr w:type="spellStart"/>
      <w:r w:rsidRPr="00D47864">
        <w:rPr>
          <w:rFonts w:eastAsia="Times New Roman"/>
          <w:color w:val="000000"/>
          <w:sz w:val="16"/>
          <w:szCs w:val="16"/>
        </w:rPr>
        <w:t>Watal</w:t>
      </w:r>
      <w:proofErr w:type="spellEnd"/>
      <w:r w:rsidRPr="00D47864">
        <w:rPr>
          <w:rFonts w:eastAsia="Times New Roman"/>
          <w:color w:val="000000"/>
          <w:sz w:val="16"/>
          <w:szCs w:val="16"/>
        </w:rPr>
        <w:t>, agrees, stating the proposal is an “indirect attempt to put pressure on the original manufacturers to cooperate [and license production to companies in their countries]”.</w:t>
      </w:r>
      <w:hyperlink r:id="rId8" w:anchor="Fn20" w:tgtFrame="_blank" w:history="1">
        <w:r w:rsidRPr="00D47864">
          <w:rPr>
            <w:rFonts w:eastAsia="Times New Roman"/>
            <w:color w:val="2F4A8B"/>
            <w:sz w:val="16"/>
            <w:szCs w:val="16"/>
          </w:rPr>
          <w:t>20</w:t>
        </w:r>
      </w:hyperlink>
      <w:r w:rsidRPr="00D47864">
        <w:rPr>
          <w:rFonts w:eastAsia="Times New Roman"/>
          <w:color w:val="000000"/>
          <w:sz w:val="16"/>
          <w:szCs w:val="16"/>
        </w:rPr>
        <w:t> This view makes sense, as the proponents (and their supporters) have not even pointed to one credible instance where IPRs have blocked the production of a COVID-19 vaccine. Moreover, it is well known that the</w:t>
      </w:r>
      <w:r w:rsidRPr="00D47864">
        <w:rPr>
          <w:rFonts w:eastAsia="Times New Roman"/>
          <w:color w:val="000000"/>
        </w:rPr>
        <w:t> </w:t>
      </w:r>
      <w:r w:rsidRPr="00D47864">
        <w:rPr>
          <w:rFonts w:eastAsia="Times New Roman"/>
          <w:b/>
          <w:bCs/>
          <w:color w:val="000000"/>
          <w:u w:val="single"/>
          <w:shd w:val="clear" w:color="auto" w:fill="00FF00"/>
        </w:rPr>
        <w:t>leading vaccines</w:t>
      </w:r>
      <w:r w:rsidRPr="00D47864">
        <w:rPr>
          <w:rFonts w:eastAsia="Times New Roman"/>
          <w:color w:val="000000"/>
        </w:rPr>
        <w:t> </w:t>
      </w:r>
      <w:r w:rsidRPr="00D47864">
        <w:rPr>
          <w:rFonts w:eastAsia="Times New Roman"/>
          <w:color w:val="000000"/>
          <w:sz w:val="16"/>
          <w:szCs w:val="16"/>
        </w:rPr>
        <w:t>using mRNA</w:t>
      </w:r>
      <w:r w:rsidRPr="00D47864">
        <w:rPr>
          <w:rFonts w:eastAsia="Times New Roman"/>
          <w:color w:val="000000"/>
        </w:rPr>
        <w:t> </w:t>
      </w:r>
      <w:r w:rsidRPr="00D47864">
        <w:rPr>
          <w:rFonts w:eastAsia="Times New Roman"/>
          <w:b/>
          <w:bCs/>
          <w:color w:val="000000"/>
          <w:u w:val="single"/>
          <w:shd w:val="clear" w:color="auto" w:fill="00FF00"/>
        </w:rPr>
        <w:t>are difficult to reproduce and having the “blueprints” does not guarantee safe and effective production.</w:t>
      </w:r>
      <w:r w:rsidRPr="00D47864">
        <w:rPr>
          <w:rFonts w:eastAsia="Times New Roman"/>
          <w:color w:val="000000"/>
        </w:rPr>
        <w:t> </w:t>
      </w:r>
      <w:r w:rsidRPr="00D47864">
        <w:rPr>
          <w:rFonts w:eastAsia="Times New Roman"/>
          <w:color w:val="000000"/>
          <w:sz w:val="16"/>
          <w:szCs w:val="16"/>
        </w:rPr>
        <w:t>Simply stated, if a pastry chef provides instructions on how to bake a cake, the cake they bake is still going to be better than cakes baked by novices using the exact same recipe.</w:t>
      </w:r>
      <w:r w:rsidRPr="00D47864">
        <w:rPr>
          <w:rFonts w:eastAsia="Times New Roman"/>
          <w:color w:val="000000"/>
        </w:rPr>
        <w:t> </w:t>
      </w:r>
      <w:r w:rsidRPr="00D47864">
        <w:rPr>
          <w:rFonts w:eastAsia="Times New Roman"/>
          <w:b/>
          <w:bCs/>
          <w:color w:val="000000"/>
          <w:u w:val="single"/>
          <w:shd w:val="clear" w:color="auto" w:fill="00FF00"/>
        </w:rPr>
        <w:t>The know-how </w:t>
      </w:r>
      <w:r w:rsidRPr="00D47864">
        <w:rPr>
          <w:rFonts w:eastAsia="Times New Roman"/>
          <w:color w:val="000000"/>
          <w:sz w:val="16"/>
          <w:szCs w:val="16"/>
        </w:rPr>
        <w:t>and trade secrets </w:t>
      </w:r>
      <w:r w:rsidRPr="00D47864">
        <w:rPr>
          <w:rFonts w:eastAsia="Times New Roman"/>
          <w:b/>
          <w:bCs/>
          <w:color w:val="000000"/>
          <w:u w:val="single"/>
          <w:shd w:val="clear" w:color="auto" w:fill="00FF00"/>
        </w:rPr>
        <w:t>are the key ingredient to the manufacture of quality, safe and effective pharmaceuticals </w:t>
      </w:r>
      <w:r w:rsidRPr="00D47864">
        <w:rPr>
          <w:rFonts w:eastAsia="Times New Roman"/>
          <w:color w:val="000000"/>
          <w:sz w:val="16"/>
          <w:szCs w:val="16"/>
        </w:rPr>
        <w:t>or vaccines, and not only is it not transferred through compulsory licenses but it is hard to imagine how any government would force the transfer of such information even under a waiver. For this reason, </w:t>
      </w:r>
      <w:r w:rsidRPr="00D47864">
        <w:rPr>
          <w:rFonts w:eastAsia="Times New Roman"/>
          <w:b/>
          <w:bCs/>
          <w:color w:val="000000"/>
          <w:u w:val="single"/>
          <w:shd w:val="clear" w:color="auto" w:fill="00FF00"/>
        </w:rPr>
        <w:t>instead of encouraging production everywhere – including in locations where safety and efficacy standards are virtually nonexistent – and accepting that there will be a flood of substandard vaccines coming onto the world market (with devastating effects) it is much more sensible to find out where potential manufacturing capabilities exist and find ways </w:t>
      </w:r>
      <w:r w:rsidRPr="00D47864">
        <w:rPr>
          <w:rFonts w:eastAsia="Times New Roman"/>
          <w:b/>
          <w:bCs/>
          <w:color w:val="000000"/>
          <w:u w:val="single"/>
        </w:rPr>
        <w:t>to exploit them and </w:t>
      </w:r>
      <w:r w:rsidRPr="00D47864">
        <w:rPr>
          <w:rFonts w:eastAsia="Times New Roman"/>
          <w:b/>
          <w:bCs/>
          <w:color w:val="000000"/>
          <w:u w:val="single"/>
          <w:shd w:val="clear" w:color="auto" w:fill="00FF00"/>
        </w:rPr>
        <w:t>scale them up.</w:t>
      </w:r>
      <w:r w:rsidRPr="00D47864">
        <w:rPr>
          <w:rFonts w:eastAsia="Times New Roman"/>
          <w:color w:val="000000"/>
        </w:rPr>
        <w:t> </w:t>
      </w:r>
    </w:p>
    <w:p w14:paraId="4C9BCD02" w14:textId="77777777" w:rsidR="003739CC" w:rsidRPr="00D47864" w:rsidRDefault="003739CC" w:rsidP="003739CC">
      <w:pPr>
        <w:spacing w:after="0" w:line="240" w:lineRule="auto"/>
        <w:textAlignment w:val="baseline"/>
        <w:rPr>
          <w:rFonts w:ascii="Segoe UI" w:eastAsia="Times New Roman" w:hAnsi="Segoe UI" w:cs="Segoe UI"/>
          <w:sz w:val="18"/>
          <w:szCs w:val="18"/>
        </w:rPr>
      </w:pPr>
      <w:r w:rsidRPr="00D47864">
        <w:rPr>
          <w:rFonts w:eastAsia="Times New Roman"/>
        </w:rPr>
        <w:t> </w:t>
      </w:r>
    </w:p>
    <w:p w14:paraId="10149ED2" w14:textId="77777777" w:rsidR="003739CC" w:rsidRPr="00D47864" w:rsidRDefault="003739CC" w:rsidP="003739CC">
      <w:pPr>
        <w:pStyle w:val="Heading4"/>
        <w:rPr>
          <w:rFonts w:ascii="Segoe UI" w:eastAsia="Times New Roman" w:hAnsi="Segoe UI" w:cs="Segoe UI"/>
          <w:sz w:val="18"/>
          <w:szCs w:val="18"/>
        </w:rPr>
      </w:pPr>
      <w:r w:rsidRPr="00D47864">
        <w:rPr>
          <w:rFonts w:eastAsia="Times New Roman"/>
        </w:rPr>
        <w:t>Impact: Increased presence of substandard drugs and falsified medicines endangers public health and strengthens antimicrobial resistance; Johnston and Holt, 14 </w:t>
      </w:r>
    </w:p>
    <w:p w14:paraId="021D90A5" w14:textId="77777777" w:rsidR="003739CC" w:rsidRPr="00D47864" w:rsidRDefault="003739CC" w:rsidP="003739CC">
      <w:pPr>
        <w:spacing w:after="0" w:line="240" w:lineRule="auto"/>
        <w:textAlignment w:val="baseline"/>
        <w:rPr>
          <w:rFonts w:ascii="Segoe UI" w:eastAsia="Times New Roman" w:hAnsi="Segoe UI" w:cs="Segoe UI"/>
          <w:sz w:val="18"/>
          <w:szCs w:val="18"/>
        </w:rPr>
      </w:pPr>
      <w:r w:rsidRPr="00D47864">
        <w:rPr>
          <w:rFonts w:eastAsia="Times New Roman"/>
          <w:color w:val="303030"/>
          <w:sz w:val="16"/>
          <w:szCs w:val="16"/>
          <w:shd w:val="clear" w:color="auto" w:fill="FFFFFF"/>
        </w:rPr>
        <w:t>Johnston, </w:t>
      </w:r>
      <w:proofErr w:type="spellStart"/>
      <w:r w:rsidRPr="00D47864">
        <w:rPr>
          <w:rFonts w:eastAsia="Times New Roman"/>
          <w:color w:val="303030"/>
          <w:sz w:val="16"/>
          <w:szCs w:val="16"/>
          <w:shd w:val="clear" w:color="auto" w:fill="FFFFFF"/>
        </w:rPr>
        <w:t>Atholl</w:t>
      </w:r>
      <w:proofErr w:type="spellEnd"/>
      <w:r w:rsidRPr="00D47864">
        <w:rPr>
          <w:rFonts w:eastAsia="Times New Roman"/>
          <w:color w:val="303030"/>
          <w:sz w:val="16"/>
          <w:szCs w:val="16"/>
          <w:shd w:val="clear" w:color="auto" w:fill="FFFFFF"/>
        </w:rPr>
        <w:t> (C. </w:t>
      </w:r>
      <w:r w:rsidRPr="00D47864">
        <w:rPr>
          <w:rFonts w:eastAsia="Times New Roman"/>
          <w:color w:val="444444"/>
          <w:sz w:val="16"/>
          <w:szCs w:val="16"/>
          <w:shd w:val="clear" w:color="auto" w:fill="FFFFFF"/>
        </w:rPr>
        <w:t>Clinical Pharmacology, Barts and The London School of Medicine and Dentistry, Queen Mary, University of London, London, UK)</w:t>
      </w:r>
      <w:r w:rsidRPr="00D47864">
        <w:rPr>
          <w:rFonts w:eastAsia="Times New Roman"/>
          <w:color w:val="303030"/>
          <w:sz w:val="16"/>
          <w:szCs w:val="16"/>
          <w:shd w:val="clear" w:color="auto" w:fill="FFFFFF"/>
        </w:rPr>
        <w:t> and David W Holt (C. Professor David Holt has more than 47 years’ experience in the measurement of drugs as a guide to therapy, and has been responsible for the development of assays used to monitor a wide variety of therapeutic agents. For over 20 years he was the Director of the Analytical Unit at St George’s, University of London, where he was also responsible for the analysis of illicit and prescription drugs for the Unit’s Forensic Toxicology Services provided to HM Coroners, pathologists and law enforcement agencies. He now advises on proficiency testing schemes for the measurement of immunosuppressive drugs, and on problems associated with substandard pharmaceuticals.</w:t>
      </w:r>
      <w:r w:rsidRPr="00D47864">
        <w:rPr>
          <w:rFonts w:eastAsia="Times New Roman"/>
          <w:color w:val="303030"/>
          <w:sz w:val="16"/>
          <w:szCs w:val="16"/>
        </w:rPr>
        <w:t> </w:t>
      </w:r>
    </w:p>
    <w:p w14:paraId="4342BFD1" w14:textId="77777777" w:rsidR="003739CC" w:rsidRPr="00D47864" w:rsidRDefault="003739CC" w:rsidP="003739CC">
      <w:pPr>
        <w:spacing w:after="0" w:line="240" w:lineRule="auto"/>
        <w:textAlignment w:val="baseline"/>
        <w:rPr>
          <w:rFonts w:ascii="Segoe UI" w:eastAsia="Times New Roman" w:hAnsi="Segoe UI" w:cs="Segoe UI"/>
          <w:sz w:val="18"/>
          <w:szCs w:val="18"/>
        </w:rPr>
      </w:pPr>
      <w:r w:rsidRPr="00D47864">
        <w:rPr>
          <w:rFonts w:eastAsia="Times New Roman"/>
          <w:color w:val="303030"/>
          <w:sz w:val="16"/>
          <w:szCs w:val="16"/>
          <w:shd w:val="clear" w:color="auto" w:fill="FFFFFF"/>
        </w:rPr>
        <w:lastRenderedPageBreak/>
        <w:t>Professor Holt is a frequent speaker on a broad range of issues relating to </w:t>
      </w:r>
      <w:proofErr w:type="spellStart"/>
      <w:r w:rsidRPr="00D47864">
        <w:rPr>
          <w:rFonts w:eastAsia="Times New Roman"/>
          <w:color w:val="303030"/>
          <w:sz w:val="16"/>
          <w:szCs w:val="16"/>
          <w:shd w:val="clear" w:color="auto" w:fill="FFFFFF"/>
        </w:rPr>
        <w:t>bioanalytics</w:t>
      </w:r>
      <w:proofErr w:type="spellEnd"/>
      <w:r w:rsidRPr="00D47864">
        <w:rPr>
          <w:rFonts w:eastAsia="Times New Roman"/>
          <w:color w:val="303030"/>
          <w:sz w:val="16"/>
          <w:szCs w:val="16"/>
          <w:shd w:val="clear" w:color="auto" w:fill="FFFFFF"/>
        </w:rPr>
        <w:t> and clinical toxicology. He is the author of over 400 publications in peer reviewed journals and invited contributions to books. He is a past President of the International Association of Therapeutic Drug Monitoring and Clinical Toxicology and a recipient of the Charles E </w:t>
      </w:r>
      <w:proofErr w:type="spellStart"/>
      <w:r w:rsidRPr="00D47864">
        <w:rPr>
          <w:rFonts w:eastAsia="Times New Roman"/>
          <w:color w:val="303030"/>
          <w:sz w:val="16"/>
          <w:szCs w:val="16"/>
          <w:shd w:val="clear" w:color="auto" w:fill="FFFFFF"/>
        </w:rPr>
        <w:t>Pippenger</w:t>
      </w:r>
      <w:proofErr w:type="spellEnd"/>
      <w:r w:rsidRPr="00D47864">
        <w:rPr>
          <w:rFonts w:eastAsia="Times New Roman"/>
          <w:color w:val="303030"/>
          <w:sz w:val="16"/>
          <w:szCs w:val="16"/>
          <w:shd w:val="clear" w:color="auto" w:fill="FFFFFF"/>
        </w:rPr>
        <w:t> Award for Outstanding Contributions to Therapeutic Drug </w:t>
      </w:r>
      <w:proofErr w:type="gramStart"/>
      <w:r w:rsidRPr="00D47864">
        <w:rPr>
          <w:rFonts w:eastAsia="Times New Roman"/>
          <w:color w:val="303030"/>
          <w:sz w:val="16"/>
          <w:szCs w:val="16"/>
          <w:shd w:val="clear" w:color="auto" w:fill="FFFFFF"/>
        </w:rPr>
        <w:t>Monitoring..</w:t>
      </w:r>
      <w:proofErr w:type="gramEnd"/>
      <w:r w:rsidRPr="00D47864">
        <w:rPr>
          <w:rFonts w:eastAsia="Times New Roman"/>
          <w:color w:val="303030"/>
          <w:sz w:val="16"/>
          <w:szCs w:val="16"/>
          <w:shd w:val="clear" w:color="auto" w:fill="FFFFFF"/>
        </w:rPr>
        <w:t> “Substandard drugs: a potential crisis for public health.” </w:t>
      </w:r>
      <w:r w:rsidRPr="00D47864">
        <w:rPr>
          <w:rFonts w:eastAsia="Times New Roman"/>
          <w:i/>
          <w:iCs/>
          <w:color w:val="303030"/>
          <w:sz w:val="16"/>
          <w:szCs w:val="16"/>
          <w:shd w:val="clear" w:color="auto" w:fill="FFFFFF"/>
        </w:rPr>
        <w:t>British journal of clinical pharmacology</w:t>
      </w:r>
      <w:r w:rsidRPr="00D47864">
        <w:rPr>
          <w:rFonts w:eastAsia="Times New Roman"/>
          <w:color w:val="303030"/>
          <w:sz w:val="16"/>
          <w:szCs w:val="16"/>
          <w:shd w:val="clear" w:color="auto" w:fill="FFFFFF"/>
        </w:rPr>
        <w:t> vol. 78,2 (2014): 218-43. doi:10.1111/bcp.12298</w:t>
      </w:r>
      <w:r w:rsidRPr="00D47864">
        <w:rPr>
          <w:rFonts w:eastAsia="Times New Roman"/>
          <w:color w:val="000000"/>
          <w:sz w:val="16"/>
          <w:szCs w:val="16"/>
        </w:rPr>
        <w:t> </w:t>
      </w:r>
      <w:hyperlink r:id="rId9" w:tgtFrame="_blank" w:history="1">
        <w:r w:rsidRPr="00D47864">
          <w:rPr>
            <w:rFonts w:eastAsia="Times New Roman"/>
            <w:color w:val="1155CC"/>
            <w:sz w:val="16"/>
            <w:szCs w:val="16"/>
          </w:rPr>
          <w:t>https://www.ncbi.nlm.nih.gov/pmc/articles/PMC4137817/</w:t>
        </w:r>
      </w:hyperlink>
      <w:r w:rsidRPr="00D47864">
        <w:rPr>
          <w:rFonts w:eastAsia="Times New Roman"/>
        </w:rPr>
        <w:t> </w:t>
      </w:r>
    </w:p>
    <w:p w14:paraId="72C57F67" w14:textId="77777777" w:rsidR="003739CC" w:rsidRPr="00D47864" w:rsidRDefault="003739CC" w:rsidP="003739CC">
      <w:pPr>
        <w:spacing w:after="0" w:line="240" w:lineRule="auto"/>
        <w:textAlignment w:val="baseline"/>
        <w:rPr>
          <w:rFonts w:ascii="Segoe UI" w:eastAsia="Times New Roman" w:hAnsi="Segoe UI" w:cs="Segoe UI"/>
          <w:sz w:val="18"/>
          <w:szCs w:val="18"/>
        </w:rPr>
      </w:pPr>
      <w:r w:rsidRPr="00D47864">
        <w:rPr>
          <w:rFonts w:eastAsia="Times New Roman"/>
        </w:rPr>
        <w:t> </w:t>
      </w:r>
    </w:p>
    <w:p w14:paraId="1DB59864" w14:textId="77777777" w:rsidR="003739CC" w:rsidRPr="00D47864" w:rsidRDefault="003739CC" w:rsidP="003739CC">
      <w:pPr>
        <w:shd w:val="clear" w:color="auto" w:fill="FFFFFF"/>
        <w:spacing w:after="0" w:line="240" w:lineRule="auto"/>
        <w:textAlignment w:val="baseline"/>
        <w:rPr>
          <w:rFonts w:ascii="Segoe UI" w:eastAsia="Times New Roman" w:hAnsi="Segoe UI" w:cs="Segoe UI"/>
          <w:sz w:val="18"/>
          <w:szCs w:val="18"/>
        </w:rPr>
      </w:pPr>
      <w:r w:rsidRPr="00D47864">
        <w:rPr>
          <w:rFonts w:eastAsia="Times New Roman"/>
          <w:color w:val="000000"/>
          <w:sz w:val="16"/>
          <w:szCs w:val="16"/>
        </w:rPr>
        <w:t>The WHO defines ‘counterfeit’ drugs as ‘medicines that are deliberately and fraudulently </w:t>
      </w:r>
      <w:proofErr w:type="spellStart"/>
      <w:r w:rsidRPr="00D47864">
        <w:rPr>
          <w:rFonts w:eastAsia="Times New Roman"/>
          <w:color w:val="000000"/>
          <w:sz w:val="16"/>
          <w:szCs w:val="16"/>
        </w:rPr>
        <w:t>mislabelled</w:t>
      </w:r>
      <w:proofErr w:type="spellEnd"/>
      <w:r w:rsidRPr="00D47864">
        <w:rPr>
          <w:rFonts w:eastAsia="Times New Roman"/>
          <w:color w:val="000000"/>
          <w:sz w:val="16"/>
          <w:szCs w:val="16"/>
        </w:rPr>
        <w:t> with respect to identity and/or source’ [</w:t>
      </w:r>
      <w:hyperlink r:id="rId10" w:anchor="b8" w:tgtFrame="_blank" w:history="1">
        <w:r w:rsidRPr="00D47864">
          <w:rPr>
            <w:rFonts w:eastAsia="Times New Roman"/>
            <w:color w:val="2F4A8B"/>
            <w:sz w:val="16"/>
            <w:szCs w:val="16"/>
          </w:rPr>
          <w:t>8</w:t>
        </w:r>
      </w:hyperlink>
      <w:r w:rsidRPr="00D47864">
        <w:rPr>
          <w:rFonts w:eastAsia="Times New Roman"/>
          <w:color w:val="000000"/>
          <w:sz w:val="16"/>
          <w:szCs w:val="16"/>
        </w:rPr>
        <w:t>]. It also states that both branded and generic products may be counterfeited and that ‘counterfeit medicines may include products with the correct ingredients or with the wrong ingredients, without active ingredients, with insufficient or too much active ingredient, or with fake packaging’. However, because of the potential misunderstanding of the term ‘counterfeit’ – which,</w:t>
      </w:r>
      <w:r w:rsidRPr="00D47864">
        <w:rPr>
          <w:rFonts w:eastAsia="Times New Roman"/>
          <w:color w:val="000000"/>
        </w:rPr>
        <w:t> </w:t>
      </w:r>
      <w:r w:rsidRPr="00D47864">
        <w:rPr>
          <w:rFonts w:eastAsia="Times New Roman"/>
          <w:b/>
          <w:bCs/>
          <w:color w:val="000000"/>
          <w:u w:val="single"/>
          <w:shd w:val="clear" w:color="auto" w:fill="00FF00"/>
        </w:rPr>
        <w:t>in the context of intellectual property</w:t>
      </w:r>
      <w:r w:rsidRPr="00D47864">
        <w:rPr>
          <w:rFonts w:eastAsia="Times New Roman"/>
          <w:b/>
          <w:bCs/>
          <w:color w:val="000000"/>
          <w:u w:val="single"/>
        </w:rPr>
        <w:t>, refers specifically to trademark infringement – </w:t>
      </w:r>
      <w:r w:rsidRPr="00D47864">
        <w:rPr>
          <w:rFonts w:eastAsia="Times New Roman"/>
          <w:b/>
          <w:bCs/>
          <w:color w:val="000000"/>
          <w:u w:val="single"/>
          <w:shd w:val="clear" w:color="auto" w:fill="00FF00"/>
        </w:rPr>
        <w:t>the phrase ‘falsified medicines’ is used</w:t>
      </w:r>
      <w:r w:rsidRPr="00D47864">
        <w:rPr>
          <w:rFonts w:eastAsia="Times New Roman"/>
          <w:color w:val="000000"/>
          <w:sz w:val="16"/>
          <w:szCs w:val="16"/>
        </w:rPr>
        <w:t> by some authorities, particularly in Europe. The Commission of the European Communities defines these as ‘medicinal products which are falsified in relation to their identity, history or source. These products … usually contain sub-standard or false ingredients, or no ingredients or ingredients in the wrong dosage, including active ingredients’ [</w:t>
      </w:r>
      <w:hyperlink r:id="rId11" w:anchor="b9" w:tgtFrame="_blank" w:history="1">
        <w:r w:rsidRPr="00D47864">
          <w:rPr>
            <w:rFonts w:eastAsia="Times New Roman"/>
            <w:color w:val="2F4A8B"/>
            <w:sz w:val="16"/>
            <w:szCs w:val="16"/>
          </w:rPr>
          <w:t>9</w:t>
        </w:r>
      </w:hyperlink>
      <w:r w:rsidRPr="00D47864">
        <w:rPr>
          <w:rFonts w:eastAsia="Times New Roman"/>
          <w:color w:val="000000"/>
          <w:sz w:val="16"/>
          <w:szCs w:val="16"/>
        </w:rPr>
        <w:t>]. </w:t>
      </w:r>
    </w:p>
    <w:p w14:paraId="5AA40579" w14:textId="248F8D22" w:rsidR="003739CC" w:rsidRPr="00D47864" w:rsidRDefault="003739CC" w:rsidP="003739CC">
      <w:pPr>
        <w:shd w:val="clear" w:color="auto" w:fill="FFFFFF"/>
        <w:spacing w:after="0" w:line="240" w:lineRule="auto"/>
        <w:textAlignment w:val="baseline"/>
        <w:rPr>
          <w:rFonts w:ascii="Segoe UI" w:eastAsia="Times New Roman" w:hAnsi="Segoe UI" w:cs="Segoe UI"/>
          <w:sz w:val="18"/>
          <w:szCs w:val="18"/>
        </w:rPr>
      </w:pPr>
      <w:r w:rsidRPr="00D47864">
        <w:rPr>
          <w:rFonts w:eastAsia="Times New Roman"/>
          <w:color w:val="000000"/>
        </w:rPr>
        <w:t>Thus, </w:t>
      </w:r>
      <w:r w:rsidRPr="00D47864">
        <w:rPr>
          <w:rFonts w:eastAsia="Times New Roman"/>
          <w:b/>
          <w:bCs/>
          <w:color w:val="000000"/>
          <w:u w:val="single"/>
          <w:shd w:val="clear" w:color="auto" w:fill="00FF00"/>
        </w:rPr>
        <w:t>falsified drugs are</w:t>
      </w:r>
      <w:r w:rsidRPr="00D47864">
        <w:rPr>
          <w:rFonts w:eastAsia="Times New Roman"/>
          <w:b/>
          <w:bCs/>
          <w:color w:val="000000"/>
          <w:u w:val="single"/>
        </w:rPr>
        <w:t> highly</w:t>
      </w:r>
      <w:r w:rsidRPr="00D47864">
        <w:rPr>
          <w:rFonts w:eastAsia="Times New Roman"/>
          <w:b/>
          <w:bCs/>
          <w:color w:val="000000"/>
          <w:u w:val="single"/>
          <w:shd w:val="clear" w:color="auto" w:fill="00FF00"/>
        </w:rPr>
        <w:t> likely to be of substandard quality, possibly containing no API.</w:t>
      </w:r>
      <w:r w:rsidRPr="00D47864">
        <w:rPr>
          <w:rFonts w:eastAsia="Times New Roman"/>
          <w:b/>
          <w:bCs/>
          <w:color w:val="000000"/>
          <w:u w:val="single"/>
        </w:rPr>
        <w:t> However, only a small proportion of </w:t>
      </w:r>
      <w:r w:rsidRPr="00D47864">
        <w:rPr>
          <w:rFonts w:eastAsia="Times New Roman"/>
          <w:b/>
          <w:bCs/>
          <w:color w:val="000000"/>
          <w:u w:val="single"/>
          <w:shd w:val="clear" w:color="auto" w:fill="00FF00"/>
        </w:rPr>
        <w:t>substandard drugs</w:t>
      </w:r>
      <w:r w:rsidRPr="00D47864">
        <w:rPr>
          <w:rFonts w:eastAsia="Times New Roman"/>
          <w:b/>
          <w:bCs/>
          <w:color w:val="000000"/>
          <w:u w:val="single"/>
        </w:rPr>
        <w:t> are falsified; the rest </w:t>
      </w:r>
      <w:r w:rsidRPr="00D47864">
        <w:rPr>
          <w:rFonts w:eastAsia="Times New Roman"/>
          <w:b/>
          <w:bCs/>
          <w:color w:val="000000"/>
          <w:u w:val="single"/>
          <w:shd w:val="clear" w:color="auto" w:fill="00FF00"/>
        </w:rPr>
        <w:t>reach the market as a result of poor manufacturing practices, inadequate quality-control processes, incorrect storage or inappropriate packaging, or a combination of these factors.</w:t>
      </w:r>
      <w:r w:rsidRPr="00D47864">
        <w:rPr>
          <w:rFonts w:eastAsia="Times New Roman"/>
          <w:b/>
          <w:bCs/>
          <w:color w:val="000000"/>
          <w:u w:val="single"/>
        </w:rPr>
        <w:t> </w:t>
      </w:r>
      <w:r w:rsidRPr="00D47864">
        <w:rPr>
          <w:rFonts w:eastAsia="Times New Roman"/>
          <w:color w:val="000000"/>
          <w:sz w:val="16"/>
          <w:szCs w:val="16"/>
        </w:rPr>
        <w:t>This can affect both branded and generic drugs.</w:t>
      </w:r>
      <w:r w:rsidRPr="00D47864">
        <w:rPr>
          <w:rFonts w:eastAsia="Times New Roman"/>
          <w:color w:val="000000"/>
        </w:rPr>
        <w:t> In many cases, </w:t>
      </w:r>
      <w:r w:rsidRPr="00D47864">
        <w:rPr>
          <w:rFonts w:eastAsia="Times New Roman"/>
          <w:b/>
          <w:bCs/>
          <w:color w:val="000000"/>
          <w:u w:val="single"/>
        </w:rPr>
        <w:t>the reason why a drug product is substandard (</w:t>
      </w:r>
      <w:proofErr w:type="gramStart"/>
      <w:r w:rsidRPr="00D47864">
        <w:rPr>
          <w:rFonts w:eastAsia="Times New Roman"/>
          <w:b/>
          <w:bCs/>
          <w:color w:val="000000"/>
          <w:u w:val="single"/>
        </w:rPr>
        <w:t>i.e.</w:t>
      </w:r>
      <w:proofErr w:type="gramEnd"/>
      <w:r w:rsidRPr="00D47864">
        <w:rPr>
          <w:rFonts w:eastAsia="Times New Roman"/>
          <w:b/>
          <w:bCs/>
          <w:color w:val="000000"/>
          <w:u w:val="single"/>
        </w:rPr>
        <w:t xml:space="preserve"> deliberate falsification or poor manufacturing practice) is not stated or is not </w:t>
      </w:r>
      <w:r w:rsidRPr="003739CC">
        <w:rPr>
          <w:rFonts w:eastAsia="Times New Roman"/>
          <w:b/>
          <w:bCs/>
          <w:color w:val="000000"/>
          <w:u w:val="single"/>
        </w:rPr>
        <w:t>known. Whether or not a drug product is substandard because of criminal intent or because of failures in manufacturing, storage, etc. is immaterial to the patient because the impact on their health will be the same, regardless of cause </w:t>
      </w:r>
      <w:r w:rsidRPr="003739CC">
        <w:rPr>
          <w:rFonts w:eastAsia="Times New Roman"/>
          <w:b/>
          <w:bCs/>
          <w:color w:val="000000"/>
          <w:u w:val="single"/>
        </w:rPr>
        <w:t xml:space="preserve"> </w:t>
      </w:r>
      <w:r w:rsidRPr="003739CC">
        <w:rPr>
          <w:rFonts w:eastAsia="Times New Roman"/>
          <w:color w:val="000000"/>
          <w:sz w:val="16"/>
          <w:szCs w:val="16"/>
        </w:rPr>
        <w:t>[</w:t>
      </w:r>
      <w:hyperlink r:id="rId12" w:anchor="b10" w:tgtFrame="_blank" w:history="1">
        <w:r w:rsidRPr="003739CC">
          <w:rPr>
            <w:rFonts w:eastAsia="Times New Roman"/>
            <w:color w:val="2F4A8B"/>
            <w:sz w:val="16"/>
            <w:szCs w:val="16"/>
          </w:rPr>
          <w:t>10</w:t>
        </w:r>
      </w:hyperlink>
      <w:r w:rsidRPr="003739CC">
        <w:rPr>
          <w:rFonts w:eastAsia="Times New Roman"/>
          <w:color w:val="000000"/>
          <w:sz w:val="16"/>
          <w:szCs w:val="16"/>
        </w:rPr>
        <w:t>]. In this article, we consider the term ‘su</w:t>
      </w:r>
      <w:r w:rsidRPr="00D47864">
        <w:rPr>
          <w:rFonts w:eastAsia="Times New Roman"/>
          <w:color w:val="000000"/>
          <w:sz w:val="16"/>
          <w:szCs w:val="16"/>
        </w:rPr>
        <w:t>bstandard’ to apply both to legally approved but poor-quality drugs and to falsified drugs, but we focus on the former with regard to reviewing potential solutions. </w:t>
      </w:r>
    </w:p>
    <w:p w14:paraId="6172E84B" w14:textId="77777777" w:rsidR="003739CC" w:rsidRPr="00D47864" w:rsidRDefault="003739CC" w:rsidP="003739CC">
      <w:pPr>
        <w:shd w:val="clear" w:color="auto" w:fill="FFFFFF"/>
        <w:spacing w:after="0" w:line="240" w:lineRule="auto"/>
        <w:textAlignment w:val="baseline"/>
        <w:rPr>
          <w:rFonts w:ascii="Segoe UI" w:eastAsia="Times New Roman" w:hAnsi="Segoe UI" w:cs="Segoe UI"/>
          <w:sz w:val="18"/>
          <w:szCs w:val="18"/>
        </w:rPr>
      </w:pPr>
      <w:r w:rsidRPr="00D47864">
        <w:rPr>
          <w:rFonts w:eastAsia="Times New Roman"/>
          <w:b/>
          <w:bCs/>
          <w:color w:val="000000"/>
          <w:u w:val="single"/>
        </w:rPr>
        <w:t>Substandard drugs pose a serious health concern from several perspectives</w:t>
      </w:r>
      <w:r w:rsidRPr="00D47864">
        <w:rPr>
          <w:rFonts w:eastAsia="Times New Roman"/>
          <w:color w:val="000000"/>
          <w:sz w:val="16"/>
          <w:szCs w:val="16"/>
        </w:rPr>
        <w:t> (Table ​(Table44 [47,48,51,52,57,59,70,95–104]).</w:t>
      </w:r>
      <w:r w:rsidRPr="00D47864">
        <w:rPr>
          <w:rFonts w:eastAsia="Times New Roman"/>
          <w:color w:val="000000"/>
        </w:rPr>
        <w:t> Although </w:t>
      </w:r>
      <w:r w:rsidRPr="00D47864">
        <w:rPr>
          <w:rFonts w:eastAsia="Times New Roman"/>
          <w:b/>
          <w:bCs/>
          <w:color w:val="000000"/>
          <w:u w:val="single"/>
          <w:shd w:val="clear" w:color="auto" w:fill="00FF00"/>
        </w:rPr>
        <w:t>falsified drugs have</w:t>
      </w:r>
      <w:r w:rsidRPr="00D47864">
        <w:rPr>
          <w:rFonts w:eastAsia="Times New Roman"/>
          <w:color w:val="000000"/>
        </w:rPr>
        <w:t> perhaps </w:t>
      </w:r>
      <w:r w:rsidRPr="00D47864">
        <w:rPr>
          <w:rFonts w:eastAsia="Times New Roman"/>
          <w:b/>
          <w:bCs/>
          <w:color w:val="000000"/>
          <w:u w:val="single"/>
          <w:shd w:val="clear" w:color="auto" w:fill="00FF00"/>
        </w:rPr>
        <w:t>received </w:t>
      </w:r>
      <w:r w:rsidRPr="00D47864">
        <w:rPr>
          <w:rFonts w:eastAsia="Times New Roman"/>
          <w:b/>
          <w:bCs/>
          <w:color w:val="000000"/>
          <w:u w:val="single"/>
        </w:rPr>
        <w:t>most</w:t>
      </w:r>
      <w:r w:rsidRPr="00D47864">
        <w:rPr>
          <w:rFonts w:eastAsia="Times New Roman"/>
          <w:color w:val="000000"/>
        </w:rPr>
        <w:t> of the </w:t>
      </w:r>
      <w:r w:rsidRPr="00D47864">
        <w:rPr>
          <w:rFonts w:eastAsia="Times New Roman"/>
          <w:b/>
          <w:bCs/>
          <w:color w:val="000000"/>
          <w:u w:val="single"/>
          <w:shd w:val="clear" w:color="auto" w:fill="00FF00"/>
        </w:rPr>
        <w:t>attention with</w:t>
      </w:r>
      <w:r w:rsidRPr="00D47864">
        <w:rPr>
          <w:rFonts w:eastAsia="Times New Roman"/>
          <w:b/>
          <w:bCs/>
          <w:color w:val="000000"/>
          <w:u w:val="single"/>
        </w:rPr>
        <w:t> respect to </w:t>
      </w:r>
      <w:r w:rsidRPr="00D47864">
        <w:rPr>
          <w:rFonts w:eastAsia="Times New Roman"/>
          <w:b/>
          <w:bCs/>
          <w:color w:val="000000"/>
          <w:u w:val="single"/>
          <w:shd w:val="clear" w:color="auto" w:fill="00FF00"/>
        </w:rPr>
        <w:t>causing unnecessary deaths, substandard drug manufacture also leads to morbidity and mortality</w:t>
      </w:r>
      <w:r w:rsidRPr="00D47864">
        <w:rPr>
          <w:rFonts w:eastAsia="Times New Roman"/>
          <w:color w:val="000000"/>
        </w:rPr>
        <w:t>.</w:t>
      </w:r>
      <w:r w:rsidRPr="00D47864">
        <w:rPr>
          <w:rFonts w:eastAsia="Times New Roman"/>
          <w:color w:val="000000"/>
          <w:sz w:val="16"/>
          <w:szCs w:val="16"/>
        </w:rPr>
        <w:t> A formulation with insufficient API may lead to a lack of clinical response, and possibly, death. For example,</w:t>
      </w:r>
      <w:r w:rsidRPr="00D47864">
        <w:rPr>
          <w:rFonts w:eastAsia="Times New Roman"/>
          <w:color w:val="000000"/>
        </w:rPr>
        <w:t> </w:t>
      </w:r>
      <w:r w:rsidRPr="00D47864">
        <w:rPr>
          <w:rFonts w:eastAsia="Times New Roman"/>
          <w:b/>
          <w:bCs/>
          <w:color w:val="000000"/>
          <w:u w:val="single"/>
        </w:rPr>
        <w:t>there are </w:t>
      </w:r>
      <w:r w:rsidRPr="00D47864">
        <w:rPr>
          <w:rFonts w:eastAsia="Times New Roman"/>
          <w:b/>
          <w:bCs/>
          <w:color w:val="000000"/>
          <w:u w:val="single"/>
          <w:shd w:val="clear" w:color="auto" w:fill="00FF00"/>
        </w:rPr>
        <w:t>reports of patients failing to respond to antimalarial treatment</w:t>
      </w:r>
      <w:r w:rsidRPr="00D47864">
        <w:rPr>
          <w:rFonts w:eastAsia="Times New Roman"/>
          <w:b/>
          <w:bCs/>
          <w:color w:val="000000"/>
          <w:u w:val="single"/>
        </w:rPr>
        <w:t> </w:t>
      </w:r>
      <w:r w:rsidRPr="00D47864">
        <w:rPr>
          <w:rFonts w:eastAsia="Times New Roman"/>
          <w:color w:val="000000"/>
          <w:sz w:val="16"/>
          <w:szCs w:val="16"/>
        </w:rPr>
        <w:t>[95,96] </w:t>
      </w:r>
      <w:r w:rsidRPr="00D47864">
        <w:rPr>
          <w:rFonts w:eastAsia="Times New Roman"/>
          <w:b/>
          <w:bCs/>
          <w:color w:val="000000"/>
          <w:u w:val="single"/>
          <w:shd w:val="clear" w:color="auto" w:fill="00FF00"/>
        </w:rPr>
        <w:t>because the drugs contained less than the stated dose of API and, in one reported case, contained more paracetamol than antimalarial agent</w:t>
      </w:r>
      <w:r w:rsidRPr="00D47864">
        <w:rPr>
          <w:rFonts w:eastAsia="Times New Roman"/>
          <w:color w:val="000000"/>
        </w:rPr>
        <w:t> </w:t>
      </w:r>
      <w:r w:rsidRPr="00D47864">
        <w:rPr>
          <w:rFonts w:eastAsia="Times New Roman"/>
          <w:color w:val="000000"/>
          <w:sz w:val="16"/>
          <w:szCs w:val="16"/>
        </w:rPr>
        <w:t>[95]. In other cases, a reduced therapeutic response has been associated with generic/copy versions of drugs compared with the originator drugs, including antibiotics, tacrolimus and imatinib [70,97,99–102]. </w:t>
      </w:r>
    </w:p>
    <w:p w14:paraId="10467052" w14:textId="77777777" w:rsidR="003739CC" w:rsidRPr="00D47864" w:rsidRDefault="003739CC" w:rsidP="003739CC">
      <w:pPr>
        <w:shd w:val="clear" w:color="auto" w:fill="FFFFFF"/>
        <w:spacing w:after="0" w:line="240" w:lineRule="auto"/>
        <w:textAlignment w:val="baseline"/>
        <w:rPr>
          <w:rFonts w:ascii="Segoe UI" w:eastAsia="Times New Roman" w:hAnsi="Segoe UI" w:cs="Segoe UI"/>
          <w:sz w:val="18"/>
          <w:szCs w:val="18"/>
        </w:rPr>
      </w:pPr>
      <w:r w:rsidRPr="00D47864">
        <w:rPr>
          <w:rFonts w:eastAsia="Times New Roman"/>
          <w:b/>
          <w:bCs/>
          <w:color w:val="000000"/>
          <w:u w:val="single"/>
          <w:shd w:val="clear" w:color="auto" w:fill="00FF00"/>
        </w:rPr>
        <w:t>Adverse events also occur due to drug–drug interactions with contaminants, the presence of excess API, contamination with poisonous substances, or allergic reactions to contaminants or substituted excipients.</w:t>
      </w:r>
      <w:r w:rsidRPr="00D47864">
        <w:rPr>
          <w:rFonts w:eastAsia="Times New Roman"/>
          <w:color w:val="000000"/>
        </w:rPr>
        <w:t> </w:t>
      </w:r>
      <w:r w:rsidRPr="00D47864">
        <w:rPr>
          <w:rFonts w:eastAsia="Times New Roman"/>
          <w:color w:val="000000"/>
          <w:sz w:val="16"/>
          <w:szCs w:val="16"/>
        </w:rPr>
        <w:t>As mentioned above, some of the most extreme cases involve the (possibly deliberate) contamination of medicines with DEG [</w:t>
      </w:r>
      <w:hyperlink r:id="rId13" w:anchor="b47" w:tgtFrame="_blank" w:history="1">
        <w:r w:rsidRPr="00D47864">
          <w:rPr>
            <w:rFonts w:eastAsia="Times New Roman"/>
            <w:color w:val="2F4A8B"/>
            <w:sz w:val="16"/>
            <w:szCs w:val="16"/>
          </w:rPr>
          <w:t>47</w:t>
        </w:r>
      </w:hyperlink>
      <w:r w:rsidRPr="00D47864">
        <w:rPr>
          <w:rFonts w:eastAsia="Times New Roman"/>
          <w:color w:val="000000"/>
          <w:sz w:val="16"/>
          <w:szCs w:val="16"/>
        </w:rPr>
        <w:t>,</w:t>
      </w:r>
      <w:hyperlink r:id="rId14" w:anchor="b48" w:tgtFrame="_blank" w:history="1">
        <w:r w:rsidRPr="00D47864">
          <w:rPr>
            <w:rFonts w:eastAsia="Times New Roman"/>
            <w:color w:val="2F4A8B"/>
            <w:sz w:val="16"/>
            <w:szCs w:val="16"/>
          </w:rPr>
          <w:t>48</w:t>
        </w:r>
      </w:hyperlink>
      <w:r w:rsidRPr="00D47864">
        <w:rPr>
          <w:rFonts w:eastAsia="Times New Roman"/>
          <w:color w:val="000000"/>
          <w:sz w:val="16"/>
          <w:szCs w:val="16"/>
        </w:rPr>
        <w:t>]. In another case, heparin was found to be contaminated with </w:t>
      </w:r>
      <w:proofErr w:type="spellStart"/>
      <w:r w:rsidRPr="00D47864">
        <w:rPr>
          <w:rFonts w:eastAsia="Times New Roman"/>
          <w:color w:val="000000"/>
          <w:sz w:val="16"/>
          <w:szCs w:val="16"/>
        </w:rPr>
        <w:t>oversulphated</w:t>
      </w:r>
      <w:proofErr w:type="spellEnd"/>
      <w:r w:rsidRPr="00D47864">
        <w:rPr>
          <w:rFonts w:eastAsia="Times New Roman"/>
          <w:color w:val="000000"/>
          <w:sz w:val="16"/>
          <w:szCs w:val="16"/>
        </w:rPr>
        <w:t> chondroitin sulphate, which was thought to be responsible for the allergic or hypersensitivity-type reactions experienced by a number of patients, some of which proved fatal [</w:t>
      </w:r>
      <w:hyperlink r:id="rId15" w:anchor="b51" w:tgtFrame="_blank" w:history="1">
        <w:r w:rsidRPr="00D47864">
          <w:rPr>
            <w:rFonts w:eastAsia="Times New Roman"/>
            <w:color w:val="2F4A8B"/>
            <w:sz w:val="16"/>
            <w:szCs w:val="16"/>
          </w:rPr>
          <w:t>51</w:t>
        </w:r>
      </w:hyperlink>
      <w:r w:rsidRPr="00D47864">
        <w:rPr>
          <w:rFonts w:eastAsia="Times New Roman"/>
          <w:color w:val="000000"/>
          <w:sz w:val="16"/>
          <w:szCs w:val="16"/>
        </w:rPr>
        <w:t>]. At the time of the heparin incident, the </w:t>
      </w:r>
      <w:proofErr w:type="spellStart"/>
      <w:r w:rsidRPr="00D47864">
        <w:rPr>
          <w:rFonts w:eastAsia="Times New Roman"/>
          <w:color w:val="000000"/>
          <w:sz w:val="16"/>
          <w:szCs w:val="16"/>
        </w:rPr>
        <w:t>oversulphated</w:t>
      </w:r>
      <w:proofErr w:type="spellEnd"/>
      <w:r w:rsidRPr="00D47864">
        <w:rPr>
          <w:rFonts w:eastAsia="Times New Roman"/>
          <w:color w:val="000000"/>
          <w:sz w:val="16"/>
          <w:szCs w:val="16"/>
        </w:rPr>
        <w:t> chondroitin sulphate could not be distinguished from heparin by the standard quality-control tests used. However, the FDA has since implemented changes to the USP standards for heparin, including a new test method that is able to detect such impurities [</w:t>
      </w:r>
      <w:hyperlink r:id="rId16" w:anchor="b105" w:tgtFrame="_blank" w:history="1">
        <w:r w:rsidRPr="00D47864">
          <w:rPr>
            <w:rFonts w:eastAsia="Times New Roman"/>
            <w:color w:val="2F4A8B"/>
            <w:sz w:val="16"/>
            <w:szCs w:val="16"/>
          </w:rPr>
          <w:t>105</w:t>
        </w:r>
      </w:hyperlink>
      <w:r w:rsidRPr="00D47864">
        <w:rPr>
          <w:rFonts w:eastAsia="Times New Roman"/>
          <w:color w:val="000000"/>
          <w:sz w:val="16"/>
          <w:szCs w:val="16"/>
        </w:rPr>
        <w:t>]. </w:t>
      </w:r>
    </w:p>
    <w:p w14:paraId="794FC2EA" w14:textId="77777777" w:rsidR="003739CC" w:rsidRPr="00D47864" w:rsidRDefault="003739CC" w:rsidP="003739CC">
      <w:pPr>
        <w:shd w:val="clear" w:color="auto" w:fill="FFFFFF"/>
        <w:spacing w:after="0" w:line="240" w:lineRule="auto"/>
        <w:textAlignment w:val="baseline"/>
        <w:rPr>
          <w:rFonts w:ascii="Segoe UI" w:eastAsia="Times New Roman" w:hAnsi="Segoe UI" w:cs="Segoe UI"/>
          <w:sz w:val="18"/>
          <w:szCs w:val="18"/>
        </w:rPr>
      </w:pPr>
      <w:r w:rsidRPr="00D47864">
        <w:rPr>
          <w:rFonts w:eastAsia="Times New Roman"/>
          <w:color w:val="000000"/>
          <w:sz w:val="16"/>
          <w:szCs w:val="16"/>
        </w:rPr>
        <w:t>There are also adverse societal effects arising from the use of substandard drugs.</w:t>
      </w:r>
      <w:r w:rsidRPr="00D47864">
        <w:rPr>
          <w:rFonts w:eastAsia="Times New Roman"/>
          <w:b/>
          <w:bCs/>
          <w:color w:val="000000"/>
          <w:u w:val="single"/>
        </w:rPr>
        <w:t> The </w:t>
      </w:r>
      <w:r w:rsidRPr="00D47864">
        <w:rPr>
          <w:rFonts w:eastAsia="Times New Roman"/>
          <w:b/>
          <w:bCs/>
          <w:color w:val="000000"/>
          <w:u w:val="single"/>
          <w:shd w:val="clear" w:color="auto" w:fill="00FF00"/>
        </w:rPr>
        <w:t>inadvertent use of suboptimal doses of drugs is likely to be one of the key factors contributing to antimicrobial resistance and thereby leading to the wider spread of disease.</w:t>
      </w:r>
      <w:r w:rsidRPr="00D47864">
        <w:rPr>
          <w:rFonts w:eastAsia="Times New Roman"/>
          <w:b/>
          <w:bCs/>
          <w:color w:val="000000"/>
          <w:u w:val="single"/>
        </w:rPr>
        <w:t> This has been most widely discussed with regard to malaria [</w:t>
      </w:r>
      <w:hyperlink r:id="rId17" w:anchor="b106" w:tgtFrame="_blank" w:history="1">
        <w:r w:rsidRPr="00D47864">
          <w:rPr>
            <w:rFonts w:eastAsia="Times New Roman"/>
            <w:b/>
            <w:bCs/>
            <w:color w:val="2F4A8B"/>
          </w:rPr>
          <w:t>106</w:t>
        </w:r>
      </w:hyperlink>
      <w:r w:rsidRPr="00D47864">
        <w:rPr>
          <w:rFonts w:eastAsia="Times New Roman"/>
          <w:b/>
          <w:bCs/>
          <w:color w:val="000000"/>
          <w:u w:val="single"/>
        </w:rPr>
        <w:t>–</w:t>
      </w:r>
      <w:hyperlink r:id="rId18" w:anchor="b108" w:tgtFrame="_blank" w:history="1">
        <w:r w:rsidRPr="00D47864">
          <w:rPr>
            <w:rFonts w:eastAsia="Times New Roman"/>
            <w:b/>
            <w:bCs/>
            <w:color w:val="2F4A8B"/>
          </w:rPr>
          <w:t>108</w:t>
        </w:r>
      </w:hyperlink>
      <w:r w:rsidRPr="00D47864">
        <w:rPr>
          <w:rFonts w:eastAsia="Times New Roman"/>
          <w:b/>
          <w:bCs/>
          <w:color w:val="000000"/>
          <w:u w:val="single"/>
        </w:rPr>
        <w:t>];</w:t>
      </w:r>
      <w:r w:rsidRPr="00D47864">
        <w:rPr>
          <w:rFonts w:eastAsia="Times New Roman"/>
          <w:b/>
          <w:bCs/>
          <w:color w:val="000000"/>
          <w:u w:val="single"/>
          <w:shd w:val="clear" w:color="auto" w:fill="00FF00"/>
        </w:rPr>
        <w:t> the repeated administration of subtherapeutic doses of antimalarials will promote the selection and spread of resistant parasites</w:t>
      </w:r>
      <w:r w:rsidRPr="00D47864">
        <w:rPr>
          <w:rFonts w:eastAsia="Times New Roman"/>
          <w:color w:val="000000"/>
        </w:rPr>
        <w:t> </w:t>
      </w:r>
      <w:r w:rsidRPr="00D47864">
        <w:rPr>
          <w:rFonts w:eastAsia="Times New Roman"/>
          <w:color w:val="000000"/>
          <w:sz w:val="16"/>
          <w:szCs w:val="16"/>
        </w:rPr>
        <w:t>[</w:t>
      </w:r>
      <w:hyperlink r:id="rId19" w:anchor="b95" w:tgtFrame="_blank" w:history="1">
        <w:r w:rsidRPr="00D47864">
          <w:rPr>
            <w:rFonts w:eastAsia="Times New Roman"/>
            <w:color w:val="2F4A8B"/>
            <w:sz w:val="16"/>
            <w:szCs w:val="16"/>
          </w:rPr>
          <w:t>95</w:t>
        </w:r>
      </w:hyperlink>
      <w:r w:rsidRPr="00D47864">
        <w:rPr>
          <w:rFonts w:eastAsia="Times New Roman"/>
          <w:color w:val="000000"/>
          <w:sz w:val="16"/>
          <w:szCs w:val="16"/>
        </w:rPr>
        <w:t>,</w:t>
      </w:r>
      <w:hyperlink r:id="rId20" w:anchor="b106" w:tgtFrame="_blank" w:history="1">
        <w:r w:rsidRPr="00D47864">
          <w:rPr>
            <w:rFonts w:eastAsia="Times New Roman"/>
            <w:color w:val="2F4A8B"/>
            <w:sz w:val="16"/>
            <w:szCs w:val="16"/>
          </w:rPr>
          <w:t>106</w:t>
        </w:r>
      </w:hyperlink>
      <w:r w:rsidRPr="00D47864">
        <w:rPr>
          <w:rFonts w:eastAsia="Times New Roman"/>
          <w:color w:val="000000"/>
          <w:sz w:val="16"/>
          <w:szCs w:val="16"/>
        </w:rPr>
        <w:t>]. Indeed, artemisinin-resistant malaria has been reported in Cambodia and Thailand [</w:t>
      </w:r>
      <w:hyperlink r:id="rId21" w:anchor="b109" w:tgtFrame="_blank" w:history="1">
        <w:r w:rsidRPr="00D47864">
          <w:rPr>
            <w:rFonts w:eastAsia="Times New Roman"/>
            <w:color w:val="2F4A8B"/>
            <w:sz w:val="16"/>
            <w:szCs w:val="16"/>
          </w:rPr>
          <w:t>109</w:t>
        </w:r>
      </w:hyperlink>
      <w:r w:rsidRPr="00D47864">
        <w:rPr>
          <w:rFonts w:eastAsia="Times New Roman"/>
          <w:color w:val="000000"/>
          <w:sz w:val="16"/>
          <w:szCs w:val="16"/>
        </w:rPr>
        <w:t>,</w:t>
      </w:r>
      <w:hyperlink r:id="rId22" w:anchor="b110" w:tgtFrame="_blank" w:history="1">
        <w:r w:rsidRPr="00D47864">
          <w:rPr>
            <w:rFonts w:eastAsia="Times New Roman"/>
            <w:color w:val="2F4A8B"/>
            <w:sz w:val="16"/>
            <w:szCs w:val="16"/>
          </w:rPr>
          <w:t>110</w:t>
        </w:r>
      </w:hyperlink>
      <w:r w:rsidRPr="00D47864">
        <w:rPr>
          <w:rFonts w:eastAsia="Times New Roman"/>
          <w:color w:val="000000"/>
          <w:sz w:val="16"/>
          <w:szCs w:val="16"/>
        </w:rPr>
        <w:t>], although the extent to which this can be attributed to the use of substandard drugs is unknown. Likewise, poor-quality antibiotics may contribute to the resistance and spread of diseases such as tuberculosis [</w:t>
      </w:r>
      <w:hyperlink r:id="rId23" w:anchor="b23" w:tgtFrame="_blank" w:history="1">
        <w:r w:rsidRPr="00D47864">
          <w:rPr>
            <w:rFonts w:eastAsia="Times New Roman"/>
            <w:color w:val="2F4A8B"/>
            <w:sz w:val="16"/>
            <w:szCs w:val="16"/>
          </w:rPr>
          <w:t>23</w:t>
        </w:r>
      </w:hyperlink>
      <w:r w:rsidRPr="00D47864">
        <w:rPr>
          <w:rFonts w:eastAsia="Times New Roman"/>
          <w:color w:val="000000"/>
          <w:sz w:val="16"/>
          <w:szCs w:val="16"/>
        </w:rPr>
        <w:t>,</w:t>
      </w:r>
      <w:hyperlink r:id="rId24" w:anchor="b111" w:tgtFrame="_blank" w:history="1">
        <w:r w:rsidRPr="00D47864">
          <w:rPr>
            <w:rFonts w:eastAsia="Times New Roman"/>
            <w:color w:val="2F4A8B"/>
            <w:sz w:val="16"/>
            <w:szCs w:val="16"/>
          </w:rPr>
          <w:t>111</w:t>
        </w:r>
      </w:hyperlink>
      <w:r w:rsidRPr="00D47864">
        <w:rPr>
          <w:rFonts w:eastAsia="Times New Roman"/>
          <w:color w:val="000000"/>
          <w:sz w:val="16"/>
          <w:szCs w:val="16"/>
        </w:rPr>
        <w:t>,</w:t>
      </w:r>
      <w:hyperlink r:id="rId25" w:anchor="b112" w:tgtFrame="_blank" w:history="1">
        <w:r w:rsidRPr="00D47864">
          <w:rPr>
            <w:rFonts w:eastAsia="Times New Roman"/>
            <w:color w:val="2F4A8B"/>
            <w:sz w:val="16"/>
            <w:szCs w:val="16"/>
          </w:rPr>
          <w:t>112</w:t>
        </w:r>
      </w:hyperlink>
      <w:r w:rsidRPr="00D47864">
        <w:rPr>
          <w:rFonts w:eastAsia="Times New Roman"/>
          <w:color w:val="000000"/>
          <w:sz w:val="16"/>
          <w:szCs w:val="16"/>
        </w:rPr>
        <w:t>]. The use and subsequent failure of substandard narrow-spectrum antibiotics may lead to the unnecessary administration of broad-spectrum antibiotics, thus potentially creating further resistance [</w:t>
      </w:r>
      <w:hyperlink r:id="rId26" w:anchor="b113" w:tgtFrame="_blank" w:history="1">
        <w:r w:rsidRPr="00D47864">
          <w:rPr>
            <w:rFonts w:eastAsia="Times New Roman"/>
            <w:color w:val="2F4A8B"/>
            <w:sz w:val="16"/>
            <w:szCs w:val="16"/>
          </w:rPr>
          <w:t>113</w:t>
        </w:r>
      </w:hyperlink>
      <w:r w:rsidRPr="00D47864">
        <w:rPr>
          <w:rFonts w:eastAsia="Times New Roman"/>
          <w:color w:val="000000"/>
          <w:sz w:val="16"/>
          <w:szCs w:val="16"/>
        </w:rPr>
        <w:t>]. </w:t>
      </w:r>
      <w:r w:rsidRPr="00D47864">
        <w:rPr>
          <w:rFonts w:eastAsia="Times New Roman"/>
          <w:b/>
          <w:bCs/>
          <w:color w:val="000000"/>
          <w:u w:val="single"/>
          <w:shd w:val="clear" w:color="auto" w:fill="00FF00"/>
        </w:rPr>
        <w:t>Substandard </w:t>
      </w:r>
      <w:proofErr w:type="spellStart"/>
      <w:r w:rsidRPr="00D47864">
        <w:rPr>
          <w:rFonts w:eastAsia="Times New Roman"/>
          <w:b/>
          <w:bCs/>
          <w:color w:val="000000"/>
          <w:u w:val="single"/>
          <w:shd w:val="clear" w:color="auto" w:fill="00FF00"/>
        </w:rPr>
        <w:t>antihelminthics</w:t>
      </w:r>
      <w:proofErr w:type="spellEnd"/>
      <w:r w:rsidRPr="00D47864">
        <w:rPr>
          <w:rFonts w:eastAsia="Times New Roman"/>
          <w:b/>
          <w:bCs/>
          <w:color w:val="000000"/>
          <w:u w:val="single"/>
          <w:shd w:val="clear" w:color="auto" w:fill="00FF00"/>
        </w:rPr>
        <w:t> have been implicated in the development of drug-resistant human helminths</w:t>
      </w:r>
      <w:r w:rsidRPr="00D47864">
        <w:rPr>
          <w:rFonts w:eastAsia="Times New Roman"/>
          <w:color w:val="000000"/>
          <w:sz w:val="16"/>
          <w:szCs w:val="16"/>
        </w:rPr>
        <w:t> [</w:t>
      </w:r>
      <w:hyperlink r:id="rId27" w:anchor="b114" w:tgtFrame="_blank" w:history="1">
        <w:r w:rsidRPr="00D47864">
          <w:rPr>
            <w:rFonts w:eastAsia="Times New Roman"/>
            <w:color w:val="2F4A8B"/>
            <w:sz w:val="16"/>
            <w:szCs w:val="16"/>
          </w:rPr>
          <w:t>114</w:t>
        </w:r>
      </w:hyperlink>
      <w:r w:rsidRPr="00D47864">
        <w:rPr>
          <w:rFonts w:eastAsia="Times New Roman"/>
          <w:color w:val="000000"/>
          <w:sz w:val="16"/>
          <w:szCs w:val="16"/>
        </w:rPr>
        <w:t>], </w:t>
      </w:r>
      <w:r w:rsidRPr="00D47864">
        <w:rPr>
          <w:rFonts w:eastAsia="Times New Roman"/>
          <w:b/>
          <w:bCs/>
          <w:color w:val="000000"/>
          <w:u w:val="single"/>
          <w:shd w:val="clear" w:color="auto" w:fill="00FF00"/>
        </w:rPr>
        <w:t xml:space="preserve">and substandard </w:t>
      </w:r>
      <w:r w:rsidRPr="00D47864">
        <w:rPr>
          <w:rFonts w:eastAsia="Times New Roman"/>
          <w:b/>
          <w:bCs/>
          <w:color w:val="000000"/>
          <w:u w:val="single"/>
          <w:shd w:val="clear" w:color="auto" w:fill="00FF00"/>
        </w:rPr>
        <w:lastRenderedPageBreak/>
        <w:t>antiviral drugs are likely to contribute to the evolution of drug-resistant viruses, including human immunodeficiency virus (HIV)</w:t>
      </w:r>
      <w:r w:rsidRPr="00D47864">
        <w:rPr>
          <w:rFonts w:eastAsia="Times New Roman"/>
          <w:color w:val="000000"/>
          <w:sz w:val="16"/>
          <w:szCs w:val="16"/>
        </w:rPr>
        <w:t> [</w:t>
      </w:r>
      <w:hyperlink r:id="rId28" w:anchor="b115" w:tgtFrame="_blank" w:history="1">
        <w:r w:rsidRPr="00D47864">
          <w:rPr>
            <w:rFonts w:eastAsia="Times New Roman"/>
            <w:color w:val="2F4A8B"/>
            <w:sz w:val="16"/>
            <w:szCs w:val="16"/>
          </w:rPr>
          <w:t>115</w:t>
        </w:r>
      </w:hyperlink>
      <w:r w:rsidRPr="00D47864">
        <w:rPr>
          <w:rFonts w:eastAsia="Times New Roman"/>
          <w:color w:val="000000"/>
          <w:sz w:val="16"/>
          <w:szCs w:val="16"/>
        </w:rPr>
        <w:t>]. </w:t>
      </w:r>
    </w:p>
    <w:p w14:paraId="03F59601" w14:textId="77777777" w:rsidR="003739CC" w:rsidRDefault="003739CC" w:rsidP="003739CC">
      <w:pPr>
        <w:pStyle w:val="Heading4"/>
        <w:rPr>
          <w:rFonts w:eastAsia="Times New Roman"/>
        </w:rPr>
      </w:pPr>
    </w:p>
    <w:p w14:paraId="7F8855BD" w14:textId="77777777" w:rsidR="003739CC" w:rsidRPr="00D47864" w:rsidRDefault="003739CC" w:rsidP="003739CC">
      <w:pPr>
        <w:pStyle w:val="Heading4"/>
        <w:rPr>
          <w:rFonts w:ascii="Segoe UI" w:eastAsia="Times New Roman" w:hAnsi="Segoe UI" w:cs="Segoe UI"/>
          <w:sz w:val="18"/>
          <w:szCs w:val="18"/>
        </w:rPr>
      </w:pPr>
      <w:r w:rsidRPr="00D47864">
        <w:rPr>
          <w:rFonts w:eastAsia="Times New Roman"/>
        </w:rPr>
        <w:t>If not treated, AMR could cause massive repercussions—twice that of covid per year. </w:t>
      </w:r>
    </w:p>
    <w:p w14:paraId="2C4E2866" w14:textId="77777777" w:rsidR="003739CC" w:rsidRPr="00D47864" w:rsidRDefault="003739CC" w:rsidP="003739CC">
      <w:pPr>
        <w:spacing w:after="0" w:line="240" w:lineRule="auto"/>
        <w:textAlignment w:val="baseline"/>
        <w:rPr>
          <w:rFonts w:ascii="Segoe UI" w:eastAsia="Times New Roman" w:hAnsi="Segoe UI" w:cs="Segoe UI"/>
          <w:sz w:val="18"/>
          <w:szCs w:val="18"/>
        </w:rPr>
      </w:pPr>
      <w:r w:rsidRPr="00D47864">
        <w:rPr>
          <w:rFonts w:eastAsia="Times New Roman"/>
          <w:b/>
          <w:bCs/>
          <w:color w:val="000000"/>
          <w:sz w:val="28"/>
          <w:szCs w:val="28"/>
        </w:rPr>
        <w:t>Friedman 20</w:t>
      </w:r>
      <w:r w:rsidRPr="00D47864">
        <w:rPr>
          <w:rFonts w:eastAsia="Times New Roman"/>
          <w:color w:val="000000"/>
          <w:sz w:val="28"/>
          <w:szCs w:val="28"/>
        </w:rPr>
        <w:t> </w:t>
      </w:r>
      <w:r w:rsidRPr="00D47864">
        <w:rPr>
          <w:rFonts w:eastAsia="Times New Roman"/>
          <w:color w:val="000000"/>
          <w:sz w:val="20"/>
          <w:szCs w:val="20"/>
        </w:rPr>
        <w:t>Friedman, Eric. A. Eric A. Friedman is the O’Neill Institute’s global health justice scholar. He works on global health and human rights projects and scholarship, with a focus on equity, empowerment, and accountability. He is also a member of the Executive Committee of the Framework Convention on Global Health Alliance, which advocates for a treaty to improve accountability to the right to health and is aimed at national and global health equity. He also serves on the Steering Committee of the Sustainable Health Equity Movement. Before joining the O’Neill Institute in 2010, Friedman was a senior global health policy advisor at Physicians for Human Rights, where he focused on health systems, the global shortage of health workers, and HIV/AIDS, and sought to increase the extent to which U.S. global health policy, and health workforce and systems policies globally, incorporated the right to health. He also served on the board of the Global Health Workforce Alliance, an international partnership hosted by the World Health Organization, and chaired the Health Workforce Advocacy Initiative. Friedman holds a law degree from Yale Law School and a B.A. from Yale College. “Behind the Headlines: 10 </w:t>
      </w:r>
      <w:proofErr w:type="gramStart"/>
      <w:r w:rsidRPr="00D47864">
        <w:rPr>
          <w:rFonts w:eastAsia="Times New Roman"/>
          <w:color w:val="000000"/>
          <w:sz w:val="20"/>
          <w:szCs w:val="20"/>
        </w:rPr>
        <w:t>Million</w:t>
      </w:r>
      <w:proofErr w:type="gramEnd"/>
      <w:r w:rsidRPr="00D47864">
        <w:rPr>
          <w:rFonts w:eastAsia="Times New Roman"/>
          <w:color w:val="000000"/>
          <w:sz w:val="20"/>
          <w:szCs w:val="20"/>
        </w:rPr>
        <w:t> Deaths From Antimicrobial Resistance by 2050 (or Not?).” O’Neill Institute for National and Global Health Law or Georgetown University. 12 February 2020. https://oneill.law.georgetown.edu/behind-the-headlines-10-million-antimicrobial-deaths-by-2050-or-not/ </w:t>
      </w:r>
    </w:p>
    <w:p w14:paraId="4D70AAE5" w14:textId="77777777" w:rsidR="003739CC" w:rsidRPr="00D47864" w:rsidRDefault="003739CC" w:rsidP="003739CC">
      <w:pPr>
        <w:spacing w:after="0" w:line="240" w:lineRule="auto"/>
        <w:textAlignment w:val="baseline"/>
        <w:rPr>
          <w:rFonts w:ascii="Segoe UI" w:eastAsia="Times New Roman" w:hAnsi="Segoe UI" w:cs="Segoe UI"/>
          <w:sz w:val="18"/>
          <w:szCs w:val="18"/>
        </w:rPr>
      </w:pPr>
      <w:r w:rsidRPr="00D47864">
        <w:rPr>
          <w:rFonts w:eastAsia="Times New Roman"/>
          <w:b/>
          <w:bCs/>
          <w:color w:val="000000"/>
          <w:u w:val="single"/>
        </w:rPr>
        <w:t>One of </w:t>
      </w:r>
      <w:r w:rsidRPr="00D47864">
        <w:rPr>
          <w:rFonts w:eastAsia="Times New Roman"/>
          <w:b/>
          <w:bCs/>
          <w:color w:val="000000"/>
          <w:u w:val="single"/>
          <w:shd w:val="clear" w:color="auto" w:fill="00FF00"/>
        </w:rPr>
        <w:t>the greatest health threa</w:t>
      </w:r>
      <w:r w:rsidRPr="00D47864">
        <w:rPr>
          <w:rFonts w:eastAsia="Times New Roman"/>
          <w:b/>
          <w:bCs/>
          <w:color w:val="000000"/>
          <w:u w:val="single"/>
        </w:rPr>
        <w:t>ts of our time, </w:t>
      </w:r>
      <w:r w:rsidRPr="00D47864">
        <w:rPr>
          <w:rFonts w:eastAsia="Times New Roman"/>
          <w:b/>
          <w:bCs/>
          <w:color w:val="000000"/>
          <w:u w:val="single"/>
          <w:shd w:val="clear" w:color="auto" w:fill="00FF00"/>
        </w:rPr>
        <w:t>one that grows by the year, is antimicrobial resistance.</w:t>
      </w:r>
      <w:r w:rsidRPr="00D47864">
        <w:rPr>
          <w:rFonts w:eastAsia="Times New Roman"/>
          <w:color w:val="000000"/>
        </w:rPr>
        <w:t> </w:t>
      </w:r>
      <w:r w:rsidRPr="00D47864">
        <w:rPr>
          <w:rFonts w:eastAsia="Times New Roman"/>
          <w:b/>
          <w:bCs/>
          <w:color w:val="000000"/>
          <w:u w:val="single"/>
          <w:shd w:val="clear" w:color="auto" w:fill="00FF00"/>
        </w:rPr>
        <w:t>Bacteria and other microbes develop mutations that protect them against antibiotic</w:t>
      </w:r>
      <w:r w:rsidRPr="00D47864">
        <w:rPr>
          <w:rFonts w:eastAsia="Times New Roman"/>
          <w:b/>
          <w:bCs/>
          <w:color w:val="000000"/>
          <w:u w:val="single"/>
        </w:rPr>
        <w:t>s and other antimicrobial drugs, meaning that </w:t>
      </w:r>
      <w:r w:rsidRPr="00D47864">
        <w:rPr>
          <w:rFonts w:eastAsia="Times New Roman"/>
          <w:b/>
          <w:bCs/>
          <w:color w:val="000000"/>
          <w:u w:val="single"/>
          <w:shd w:val="clear" w:color="auto" w:fill="00FF00"/>
        </w:rPr>
        <w:t>infections</w:t>
      </w:r>
      <w:r w:rsidRPr="00D47864">
        <w:rPr>
          <w:rFonts w:eastAsia="Times New Roman"/>
          <w:b/>
          <w:bCs/>
          <w:color w:val="000000"/>
          <w:u w:val="single"/>
        </w:rPr>
        <w:t>, including deadly ones, that we can now treat </w:t>
      </w:r>
      <w:r w:rsidRPr="00D47864">
        <w:rPr>
          <w:rFonts w:eastAsia="Times New Roman"/>
          <w:b/>
          <w:bCs/>
          <w:color w:val="000000"/>
          <w:u w:val="single"/>
          <w:shd w:val="clear" w:color="auto" w:fill="00FF00"/>
        </w:rPr>
        <w:t>will become more difficult</w:t>
      </w:r>
      <w:r w:rsidRPr="00D47864">
        <w:rPr>
          <w:rFonts w:eastAsia="Times New Roman"/>
          <w:b/>
          <w:bCs/>
          <w:color w:val="000000"/>
          <w:u w:val="single"/>
        </w:rPr>
        <w:t> — even possible — </w:t>
      </w:r>
      <w:r w:rsidRPr="00D47864">
        <w:rPr>
          <w:rFonts w:eastAsia="Times New Roman"/>
          <w:b/>
          <w:bCs/>
          <w:color w:val="000000"/>
          <w:u w:val="single"/>
          <w:shd w:val="clear" w:color="auto" w:fill="00FF00"/>
        </w:rPr>
        <w:t>to treat. The </w:t>
      </w:r>
      <w:hyperlink r:id="rId29" w:tgtFrame="_blank" w:history="1">
        <w:r w:rsidRPr="00D47864">
          <w:rPr>
            <w:rFonts w:eastAsia="Times New Roman"/>
            <w:shd w:val="clear" w:color="auto" w:fill="00FF00"/>
          </w:rPr>
          <w:t>700,000 or more deaths</w:t>
        </w:r>
      </w:hyperlink>
      <w:r w:rsidRPr="00D47864">
        <w:rPr>
          <w:rFonts w:eastAsia="Times New Roman"/>
          <w:b/>
          <w:bCs/>
          <w:color w:val="000000"/>
          <w:u w:val="single"/>
          <w:shd w:val="clear" w:color="auto" w:fill="00FF00"/>
        </w:rPr>
        <w:t> that antimicrobial resistance </w:t>
      </w:r>
      <w:r w:rsidRPr="00D47864">
        <w:rPr>
          <w:rFonts w:eastAsia="Times New Roman"/>
          <w:b/>
          <w:bCs/>
          <w:color w:val="000000"/>
          <w:u w:val="single"/>
        </w:rPr>
        <w:t>now </w:t>
      </w:r>
      <w:r w:rsidRPr="00D47864">
        <w:rPr>
          <w:rFonts w:eastAsia="Times New Roman"/>
          <w:b/>
          <w:bCs/>
          <w:color w:val="000000"/>
          <w:u w:val="single"/>
          <w:shd w:val="clear" w:color="auto" w:fill="00FF00"/>
        </w:rPr>
        <w:t>causes every year could grow to 10 million by 2050.</w:t>
      </w:r>
      <w:r w:rsidRPr="00D47864">
        <w:rPr>
          <w:rFonts w:eastAsia="Times New Roman"/>
          <w:color w:val="000000"/>
        </w:rPr>
        <w:t> </w:t>
      </w:r>
      <w:r w:rsidRPr="00D47864">
        <w:rPr>
          <w:rFonts w:eastAsia="Times New Roman"/>
          <w:color w:val="000000"/>
          <w:sz w:val="16"/>
          <w:szCs w:val="16"/>
        </w:rPr>
        <w:t>It could cause 10 million deaths per year by 2050. But just how likely is this? Read an article or book discussing antimicrobial resistance, and you would think that without more action to combat resistance (such as by developing new antibiotics and other antimicrobials) and slow its spread (such as through more prudent use of existing antibiotics), we are on track to that </w:t>
      </w:r>
      <w:hyperlink r:id="rId30" w:tgtFrame="_blank" w:history="1">
        <w:r w:rsidRPr="00D47864">
          <w:rPr>
            <w:rFonts w:eastAsia="Times New Roman"/>
            <w:sz w:val="16"/>
            <w:szCs w:val="16"/>
          </w:rPr>
          <w:t>truly frightening future</w:t>
        </w:r>
      </w:hyperlink>
      <w:r w:rsidRPr="00D47864">
        <w:rPr>
          <w:rFonts w:eastAsia="Times New Roman"/>
          <w:color w:val="000000"/>
          <w:sz w:val="16"/>
          <w:szCs w:val="16"/>
        </w:rPr>
        <w:t>. It would be a future where more people die of antimicrobial resistance than cancer, and today’s routine surgeries become dangerous – even too dangerous to undertake – because of the risk of deadly infections. </w:t>
      </w:r>
      <w:r w:rsidRPr="00D47864">
        <w:rPr>
          <w:rFonts w:eastAsia="Times New Roman"/>
          <w:color w:val="000000"/>
          <w:u w:val="single"/>
        </w:rPr>
        <w:t>Bill Bryson’s general excellent book </w:t>
      </w:r>
      <w:hyperlink r:id="rId31" w:tgtFrame="_blank" w:history="1">
        <w:r w:rsidRPr="00D47864">
          <w:rPr>
            <w:rFonts w:eastAsia="Times New Roman"/>
            <w:i/>
            <w:iCs/>
          </w:rPr>
          <w:t>The Body: A Guide for Occupants</w:t>
        </w:r>
      </w:hyperlink>
      <w:r w:rsidRPr="00D47864">
        <w:rPr>
          <w:rFonts w:eastAsia="Times New Roman"/>
          <w:color w:val="000000"/>
          <w:u w:val="single"/>
        </w:rPr>
        <w:t> (2019) puts it this way: “At the current rate of spread, antimicrobial resistance is forecast to lead to ten million preventable deaths a year” (p. 46). Bill Bryson cites a </w:t>
      </w:r>
      <w:hyperlink r:id="rId32" w:tgtFrame="_blank" w:history="1">
        <w:r w:rsidRPr="00D47864">
          <w:rPr>
            <w:rFonts w:eastAsia="Times New Roman"/>
          </w:rPr>
          <w:t>BBC Radio science program</w:t>
        </w:r>
      </w:hyperlink>
      <w:r w:rsidRPr="00D47864">
        <w:rPr>
          <w:rFonts w:eastAsia="Times New Roman"/>
          <w:color w:val="000000"/>
          <w:u w:val="single"/>
        </w:rPr>
        <w:t>,</w:t>
      </w:r>
      <w:r w:rsidRPr="00D47864">
        <w:rPr>
          <w:rFonts w:eastAsia="Times New Roman"/>
          <w:color w:val="000000"/>
        </w:rPr>
        <w:t> whose host says that </w:t>
      </w:r>
      <w:r w:rsidRPr="00D47864">
        <w:rPr>
          <w:rFonts w:eastAsia="Times New Roman"/>
          <w:color w:val="000000"/>
          <w:u w:val="single"/>
        </w:rPr>
        <w:t>“the O’Neill report [to which we will return] suggests that [deaths from antibiotic resistance] will rise to 10 million people per year by 2050.”</w:t>
      </w:r>
      <w:r w:rsidRPr="00D47864">
        <w:rPr>
          <w:rFonts w:eastAsia="Times New Roman"/>
          <w:color w:val="000000"/>
        </w:rPr>
        <w:t> </w:t>
      </w:r>
      <w:r w:rsidRPr="00D47864">
        <w:rPr>
          <w:rFonts w:eastAsia="Times New Roman"/>
          <w:color w:val="000000"/>
          <w:sz w:val="16"/>
          <w:szCs w:val="16"/>
        </w:rPr>
        <w:t>And he cites </w:t>
      </w:r>
      <w:hyperlink r:id="rId33" w:tgtFrame="_blank" w:history="1">
        <w:r w:rsidRPr="00D47864">
          <w:rPr>
            <w:rFonts w:eastAsia="Times New Roman"/>
            <w:sz w:val="16"/>
            <w:szCs w:val="16"/>
          </w:rPr>
          <w:t>an article from Chemistry World</w:t>
        </w:r>
      </w:hyperlink>
      <w:r w:rsidRPr="00D47864">
        <w:rPr>
          <w:rFonts w:eastAsia="Times New Roman"/>
          <w:color w:val="000000"/>
          <w:sz w:val="16"/>
          <w:szCs w:val="16"/>
        </w:rPr>
        <w:t>, a news website </w:t>
      </w:r>
      <w:r w:rsidRPr="00D47864">
        <w:rPr>
          <w:rFonts w:eastAsia="Times New Roman"/>
          <w:color w:val="000000"/>
          <w:u w:val="single"/>
        </w:rPr>
        <w:t>developed by the United Kingdom’s Royal Society of Chemistry, which reports: “Already, drug-resistant bacterial infections kill 700,000 people every year…and authoritative sources suggest that this figure may rise to 10 million by 2050.”</w:t>
      </w:r>
      <w:r w:rsidRPr="00D47864">
        <w:rPr>
          <w:rFonts w:eastAsia="Times New Roman"/>
          <w:color w:val="000000"/>
        </w:rPr>
        <w:t> Authoritative indeed. </w:t>
      </w:r>
      <w:r w:rsidRPr="00D47864">
        <w:rPr>
          <w:rFonts w:eastAsia="Times New Roman"/>
          <w:color w:val="000000"/>
          <w:u w:val="single"/>
        </w:rPr>
        <w:t>A </w:t>
      </w:r>
      <w:hyperlink r:id="rId34" w:tgtFrame="_blank" w:history="1">
        <w:r w:rsidRPr="00D47864">
          <w:rPr>
            <w:rFonts w:eastAsia="Times New Roman"/>
            <w:i/>
            <w:iCs/>
          </w:rPr>
          <w:t>New York Times</w:t>
        </w:r>
        <w:r w:rsidRPr="00D47864">
          <w:rPr>
            <w:rFonts w:eastAsia="Times New Roman"/>
          </w:rPr>
          <w:t> article</w:t>
        </w:r>
      </w:hyperlink>
      <w:r w:rsidRPr="00D47864">
        <w:rPr>
          <w:rFonts w:eastAsia="Times New Roman"/>
          <w:color w:val="000000"/>
          <w:u w:val="single"/>
        </w:rPr>
        <w:t> in December 2019 that warned of bankruptcies of antibiotic start-ups, threatening an already inadequate pipeline of new antibiotics, s</w:t>
      </w:r>
      <w:r w:rsidRPr="0072573C">
        <w:rPr>
          <w:rFonts w:eastAsia="Times New Roman"/>
          <w:color w:val="000000"/>
          <w:u w:val="single"/>
        </w:rPr>
        <w:t xml:space="preserve"> </w:t>
      </w:r>
      <w:proofErr w:type="spellStart"/>
      <w:r w:rsidRPr="00D47864">
        <w:rPr>
          <w:rFonts w:eastAsia="Times New Roman"/>
          <w:color w:val="000000"/>
          <w:u w:val="single"/>
        </w:rPr>
        <w:t>tates</w:t>
      </w:r>
      <w:proofErr w:type="spellEnd"/>
      <w:r w:rsidRPr="00D47864">
        <w:rPr>
          <w:rFonts w:eastAsia="Times New Roman"/>
          <w:color w:val="000000"/>
          <w:u w:val="single"/>
        </w:rPr>
        <w:t>, </w:t>
      </w:r>
      <w:r w:rsidRPr="0072573C">
        <w:rPr>
          <w:rFonts w:eastAsia="Times New Roman"/>
          <w:color w:val="000000"/>
          <w:u w:val="single"/>
        </w:rPr>
        <w:t xml:space="preserve">“Without new therapies, the United Nations says the global death toll could soar to 10 million by 2050.” </w:t>
      </w:r>
      <w:r w:rsidRPr="00D47864">
        <w:rPr>
          <w:rFonts w:eastAsia="Times New Roman"/>
          <w:color w:val="000000"/>
          <w:sz w:val="16"/>
          <w:szCs w:val="16"/>
        </w:rPr>
        <w:t>And indeed, the United Nations said just that – though with emphasis on the word “could.” An April 2019 </w:t>
      </w:r>
      <w:hyperlink r:id="rId35" w:tgtFrame="_blank" w:history="1">
        <w:r w:rsidRPr="00D47864">
          <w:rPr>
            <w:rFonts w:eastAsia="Times New Roman"/>
            <w:sz w:val="16"/>
            <w:szCs w:val="16"/>
          </w:rPr>
          <w:t>report from a UN interagency group </w:t>
        </w:r>
      </w:hyperlink>
      <w:r w:rsidRPr="00D47864">
        <w:rPr>
          <w:rFonts w:eastAsia="Times New Roman"/>
          <w:color w:val="000000"/>
          <w:sz w:val="16"/>
          <w:szCs w:val="16"/>
        </w:rPr>
        <w:t>stated: </w:t>
      </w:r>
      <w:r w:rsidRPr="00D47864">
        <w:rPr>
          <w:rFonts w:eastAsia="Times New Roman"/>
          <w:color w:val="000000"/>
        </w:rPr>
        <w:t>“</w:t>
      </w:r>
      <w:r w:rsidRPr="00D47864">
        <w:rPr>
          <w:rFonts w:eastAsia="Times New Roman"/>
          <w:b/>
          <w:bCs/>
          <w:color w:val="000000"/>
          <w:u w:val="single"/>
        </w:rPr>
        <w:t>Drug-resistant diseases already cause at least 700,000 deaths globally a year</w:t>
      </w:r>
      <w:r w:rsidRPr="00D47864">
        <w:rPr>
          <w:rFonts w:eastAsia="Times New Roman"/>
          <w:color w:val="000000"/>
        </w:rPr>
        <w:t>, </w:t>
      </w:r>
      <w:r w:rsidRPr="00D47864">
        <w:rPr>
          <w:rFonts w:eastAsia="Times New Roman"/>
          <w:color w:val="000000"/>
          <w:sz w:val="16"/>
          <w:szCs w:val="16"/>
        </w:rPr>
        <w:t>including 230,000 deaths from multidrug-resistant tuberculosis, a figure that could increase to 10 million deaths globally per year by 2050 under the most alarming scenario if no action is taken” (p. 1). We will return to that key last phase of the UN statement about the most alarming scenario. I could continue along these lines. Enter “10 million deaths antimicrobial resistance” into an Internet search engine, and you will find a plethora of examples like the news articles and programs cited above. The origin of </w:t>
      </w:r>
      <w:proofErr w:type="gramStart"/>
      <w:r w:rsidRPr="00D47864">
        <w:rPr>
          <w:rFonts w:eastAsia="Times New Roman"/>
          <w:color w:val="000000"/>
          <w:sz w:val="16"/>
          <w:szCs w:val="16"/>
        </w:rPr>
        <w:t>this 10 million figure</w:t>
      </w:r>
      <w:proofErr w:type="gramEnd"/>
      <w:r w:rsidRPr="00D47864">
        <w:rPr>
          <w:rFonts w:eastAsia="Times New Roman"/>
          <w:color w:val="000000"/>
          <w:sz w:val="16"/>
          <w:szCs w:val="16"/>
        </w:rPr>
        <w:t> – what we’re on track to reach “at the current rate of spread”, what “will” happen, what “may” or “could” happen – is a 2014 report by panel, the Review on Antimicrobial Resistance (AMR Review), that then-UK Prime Minister David Cameron had established earlier that year, chaired by Jim O’Neill. And it certainly gives that impression. A figure taking up an entire page (p. 5) of its </w:t>
      </w:r>
      <w:hyperlink r:id="rId36" w:tgtFrame="_blank" w:history="1">
        <w:r w:rsidRPr="00D47864">
          <w:rPr>
            <w:rFonts w:eastAsia="Times New Roman"/>
            <w:sz w:val="16"/>
            <w:szCs w:val="16"/>
          </w:rPr>
          <w:t>December 2014 report</w:t>
        </w:r>
      </w:hyperlink>
      <w:r w:rsidRPr="00D47864">
        <w:rPr>
          <w:rFonts w:eastAsia="Times New Roman"/>
          <w:color w:val="000000"/>
          <w:sz w:val="16"/>
          <w:szCs w:val="16"/>
        </w:rPr>
        <w:t xml:space="preserve"> (several more reports would follow) is labeled “Deaths attributable to AMR every year compared to other major causes of death,” with AMR in 2050 and its 10 million figure highlighted. And the report states, “Initial research, looking only at part of the impact of AMR, shows that a continued rise in </w:t>
      </w:r>
      <w:r w:rsidRPr="00D47864">
        <w:rPr>
          <w:rFonts w:eastAsia="Times New Roman"/>
          <w:color w:val="000000"/>
          <w:sz w:val="16"/>
          <w:szCs w:val="16"/>
        </w:rPr>
        <w:lastRenderedPageBreak/>
        <w:t>resistance by 2050 would lead to 10 million people dying every year” (p. 6). Without looking more carefully, the way this figure has been reported in the press seems more or less accurate with respect to how the AMR Review characterizes its findings. But keep reading, and the picture quickly becomes quite murky. The 10 million figure is drawn from two studies, which of which created possibly but hypothetical scenarios of what could happen in 2050. </w:t>
      </w:r>
      <w:hyperlink r:id="rId37" w:tgtFrame="_blank" w:history="1">
        <w:r w:rsidRPr="00D47864">
          <w:rPr>
            <w:rFonts w:eastAsia="Times New Roman"/>
            <w:sz w:val="16"/>
            <w:szCs w:val="16"/>
          </w:rPr>
          <w:t>One study</w:t>
        </w:r>
      </w:hyperlink>
      <w:r w:rsidRPr="00D47864">
        <w:rPr>
          <w:rFonts w:eastAsia="Times New Roman"/>
          <w:color w:val="000000"/>
          <w:sz w:val="16"/>
          <w:szCs w:val="16"/>
        </w:rPr>
        <w:t>, by the RAND Corporation, looked to three major infectious diseases and three bacteria where resistance is already a concern – AIDS, tuberculosis, and malaria, and </w:t>
      </w:r>
      <w:r w:rsidRPr="00D47864">
        <w:rPr>
          <w:rFonts w:eastAsia="Times New Roman"/>
          <w:i/>
          <w:iCs/>
          <w:color w:val="000000"/>
          <w:sz w:val="16"/>
          <w:szCs w:val="16"/>
        </w:rPr>
        <w:t>Escherichia coli</w:t>
      </w:r>
      <w:r w:rsidRPr="00D47864">
        <w:rPr>
          <w:rFonts w:eastAsia="Times New Roman"/>
          <w:color w:val="000000"/>
          <w:sz w:val="16"/>
          <w:szCs w:val="16"/>
        </w:rPr>
        <w:t> (</w:t>
      </w:r>
      <w:r w:rsidRPr="00D47864">
        <w:rPr>
          <w:rFonts w:eastAsia="Times New Roman"/>
          <w:i/>
          <w:iCs/>
          <w:color w:val="000000"/>
          <w:sz w:val="16"/>
          <w:szCs w:val="16"/>
        </w:rPr>
        <w:t>E. coli</w:t>
      </w:r>
      <w:r w:rsidRPr="00D47864">
        <w:rPr>
          <w:rFonts w:eastAsia="Times New Roman"/>
          <w:color w:val="000000"/>
          <w:sz w:val="16"/>
          <w:szCs w:val="16"/>
        </w:rPr>
        <w:t>), </w:t>
      </w:r>
      <w:r w:rsidRPr="00D47864">
        <w:rPr>
          <w:rFonts w:eastAsia="Times New Roman"/>
          <w:i/>
          <w:iCs/>
          <w:color w:val="000000"/>
          <w:sz w:val="16"/>
          <w:szCs w:val="16"/>
        </w:rPr>
        <w:t>Klebsiella pneumoniae</w:t>
      </w:r>
      <w:r w:rsidRPr="00D47864">
        <w:rPr>
          <w:rFonts w:eastAsia="Times New Roman"/>
          <w:color w:val="000000"/>
          <w:sz w:val="16"/>
          <w:szCs w:val="16"/>
        </w:rPr>
        <w:t> (</w:t>
      </w:r>
      <w:r w:rsidRPr="00D47864">
        <w:rPr>
          <w:rFonts w:eastAsia="Times New Roman"/>
          <w:i/>
          <w:iCs/>
          <w:color w:val="000000"/>
          <w:sz w:val="16"/>
          <w:szCs w:val="16"/>
        </w:rPr>
        <w:t>K. pneumoniae</w:t>
      </w:r>
      <w:r w:rsidRPr="00D47864">
        <w:rPr>
          <w:rFonts w:eastAsia="Times New Roman"/>
          <w:color w:val="000000"/>
          <w:sz w:val="16"/>
          <w:szCs w:val="16"/>
        </w:rPr>
        <w:t>), and </w:t>
      </w:r>
      <w:r w:rsidRPr="00D47864">
        <w:rPr>
          <w:rFonts w:eastAsia="Times New Roman"/>
          <w:i/>
          <w:iCs/>
          <w:color w:val="000000"/>
          <w:sz w:val="16"/>
          <w:szCs w:val="16"/>
        </w:rPr>
        <w:t>Staphylococcus aureus</w:t>
      </w:r>
      <w:r w:rsidRPr="00D47864">
        <w:rPr>
          <w:rFonts w:eastAsia="Times New Roman"/>
          <w:color w:val="000000"/>
          <w:sz w:val="16"/>
          <w:szCs w:val="16"/>
        </w:rPr>
        <w:t> (</w:t>
      </w:r>
      <w:r w:rsidRPr="00D47864">
        <w:rPr>
          <w:rFonts w:eastAsia="Times New Roman"/>
          <w:i/>
          <w:iCs/>
          <w:color w:val="000000"/>
          <w:sz w:val="16"/>
          <w:szCs w:val="16"/>
        </w:rPr>
        <w:t>S. aureus</w:t>
      </w:r>
      <w:r w:rsidRPr="00D47864">
        <w:rPr>
          <w:rFonts w:eastAsia="Times New Roman"/>
          <w:color w:val="000000"/>
          <w:sz w:val="16"/>
          <w:szCs w:val="16"/>
        </w:rPr>
        <w:t>) – and assumed in 15 years we would have no drugs to combat them. While resistance is a problem with all of these, there is no particular reason to believe that all drugs against them will cease to work, much less in fifteen years, which seems extremely unlikely – a “most alarming scenario” indeed, to use the UN interagency group’s words. The </w:t>
      </w:r>
      <w:hyperlink r:id="rId38" w:tgtFrame="_blank" w:history="1">
        <w:r w:rsidRPr="00D47864">
          <w:rPr>
            <w:rFonts w:eastAsia="Times New Roman"/>
            <w:sz w:val="16"/>
            <w:szCs w:val="16"/>
          </w:rPr>
          <w:t>other study</w:t>
        </w:r>
      </w:hyperlink>
      <w:r w:rsidRPr="00D47864">
        <w:rPr>
          <w:rFonts w:eastAsia="Times New Roman"/>
          <w:color w:val="000000"/>
          <w:sz w:val="16"/>
          <w:szCs w:val="16"/>
        </w:rPr>
        <w:t>, by KPMG, was similarly limited to the same six diseases and bacteria, and considered four different scenarios, varying by degree of resistance (40% or 100%) and rate of infection (as now, or all except for malaria doubling). Among the two studies and multiple scenarios, the AMR Review fails to say exactly where its 10 million figure comes from. Review the two studies themselves, and you will not find that number. </w:t>
      </w:r>
      <w:hyperlink r:id="rId39" w:tgtFrame="_blank" w:history="1">
        <w:r w:rsidRPr="00D47864">
          <w:rPr>
            <w:rFonts w:eastAsia="Times New Roman"/>
            <w:sz w:val="16"/>
            <w:szCs w:val="16"/>
          </w:rPr>
          <w:t>One analysis</w:t>
        </w:r>
      </w:hyperlink>
      <w:r w:rsidRPr="00D47864">
        <w:rPr>
          <w:rFonts w:eastAsia="Times New Roman"/>
          <w:color w:val="000000"/>
          <w:sz w:val="16"/>
          <w:szCs w:val="16"/>
        </w:rPr>
        <w:t> in </w:t>
      </w:r>
      <w:proofErr w:type="spellStart"/>
      <w:r w:rsidRPr="00D47864">
        <w:rPr>
          <w:rFonts w:eastAsia="Times New Roman"/>
          <w:i/>
          <w:iCs/>
          <w:color w:val="000000"/>
          <w:sz w:val="16"/>
          <w:szCs w:val="16"/>
        </w:rPr>
        <w:t>PLoS</w:t>
      </w:r>
      <w:proofErr w:type="spellEnd"/>
      <w:r w:rsidRPr="00D47864">
        <w:rPr>
          <w:rFonts w:eastAsia="Times New Roman"/>
          <w:i/>
          <w:iCs/>
          <w:color w:val="000000"/>
          <w:sz w:val="16"/>
          <w:szCs w:val="16"/>
        </w:rPr>
        <w:t> Medicine</w:t>
      </w:r>
      <w:r w:rsidRPr="00D47864">
        <w:rPr>
          <w:rFonts w:eastAsia="Times New Roman"/>
          <w:color w:val="000000"/>
          <w:sz w:val="16"/>
          <w:szCs w:val="16"/>
        </w:rPr>
        <w:t>, referring to the 10 million </w:t>
      </w:r>
      <w:proofErr w:type="gramStart"/>
      <w:r w:rsidRPr="00D47864">
        <w:rPr>
          <w:rFonts w:eastAsia="Times New Roman"/>
          <w:color w:val="000000"/>
          <w:sz w:val="16"/>
          <w:szCs w:val="16"/>
        </w:rPr>
        <w:t>figure</w:t>
      </w:r>
      <w:proofErr w:type="gramEnd"/>
      <w:r w:rsidRPr="00D47864">
        <w:rPr>
          <w:rFonts w:eastAsia="Times New Roman"/>
          <w:color w:val="000000"/>
          <w:sz w:val="16"/>
          <w:szCs w:val="16"/>
        </w:rPr>
        <w:t>, observes: “The scenario that seems to be underlying the most often quoted line entails a sharp initial rise of current resistance rates by 40 percentage points, after which rates remain stable until 2050, and doubled infection rates.” This scenario, one of those from KPMG, does appear the most likely source to me as well; along with the RAND study, it is the scenario that the AMR Review itself highlights. Yet is that the most likely scenario?  How much more likely is 10 million deaths than 5 million or 2 million – or are these or other lower tolls, in fact, actually (much?) more likely? Notably, contrary to the scenario that seems to underlie the 10 million </w:t>
      </w:r>
      <w:proofErr w:type="gramStart"/>
      <w:r w:rsidRPr="00D47864">
        <w:rPr>
          <w:rFonts w:eastAsia="Times New Roman"/>
          <w:color w:val="000000"/>
          <w:sz w:val="16"/>
          <w:szCs w:val="16"/>
        </w:rPr>
        <w:t>figure</w:t>
      </w:r>
      <w:proofErr w:type="gramEnd"/>
      <w:r w:rsidRPr="00D47864">
        <w:rPr>
          <w:rFonts w:eastAsia="Times New Roman"/>
          <w:color w:val="000000"/>
          <w:sz w:val="16"/>
          <w:szCs w:val="16"/>
        </w:rPr>
        <w:t>, presently HIV and TB infection rates are falling, not rising. While hardly representative of the world, but indicative of the possibilities of progress even at today’s level of insufficient action, the Center for Disease Control and Prevention’s </w:t>
      </w:r>
      <w:hyperlink r:id="rId40" w:tgtFrame="_blank" w:history="1">
        <w:r w:rsidRPr="00D47864">
          <w:rPr>
            <w:rFonts w:eastAsia="Times New Roman"/>
            <w:sz w:val="16"/>
            <w:szCs w:val="16"/>
          </w:rPr>
          <w:t>best estimates</w:t>
        </w:r>
      </w:hyperlink>
      <w:r w:rsidRPr="00D47864">
        <w:rPr>
          <w:rFonts w:eastAsia="Times New Roman"/>
          <w:color w:val="000000"/>
          <w:sz w:val="16"/>
          <w:szCs w:val="16"/>
        </w:rPr>
        <w:t> (p. 16-17) indicate a slight decrease of annual antimicrobial resistance deaths in the United States, from 36,500 in 2012 to 35,900 in 2018. What are we to make of all of this? First, what is, importantly, not the take-away. That the 10 million death figure hardly reflects either current trends or is particularly more likely than millions fewer deaths (even as more deaths is conceivable as well) hardly means that antimicrobial resistance is not a major threat. It absolutely is, and with</w:t>
      </w:r>
      <w:r w:rsidRPr="00D47864">
        <w:rPr>
          <w:rFonts w:eastAsia="Times New Roman"/>
          <w:b/>
          <w:bCs/>
          <w:color w:val="000000"/>
        </w:rPr>
        <w:t> </w:t>
      </w:r>
      <w:r w:rsidRPr="00D47864">
        <w:rPr>
          <w:rFonts w:eastAsia="Times New Roman"/>
          <w:b/>
          <w:bCs/>
          <w:color w:val="000000"/>
          <w:u w:val="single"/>
          <w:shd w:val="clear" w:color="auto" w:fill="00FF00"/>
        </w:rPr>
        <w:t>the problem worsening globally, a death toll that reaches into the millions annually is well within the realm of possibility.</w:t>
      </w:r>
      <w:r w:rsidRPr="00D47864">
        <w:rPr>
          <w:rFonts w:eastAsia="Times New Roman"/>
          <w:b/>
          <w:bCs/>
          <w:color w:val="000000"/>
        </w:rPr>
        <w:t> </w:t>
      </w:r>
      <w:r w:rsidRPr="00D47864">
        <w:rPr>
          <w:rFonts w:eastAsia="Times New Roman"/>
          <w:color w:val="000000"/>
        </w:rPr>
        <w:t> </w:t>
      </w:r>
    </w:p>
    <w:p w14:paraId="7658E4DC" w14:textId="77777777" w:rsidR="003739CC" w:rsidRDefault="003739CC" w:rsidP="003739CC"/>
    <w:p w14:paraId="462CC4D3" w14:textId="77777777" w:rsidR="003739CC" w:rsidRDefault="003739CC" w:rsidP="003739CC">
      <w:pPr>
        <w:pStyle w:val="Heading3"/>
      </w:pPr>
      <w:r>
        <w:t>CASE</w:t>
      </w:r>
    </w:p>
    <w:p w14:paraId="0026DE70" w14:textId="77777777" w:rsidR="003739CC" w:rsidRDefault="003739CC" w:rsidP="003739CC">
      <w:pPr>
        <w:pStyle w:val="Heading4"/>
        <w:rPr>
          <w:rFonts w:ascii="Times New Roman" w:eastAsia="Times New Roman" w:hAnsi="Times New Roman" w:cs="Times New Roman"/>
        </w:rPr>
      </w:pPr>
      <w:r>
        <w:rPr>
          <w:rFonts w:cs="Calibri"/>
          <w:color w:val="000000"/>
        </w:rPr>
        <w:t>Reductions in IP do not improve accessibility, and some protections are necessary for balancing public and private interests </w:t>
      </w:r>
    </w:p>
    <w:p w14:paraId="6E302529" w14:textId="77777777" w:rsidR="003739CC" w:rsidRDefault="003739CC" w:rsidP="003739CC">
      <w:pPr>
        <w:pStyle w:val="NormalWeb"/>
        <w:spacing w:before="0" w:beforeAutospacing="0" w:after="160" w:afterAutospacing="0"/>
      </w:pPr>
      <w:proofErr w:type="spellStart"/>
      <w:r>
        <w:rPr>
          <w:rFonts w:ascii="Calibri" w:hAnsi="Calibri" w:cs="Calibri"/>
          <w:b/>
          <w:bCs/>
          <w:color w:val="000000"/>
          <w:sz w:val="26"/>
          <w:szCs w:val="26"/>
        </w:rPr>
        <w:t>Krattiger</w:t>
      </w:r>
      <w:proofErr w:type="spellEnd"/>
      <w:r>
        <w:rPr>
          <w:rFonts w:ascii="Calibri" w:hAnsi="Calibri" w:cs="Calibri"/>
          <w:b/>
          <w:bCs/>
          <w:color w:val="000000"/>
          <w:sz w:val="26"/>
          <w:szCs w:val="26"/>
        </w:rPr>
        <w:t xml:space="preserve"> 13 </w:t>
      </w:r>
      <w:r>
        <w:rPr>
          <w:rFonts w:ascii="Calibri" w:hAnsi="Calibri" w:cs="Calibri"/>
          <w:color w:val="000000"/>
        </w:rPr>
        <w:t xml:space="preserve">Anatole </w:t>
      </w:r>
      <w:proofErr w:type="spellStart"/>
      <w:proofErr w:type="gramStart"/>
      <w:r>
        <w:rPr>
          <w:rFonts w:ascii="Calibri" w:hAnsi="Calibri" w:cs="Calibri"/>
          <w:color w:val="000000"/>
        </w:rPr>
        <w:t>Krattiger</w:t>
      </w:r>
      <w:proofErr w:type="spellEnd"/>
      <w:r>
        <w:rPr>
          <w:rFonts w:ascii="Calibri" w:hAnsi="Calibri" w:cs="Calibri"/>
          <w:color w:val="000000"/>
        </w:rPr>
        <w:t>,;</w:t>
      </w:r>
      <w:proofErr w:type="gramEnd"/>
      <w:r>
        <w:rPr>
          <w:rFonts w:ascii="Calibri" w:hAnsi="Calibri" w:cs="Calibri"/>
          <w:color w:val="000000"/>
        </w:rPr>
        <w:t xml:space="preserve"> Adjunct Professor, School of Integrative Plant Science Plant Breed‐ </w:t>
      </w:r>
      <w:proofErr w:type="spellStart"/>
      <w:r>
        <w:rPr>
          <w:rFonts w:ascii="Calibri" w:hAnsi="Calibri" w:cs="Calibri"/>
          <w:color w:val="000000"/>
        </w:rPr>
        <w:t>ing</w:t>
      </w:r>
      <w:proofErr w:type="spellEnd"/>
      <w:r>
        <w:rPr>
          <w:rFonts w:ascii="Calibri" w:hAnsi="Calibri" w:cs="Calibri"/>
          <w:color w:val="000000"/>
        </w:rPr>
        <w:t xml:space="preserve"> and Genetics Section ; September 2013; ”Promoting access to medical innovation”; https://www.wipo.int/wipo_magazine/en/2013/05/article_0002.html, WIP Magazine, accessed 7‐29‐2021 CHS VK</w:t>
      </w:r>
    </w:p>
    <w:p w14:paraId="480E7D42" w14:textId="77777777" w:rsidR="003739CC" w:rsidRDefault="003739CC" w:rsidP="003739CC"/>
    <w:p w14:paraId="6EE81594" w14:textId="77777777" w:rsidR="003739CC" w:rsidRDefault="003739CC" w:rsidP="003739CC">
      <w:pPr>
        <w:pStyle w:val="NormalWeb"/>
        <w:spacing w:before="0" w:beforeAutospacing="0" w:after="160" w:afterAutospacing="0"/>
      </w:pPr>
      <w:r>
        <w:rPr>
          <w:rFonts w:ascii="Calibri" w:hAnsi="Calibri" w:cs="Calibri"/>
          <w:b/>
          <w:bCs/>
          <w:color w:val="000000"/>
          <w:sz w:val="26"/>
          <w:szCs w:val="26"/>
          <w:u w:val="single"/>
          <w:shd w:val="clear" w:color="auto" w:fill="00FF00"/>
        </w:rPr>
        <w:t>The rationale</w:t>
      </w:r>
      <w:r>
        <w:rPr>
          <w:rFonts w:ascii="Calibri" w:hAnsi="Calibri" w:cs="Calibri"/>
          <w:color w:val="000000"/>
        </w:rPr>
        <w:t xml:space="preserve"> of the intellectual property (IP) </w:t>
      </w:r>
      <w:r>
        <w:rPr>
          <w:rFonts w:ascii="Calibri" w:hAnsi="Calibri" w:cs="Calibri"/>
          <w:b/>
          <w:bCs/>
          <w:color w:val="000000"/>
          <w:sz w:val="26"/>
          <w:szCs w:val="26"/>
          <w:u w:val="single"/>
          <w:shd w:val="clear" w:color="auto" w:fill="00FF00"/>
        </w:rPr>
        <w:t>system</w:t>
      </w:r>
      <w:r>
        <w:rPr>
          <w:rFonts w:ascii="Calibri" w:hAnsi="Calibri" w:cs="Calibri"/>
          <w:color w:val="000000"/>
        </w:rPr>
        <w:t xml:space="preserve"> in general, and the patent system in particular, </w:t>
      </w:r>
      <w:r>
        <w:rPr>
          <w:rFonts w:ascii="Calibri" w:hAnsi="Calibri" w:cs="Calibri"/>
          <w:b/>
          <w:bCs/>
          <w:color w:val="000000"/>
          <w:sz w:val="26"/>
          <w:szCs w:val="26"/>
          <w:u w:val="single"/>
          <w:shd w:val="clear" w:color="auto" w:fill="00FF00"/>
        </w:rPr>
        <w:t xml:space="preserve">is to make investment in innovation attractive and to offer a mechanism which ensures that the knowledge contained in patent applications is accessible to </w:t>
      </w:r>
      <w:proofErr w:type="spellStart"/>
      <w:r>
        <w:rPr>
          <w:rFonts w:ascii="Calibri" w:hAnsi="Calibri" w:cs="Calibri"/>
          <w:b/>
          <w:bCs/>
          <w:color w:val="000000"/>
          <w:sz w:val="26"/>
          <w:szCs w:val="26"/>
          <w:u w:val="single"/>
          <w:shd w:val="clear" w:color="auto" w:fill="00FF00"/>
        </w:rPr>
        <w:t>soci</w:t>
      </w:r>
      <w:proofErr w:type="spellEnd"/>
      <w:r>
        <w:rPr>
          <w:rFonts w:ascii="Calibri" w:hAnsi="Calibri" w:cs="Calibri"/>
          <w:b/>
          <w:bCs/>
          <w:color w:val="000000"/>
          <w:sz w:val="26"/>
          <w:szCs w:val="26"/>
          <w:u w:val="single"/>
          <w:shd w:val="clear" w:color="auto" w:fill="00FF00"/>
        </w:rPr>
        <w:t xml:space="preserve">‐ </w:t>
      </w:r>
      <w:proofErr w:type="spellStart"/>
      <w:r>
        <w:rPr>
          <w:rFonts w:ascii="Calibri" w:hAnsi="Calibri" w:cs="Calibri"/>
          <w:b/>
          <w:bCs/>
          <w:color w:val="000000"/>
          <w:sz w:val="26"/>
          <w:szCs w:val="26"/>
          <w:u w:val="single"/>
          <w:shd w:val="clear" w:color="auto" w:fill="00FF00"/>
        </w:rPr>
        <w:t>ety</w:t>
      </w:r>
      <w:proofErr w:type="spellEnd"/>
      <w:r>
        <w:rPr>
          <w:rFonts w:ascii="Calibri" w:hAnsi="Calibri" w:cs="Calibri"/>
          <w:b/>
          <w:bCs/>
          <w:color w:val="000000"/>
          <w:sz w:val="26"/>
          <w:szCs w:val="26"/>
          <w:u w:val="single"/>
          <w:shd w:val="clear" w:color="auto" w:fill="00FF00"/>
        </w:rPr>
        <w:t>.</w:t>
      </w:r>
      <w:r>
        <w:rPr>
          <w:rFonts w:ascii="Calibri" w:hAnsi="Calibri" w:cs="Calibri"/>
          <w:color w:val="000000"/>
        </w:rPr>
        <w:t xml:space="preserve"> In this way, it seeks to balance competing private and public interests. Anyone </w:t>
      </w:r>
      <w:r>
        <w:rPr>
          <w:rFonts w:ascii="Calibri" w:hAnsi="Calibri" w:cs="Calibri"/>
          <w:b/>
          <w:bCs/>
          <w:color w:val="000000"/>
          <w:sz w:val="26"/>
          <w:szCs w:val="26"/>
          <w:u w:val="single"/>
          <w:shd w:val="clear" w:color="auto" w:fill="00FF00"/>
        </w:rPr>
        <w:t xml:space="preserve">ap‐ plying for a patent is required to disclose the details of their technology so that the pub‐ </w:t>
      </w:r>
      <w:proofErr w:type="spellStart"/>
      <w:r>
        <w:rPr>
          <w:rFonts w:ascii="Calibri" w:hAnsi="Calibri" w:cs="Calibri"/>
          <w:b/>
          <w:bCs/>
          <w:color w:val="000000"/>
          <w:sz w:val="26"/>
          <w:szCs w:val="26"/>
          <w:u w:val="single"/>
          <w:shd w:val="clear" w:color="auto" w:fill="00FF00"/>
        </w:rPr>
        <w:t>lic</w:t>
      </w:r>
      <w:proofErr w:type="spellEnd"/>
      <w:r>
        <w:rPr>
          <w:rFonts w:ascii="Calibri" w:hAnsi="Calibri" w:cs="Calibri"/>
          <w:b/>
          <w:bCs/>
          <w:color w:val="000000"/>
          <w:sz w:val="26"/>
          <w:szCs w:val="26"/>
          <w:u w:val="single"/>
          <w:shd w:val="clear" w:color="auto" w:fill="00FF00"/>
        </w:rPr>
        <w:t xml:space="preserve"> is aware of,</w:t>
      </w:r>
      <w:r>
        <w:rPr>
          <w:rFonts w:ascii="Calibri" w:hAnsi="Calibri" w:cs="Calibri"/>
          <w:color w:val="000000"/>
        </w:rPr>
        <w:t xml:space="preserve"> and can eventually use, </w:t>
      </w:r>
      <w:r>
        <w:rPr>
          <w:rFonts w:ascii="Calibri" w:hAnsi="Calibri" w:cs="Calibri"/>
          <w:b/>
          <w:bCs/>
          <w:color w:val="000000"/>
          <w:sz w:val="26"/>
          <w:szCs w:val="26"/>
          <w:u w:val="single"/>
          <w:shd w:val="clear" w:color="auto" w:fill="00FF00"/>
        </w:rPr>
        <w:t>the knowledge contained in patent documents.</w:t>
      </w:r>
      <w:r>
        <w:rPr>
          <w:rFonts w:ascii="Calibri" w:hAnsi="Calibri" w:cs="Calibri"/>
          <w:color w:val="000000"/>
        </w:rPr>
        <w:t xml:space="preserve"> Patent information available through public databases, such as WIPO′s PATENTSCOPE, offers useful insights about innovation trends and freedom‐to‐operate, and can help shape patenting and licensing strategies. </w:t>
      </w:r>
      <w:r>
        <w:rPr>
          <w:rFonts w:ascii="Calibri" w:hAnsi="Calibri" w:cs="Calibri"/>
          <w:b/>
          <w:bCs/>
          <w:color w:val="000000"/>
          <w:sz w:val="26"/>
          <w:szCs w:val="26"/>
          <w:u w:val="single"/>
          <w:shd w:val="clear" w:color="auto" w:fill="00FF00"/>
        </w:rPr>
        <w:t>Data indicate overall long‐term growth in patenting of medical technologies</w:t>
      </w:r>
      <w:r>
        <w:rPr>
          <w:rFonts w:ascii="Calibri" w:hAnsi="Calibri" w:cs="Calibri"/>
          <w:color w:val="000000"/>
        </w:rPr>
        <w:t xml:space="preserve"> (a sign of renewed investment in this area) </w:t>
      </w:r>
      <w:r>
        <w:rPr>
          <w:rFonts w:ascii="Calibri" w:hAnsi="Calibri" w:cs="Calibri"/>
          <w:b/>
          <w:bCs/>
          <w:color w:val="000000"/>
          <w:sz w:val="26"/>
          <w:szCs w:val="26"/>
          <w:u w:val="single"/>
          <w:shd w:val="clear" w:color="auto" w:fill="00FF00"/>
        </w:rPr>
        <w:t>and that an increasingly diverse range of public and private users</w:t>
      </w:r>
      <w:r>
        <w:rPr>
          <w:rFonts w:ascii="Calibri" w:hAnsi="Calibri" w:cs="Calibri"/>
          <w:color w:val="000000"/>
        </w:rPr>
        <w:t xml:space="preserve"> (see Figures 2 and 3), </w:t>
      </w:r>
      <w:r>
        <w:rPr>
          <w:rFonts w:ascii="Calibri" w:hAnsi="Calibri" w:cs="Calibri"/>
          <w:b/>
          <w:bCs/>
          <w:color w:val="000000"/>
          <w:sz w:val="26"/>
          <w:szCs w:val="26"/>
          <w:u w:val="single"/>
          <w:shd w:val="clear" w:color="auto" w:fill="00FF00"/>
        </w:rPr>
        <w:t>including from emerging economies, are using the international patent system.</w:t>
      </w:r>
      <w:r>
        <w:rPr>
          <w:rFonts w:ascii="Calibri" w:hAnsi="Calibri" w:cs="Calibri"/>
          <w:color w:val="000000"/>
        </w:rPr>
        <w:t xml:space="preserve"> While the patent system is designed to promote innovation by providing an incentive to invest in R&amp;D, </w:t>
      </w:r>
      <w:r>
        <w:rPr>
          <w:rFonts w:ascii="Calibri" w:hAnsi="Calibri" w:cs="Calibri"/>
          <w:b/>
          <w:bCs/>
          <w:color w:val="000000"/>
          <w:sz w:val="26"/>
          <w:szCs w:val="26"/>
          <w:u w:val="single"/>
          <w:shd w:val="clear" w:color="auto" w:fill="00FF00"/>
        </w:rPr>
        <w:t>the impact of patents on access to medical technologies is complex</w:t>
      </w:r>
      <w:r>
        <w:rPr>
          <w:rFonts w:ascii="Calibri" w:hAnsi="Calibri" w:cs="Calibri"/>
          <w:color w:val="000000"/>
        </w:rPr>
        <w:t xml:space="preserve"> and much debated. Just as the existence of a patent need not be a barrier to access, </w:t>
      </w:r>
      <w:r>
        <w:rPr>
          <w:rFonts w:ascii="Calibri" w:hAnsi="Calibri" w:cs="Calibri"/>
          <w:b/>
          <w:bCs/>
          <w:color w:val="000000"/>
          <w:sz w:val="26"/>
          <w:szCs w:val="26"/>
          <w:u w:val="single"/>
          <w:shd w:val="clear" w:color="auto" w:fill="00FF00"/>
        </w:rPr>
        <w:t xml:space="preserve">the absence of a patent right </w:t>
      </w:r>
      <w:r>
        <w:rPr>
          <w:rFonts w:ascii="Calibri" w:hAnsi="Calibri" w:cs="Calibri"/>
          <w:b/>
          <w:bCs/>
          <w:color w:val="000000"/>
          <w:sz w:val="26"/>
          <w:szCs w:val="26"/>
          <w:u w:val="single"/>
          <w:shd w:val="clear" w:color="auto" w:fill="00FF00"/>
        </w:rPr>
        <w:lastRenderedPageBreak/>
        <w:t>does not guarantee effective access.</w:t>
      </w:r>
      <w:r>
        <w:rPr>
          <w:rFonts w:ascii="Calibri" w:hAnsi="Calibri" w:cs="Calibri"/>
          <w:color w:val="000000"/>
        </w:rPr>
        <w:t xml:space="preserve"> As noted in the WHO′s Framework for Access to Medicines, access to </w:t>
      </w:r>
      <w:r>
        <w:rPr>
          <w:rFonts w:ascii="Calibri" w:hAnsi="Calibri" w:cs="Calibri"/>
          <w:b/>
          <w:bCs/>
          <w:color w:val="000000"/>
          <w:sz w:val="26"/>
          <w:szCs w:val="26"/>
          <w:u w:val="single"/>
          <w:shd w:val="clear" w:color="auto" w:fill="00FF00"/>
        </w:rPr>
        <w:t>medicines</w:t>
      </w:r>
      <w:r>
        <w:rPr>
          <w:rFonts w:ascii="Calibri" w:hAnsi="Calibri" w:cs="Calibri"/>
          <w:color w:val="000000"/>
        </w:rPr>
        <w:t xml:space="preserve"> is rarely dependent on a single factor; it also </w:t>
      </w:r>
      <w:r>
        <w:rPr>
          <w:rFonts w:ascii="Calibri" w:hAnsi="Calibri" w:cs="Calibri"/>
          <w:b/>
          <w:bCs/>
          <w:color w:val="000000"/>
          <w:sz w:val="26"/>
          <w:szCs w:val="26"/>
          <w:u w:val="single"/>
          <w:shd w:val="clear" w:color="auto" w:fill="00FF00"/>
        </w:rPr>
        <w:t xml:space="preserve">includes rational selection and use of medicines, affordable prices, sustainable financing and </w:t>
      </w:r>
      <w:proofErr w:type="spellStart"/>
      <w:r>
        <w:rPr>
          <w:rFonts w:ascii="Calibri" w:hAnsi="Calibri" w:cs="Calibri"/>
          <w:b/>
          <w:bCs/>
          <w:color w:val="000000"/>
          <w:sz w:val="26"/>
          <w:szCs w:val="26"/>
          <w:u w:val="single"/>
          <w:shd w:val="clear" w:color="auto" w:fill="00FF00"/>
        </w:rPr>
        <w:t>reli</w:t>
      </w:r>
      <w:proofErr w:type="spellEnd"/>
      <w:r>
        <w:rPr>
          <w:rFonts w:ascii="Calibri" w:hAnsi="Calibri" w:cs="Calibri"/>
          <w:b/>
          <w:bCs/>
          <w:color w:val="000000"/>
          <w:sz w:val="26"/>
          <w:szCs w:val="26"/>
          <w:u w:val="single"/>
          <w:shd w:val="clear" w:color="auto" w:fill="00FF00"/>
        </w:rPr>
        <w:t xml:space="preserve">‐ able health and supply systems, among others. </w:t>
      </w:r>
      <w:r>
        <w:rPr>
          <w:rFonts w:ascii="Calibri" w:hAnsi="Calibri" w:cs="Calibri"/>
          <w:color w:val="000000"/>
        </w:rPr>
        <w:t xml:space="preserve">Striking an appropriate balance </w:t>
      </w:r>
      <w:r>
        <w:rPr>
          <w:rFonts w:ascii="Calibri" w:hAnsi="Calibri" w:cs="Calibri"/>
          <w:b/>
          <w:bCs/>
          <w:color w:val="000000"/>
          <w:sz w:val="26"/>
          <w:szCs w:val="26"/>
          <w:u w:val="single"/>
          <w:shd w:val="clear" w:color="auto" w:fill="00FF00"/>
        </w:rPr>
        <w:t>Striking an appropriate balance between encouraging medical innovation and enabling access to it has been a major preoccupation of policymakers, health activists and the private sector,</w:t>
      </w:r>
      <w:r>
        <w:rPr>
          <w:rFonts w:ascii="Calibri" w:hAnsi="Calibri" w:cs="Calibri"/>
          <w:color w:val="000000"/>
        </w:rPr>
        <w:t xml:space="preserve"> since the 1990s when concerns about access came to the fore in relation to the treatment of HIV/AIDS in many African countries. </w:t>
      </w:r>
      <w:r>
        <w:rPr>
          <w:rFonts w:ascii="Calibri" w:hAnsi="Calibri" w:cs="Calibri"/>
          <w:b/>
          <w:bCs/>
          <w:color w:val="000000"/>
          <w:sz w:val="26"/>
          <w:szCs w:val="26"/>
          <w:u w:val="single"/>
          <w:shd w:val="clear" w:color="auto" w:fill="00FF00"/>
        </w:rPr>
        <w:t>The WTO</w:t>
      </w:r>
      <w:r>
        <w:rPr>
          <w:rFonts w:ascii="Calibri" w:hAnsi="Calibri" w:cs="Calibri"/>
          <w:color w:val="000000"/>
        </w:rPr>
        <w:t xml:space="preserve">′s Doha Declaration on the TRIPs Agreement and Public Health of 2001, </w:t>
      </w:r>
      <w:r>
        <w:rPr>
          <w:rFonts w:ascii="Calibri" w:hAnsi="Calibri" w:cs="Calibri"/>
          <w:b/>
          <w:bCs/>
          <w:color w:val="000000"/>
          <w:sz w:val="26"/>
          <w:szCs w:val="26"/>
          <w:u w:val="single"/>
          <w:shd w:val="clear" w:color="auto" w:fill="00FF00"/>
        </w:rPr>
        <w:t>clarified a number of rules specific to IP and helped reassure the global community that IP should not prevent access to the medicines needed in developing countries</w:t>
      </w:r>
      <w:r w:rsidRPr="00CE2208">
        <w:rPr>
          <w:rFonts w:ascii="Calibri" w:hAnsi="Calibri" w:cs="Calibri"/>
          <w:b/>
          <w:bCs/>
          <w:color w:val="000000"/>
          <w:sz w:val="26"/>
          <w:szCs w:val="26"/>
          <w:highlight w:val="green"/>
          <w:u w:val="single"/>
          <w:shd w:val="clear" w:color="auto" w:fill="00FF00"/>
        </w:rPr>
        <w:t>.</w:t>
      </w:r>
      <w:r w:rsidRPr="00CE2208">
        <w:rPr>
          <w:rFonts w:ascii="Calibri" w:hAnsi="Calibri" w:cs="Calibri"/>
          <w:color w:val="000000"/>
          <w:highlight w:val="green"/>
        </w:rPr>
        <w:t xml:space="preserve"> Medical technologies are usually very expensive to develop but relatively cheap to reproduce. Without the protection conferred by a patent it would not be financially viable for companies to continue investing in re‐ search</w:t>
      </w:r>
      <w:r>
        <w:rPr>
          <w:rFonts w:ascii="Calibri" w:hAnsi="Calibri" w:cs="Calibri"/>
          <w:color w:val="000000"/>
        </w:rPr>
        <w:t>, product development and regulatory approval. If competitors could “free ride” on the cost of developing a product and were able to immediately introduce their own versions, the inventor would not get the expected financial returns thereby weakening any incentive to develop new products. </w:t>
      </w:r>
    </w:p>
    <w:p w14:paraId="05D351B7" w14:textId="77777777" w:rsidR="00252C37" w:rsidRDefault="00252C37"/>
    <w:sectPr w:rsidR="00252C37" w:rsidSect="005726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9CC"/>
    <w:rsid w:val="00252C37"/>
    <w:rsid w:val="003739CC"/>
    <w:rsid w:val="005726B2"/>
    <w:rsid w:val="00CE2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F94EF2"/>
  <w15:chartTrackingRefBased/>
  <w15:docId w15:val="{08DB1F23-ED69-9B4C-9747-04AF8858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39CC"/>
    <w:pPr>
      <w:spacing w:after="160" w:line="259" w:lineRule="auto"/>
    </w:pPr>
    <w:rPr>
      <w:rFonts w:ascii="Calibri" w:eastAsiaTheme="minorEastAsia" w:hAnsi="Calibri" w:cs="Calibri"/>
    </w:rPr>
  </w:style>
  <w:style w:type="paragraph" w:styleId="Heading2">
    <w:name w:val="heading 2"/>
    <w:aliases w:val="Hat"/>
    <w:basedOn w:val="Normal"/>
    <w:next w:val="Normal"/>
    <w:link w:val="Heading2Char"/>
    <w:uiPriority w:val="9"/>
    <w:unhideWhenUsed/>
    <w:qFormat/>
    <w:rsid w:val="003739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basedOn w:val="Normal"/>
    <w:next w:val="Normal"/>
    <w:link w:val="Heading3Char"/>
    <w:uiPriority w:val="9"/>
    <w:semiHidden/>
    <w:unhideWhenUsed/>
    <w:qFormat/>
    <w:rsid w:val="003739CC"/>
    <w:pPr>
      <w:keepNext/>
      <w:keepLines/>
      <w:spacing w:before="40" w:after="0"/>
      <w:outlineLvl w:val="2"/>
    </w:pPr>
    <w:rPr>
      <w:rFonts w:asciiTheme="majorHAnsi" w:eastAsiaTheme="majorEastAsia" w:hAnsiTheme="majorHAnsi" w:cstheme="majorBidi"/>
      <w:color w:val="1F3763" w:themeColor="accent1" w:themeShade="7F"/>
    </w:rPr>
  </w:style>
  <w:style w:type="paragraph" w:styleId="Heading4">
    <w:name w:val="heading 4"/>
    <w:aliases w:val="Tag"/>
    <w:basedOn w:val="Normal"/>
    <w:next w:val="Normal"/>
    <w:link w:val="Heading4Char"/>
    <w:uiPriority w:val="9"/>
    <w:unhideWhenUsed/>
    <w:qFormat/>
    <w:rsid w:val="003739C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3739CC"/>
    <w:rPr>
      <w:rFonts w:ascii="Calibri" w:eastAsiaTheme="majorEastAsia" w:hAnsi="Calibri" w:cstheme="majorBidi"/>
      <w:b/>
      <w:bCs/>
      <w:sz w:val="44"/>
      <w:szCs w:val="44"/>
      <w:u w:val="double"/>
    </w:rPr>
  </w:style>
  <w:style w:type="character" w:customStyle="1" w:styleId="Heading4Char">
    <w:name w:val="Heading 4 Char"/>
    <w:aliases w:val="Tag Char"/>
    <w:basedOn w:val="DefaultParagraphFont"/>
    <w:link w:val="Heading4"/>
    <w:uiPriority w:val="9"/>
    <w:rsid w:val="003739CC"/>
    <w:rPr>
      <w:rFonts w:ascii="Calibri" w:eastAsiaTheme="majorEastAsia" w:hAnsi="Calibri" w:cstheme="majorBidi"/>
      <w:b/>
      <w:bCs/>
      <w:szCs w:val="26"/>
    </w:rPr>
  </w:style>
  <w:style w:type="character" w:customStyle="1" w:styleId="Heading3Char">
    <w:name w:val="Heading 3 Char"/>
    <w:basedOn w:val="DefaultParagraphFont"/>
    <w:link w:val="Heading3"/>
    <w:uiPriority w:val="9"/>
    <w:semiHidden/>
    <w:rsid w:val="003739CC"/>
    <w:rPr>
      <w:rFonts w:asciiTheme="majorHAnsi" w:eastAsiaTheme="majorEastAsia" w:hAnsiTheme="majorHAnsi" w:cstheme="majorBidi"/>
      <w:color w:val="1F3763" w:themeColor="accent1" w:themeShade="7F"/>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739CC"/>
    <w:rPr>
      <w:b/>
      <w:bCs/>
      <w:sz w:val="26"/>
      <w:u w:val="none"/>
    </w:rPr>
  </w:style>
  <w:style w:type="paragraph" w:styleId="NormalWeb">
    <w:name w:val="Normal (Web)"/>
    <w:basedOn w:val="Normal"/>
    <w:uiPriority w:val="99"/>
    <w:unhideWhenUsed/>
    <w:rsid w:val="003739CC"/>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8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4137817/" TargetMode="External"/><Relationship Id="rId18" Type="http://schemas.openxmlformats.org/officeDocument/2006/relationships/hyperlink" Target="https://www.ncbi.nlm.nih.gov/pmc/articles/PMC4137817/" TargetMode="External"/><Relationship Id="rId26" Type="http://schemas.openxmlformats.org/officeDocument/2006/relationships/hyperlink" Target="https://www.ncbi.nlm.nih.gov/pmc/articles/PMC4137817/" TargetMode="External"/><Relationship Id="rId39" Type="http://schemas.openxmlformats.org/officeDocument/2006/relationships/hyperlink" Target="https://www.ncbi.nlm.nih.gov/pmc/articles/PMC5127510/" TargetMode="External"/><Relationship Id="rId21" Type="http://schemas.openxmlformats.org/officeDocument/2006/relationships/hyperlink" Target="https://www.ncbi.nlm.nih.gov/pmc/articles/PMC4137817/" TargetMode="External"/><Relationship Id="rId34" Type="http://schemas.openxmlformats.org/officeDocument/2006/relationships/hyperlink" Target="https://www.nytimes.com/2019/12/25/health/antibiotics-new-resistance.html" TargetMode="External"/><Relationship Id="rId42" Type="http://schemas.openxmlformats.org/officeDocument/2006/relationships/theme" Target="theme/theme1.xml"/><Relationship Id="rId7" Type="http://schemas.openxmlformats.org/officeDocument/2006/relationships/hyperlink" Target="https://www.ncbi.nlm.nih.gov/pmc/articles/PMC8223179/" TargetMode="External"/><Relationship Id="rId2" Type="http://schemas.openxmlformats.org/officeDocument/2006/relationships/settings" Target="settings.xml"/><Relationship Id="rId16" Type="http://schemas.openxmlformats.org/officeDocument/2006/relationships/hyperlink" Target="https://www.ncbi.nlm.nih.gov/pmc/articles/PMC4137817/" TargetMode="External"/><Relationship Id="rId20" Type="http://schemas.openxmlformats.org/officeDocument/2006/relationships/hyperlink" Target="https://www.ncbi.nlm.nih.gov/pmc/articles/PMC4137817/" TargetMode="External"/><Relationship Id="rId29" Type="http://schemas.openxmlformats.org/officeDocument/2006/relationships/hyperlink" Target="https://www.who.int/news-room/detail/29-04-2019-new-report-calls-for-urgent-action-to-avert-antimicrobial-resistance-crisis"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ncbi.nlm.nih.gov/pmc/articles/PMC8223179/" TargetMode="External"/><Relationship Id="rId11" Type="http://schemas.openxmlformats.org/officeDocument/2006/relationships/hyperlink" Target="https://www.ncbi.nlm.nih.gov/pmc/articles/PMC4137817/" TargetMode="External"/><Relationship Id="rId24" Type="http://schemas.openxmlformats.org/officeDocument/2006/relationships/hyperlink" Target="https://www.ncbi.nlm.nih.gov/pmc/articles/PMC4137817/" TargetMode="External"/><Relationship Id="rId32" Type="http://schemas.openxmlformats.org/officeDocument/2006/relationships/hyperlink" Target="https://www.bbc.co.uk/programmes/b07djvbp" TargetMode="External"/><Relationship Id="rId37" Type="http://schemas.openxmlformats.org/officeDocument/2006/relationships/hyperlink" Target="https://www.rand.org/pubs/research_reports/RR911.html" TargetMode="External"/><Relationship Id="rId40" Type="http://schemas.openxmlformats.org/officeDocument/2006/relationships/hyperlink" Target="https://www.cdc.gov/drugresistance/pdf/threats-report/2019-ar-threats-report-508.pdf" TargetMode="External"/><Relationship Id="rId5" Type="http://schemas.openxmlformats.org/officeDocument/2006/relationships/hyperlink" Target="http://www.ipwatchdog.com/2016/06/27/counterfeit-medicines-ip-patient-safety/id=70397/" TargetMode="External"/><Relationship Id="rId15" Type="http://schemas.openxmlformats.org/officeDocument/2006/relationships/hyperlink" Target="https://www.ncbi.nlm.nih.gov/pmc/articles/PMC4137817/" TargetMode="External"/><Relationship Id="rId23" Type="http://schemas.openxmlformats.org/officeDocument/2006/relationships/hyperlink" Target="https://www.ncbi.nlm.nih.gov/pmc/articles/PMC4137817/" TargetMode="External"/><Relationship Id="rId28" Type="http://schemas.openxmlformats.org/officeDocument/2006/relationships/hyperlink" Target="https://www.ncbi.nlm.nih.gov/pmc/articles/PMC4137817/" TargetMode="External"/><Relationship Id="rId36" Type="http://schemas.openxmlformats.org/officeDocument/2006/relationships/hyperlink" Target="https://amr-review.org/sites/default/files/AMR%20Review%20Paper%20-%20Tackling%20a%20crisis%20for%20the%20health%20and%20wealth%20of%20nations_1.pdf" TargetMode="External"/><Relationship Id="rId10" Type="http://schemas.openxmlformats.org/officeDocument/2006/relationships/hyperlink" Target="https://www.ncbi.nlm.nih.gov/pmc/articles/PMC4137817/" TargetMode="External"/><Relationship Id="rId19" Type="http://schemas.openxmlformats.org/officeDocument/2006/relationships/hyperlink" Target="https://www.ncbi.nlm.nih.gov/pmc/articles/PMC4137817/" TargetMode="External"/><Relationship Id="rId31" Type="http://schemas.openxmlformats.org/officeDocument/2006/relationships/hyperlink" Target="https://www.theguardian.com/books/2019/sep/26/the-body-guide-for-occupants-bill-bryson-review" TargetMode="External"/><Relationship Id="rId4" Type="http://schemas.openxmlformats.org/officeDocument/2006/relationships/hyperlink" Target="https://www.statnews.com/2019/05/07/stopping-murder-counterfeit-medicine/" TargetMode="External"/><Relationship Id="rId9" Type="http://schemas.openxmlformats.org/officeDocument/2006/relationships/hyperlink" Target="https://www.ncbi.nlm.nih.gov/pmc/articles/PMC4137817/" TargetMode="External"/><Relationship Id="rId14" Type="http://schemas.openxmlformats.org/officeDocument/2006/relationships/hyperlink" Target="https://www.ncbi.nlm.nih.gov/pmc/articles/PMC4137817/" TargetMode="External"/><Relationship Id="rId22" Type="http://schemas.openxmlformats.org/officeDocument/2006/relationships/hyperlink" Target="https://www.ncbi.nlm.nih.gov/pmc/articles/PMC4137817/" TargetMode="External"/><Relationship Id="rId27" Type="http://schemas.openxmlformats.org/officeDocument/2006/relationships/hyperlink" Target="https://www.ncbi.nlm.nih.gov/pmc/articles/PMC4137817/" TargetMode="External"/><Relationship Id="rId30" Type="http://schemas.openxmlformats.org/officeDocument/2006/relationships/hyperlink" Target="https://amr-review.org/sites/default/files/AMR%20Review%20Paper%20-%20Tackling%20a%20crisis%20for%20the%20health%20and%20wealth%20of%20nations_1.pdf" TargetMode="External"/><Relationship Id="rId35" Type="http://schemas.openxmlformats.org/officeDocument/2006/relationships/hyperlink" Target="https://www.who.int/antimicrobial-resistance/interagency-coordination-group/final-report/en/" TargetMode="External"/><Relationship Id="rId8" Type="http://schemas.openxmlformats.org/officeDocument/2006/relationships/hyperlink" Target="https://www.ncbi.nlm.nih.gov/pmc/articles/PMC8223179/" TargetMode="External"/><Relationship Id="rId3" Type="http://schemas.openxmlformats.org/officeDocument/2006/relationships/webSettings" Target="webSettings.xml"/><Relationship Id="rId12" Type="http://schemas.openxmlformats.org/officeDocument/2006/relationships/hyperlink" Target="https://www.ncbi.nlm.nih.gov/pmc/articles/PMC4137817/" TargetMode="External"/><Relationship Id="rId17" Type="http://schemas.openxmlformats.org/officeDocument/2006/relationships/hyperlink" Target="https://www.ncbi.nlm.nih.gov/pmc/articles/PMC4137817/" TargetMode="External"/><Relationship Id="rId25" Type="http://schemas.openxmlformats.org/officeDocument/2006/relationships/hyperlink" Target="https://www.ncbi.nlm.nih.gov/pmc/articles/PMC4137817/" TargetMode="External"/><Relationship Id="rId33" Type="http://schemas.openxmlformats.org/officeDocument/2006/relationships/hyperlink" Target="https://www.chemistryworld.com/features/the-antibiotic-countdown/3008544.article" TargetMode="External"/><Relationship Id="rId38" Type="http://schemas.openxmlformats.org/officeDocument/2006/relationships/hyperlink" Target="https://home.kpmg/content/dam/kpmg/pdf/2014/12/amr-report-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4562</Words>
  <Characters>26008</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Delgado</dc:creator>
  <cp:keywords/>
  <dc:description/>
  <cp:lastModifiedBy>Cameron Delgado</cp:lastModifiedBy>
  <cp:revision>1</cp:revision>
  <dcterms:created xsi:type="dcterms:W3CDTF">2021-10-08T21:02:00Z</dcterms:created>
  <dcterms:modified xsi:type="dcterms:W3CDTF">2021-10-08T21:27:00Z</dcterms:modified>
</cp:coreProperties>
</file>