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E605A" w14:textId="411716A1" w:rsidR="0019662C" w:rsidRDefault="00E62B25" w:rsidP="00E62B25">
      <w:pPr>
        <w:pStyle w:val="Heading1"/>
      </w:pPr>
      <w:r>
        <w:t>NC TOC r2 flt 1</w:t>
      </w:r>
    </w:p>
    <w:p w14:paraId="0D5F28CB" w14:textId="521DD377" w:rsidR="00EA6E98" w:rsidRDefault="00EA6E98" w:rsidP="00EA6E98">
      <w:pPr>
        <w:pStyle w:val="Heading2"/>
      </w:pPr>
      <w:r>
        <w:t>1 - T</w:t>
      </w:r>
    </w:p>
    <w:p w14:paraId="14B66B9D" w14:textId="19A5EC19" w:rsidR="00EA6E98" w:rsidRDefault="00EA6E98" w:rsidP="00EA6E98">
      <w:pPr>
        <w:pStyle w:val="Heading3"/>
      </w:pPr>
      <w:r>
        <w:t>T - FW</w:t>
      </w:r>
    </w:p>
    <w:p w14:paraId="354B32FD" w14:textId="77777777" w:rsidR="00EA6E98" w:rsidRDefault="00EA6E98" w:rsidP="00EA6E98">
      <w:pPr>
        <w:pStyle w:val="Heading4"/>
      </w:pPr>
      <w:r>
        <w:t>Interp – the neg</w:t>
      </w:r>
      <w:r w:rsidRPr="00675FB2">
        <w:t xml:space="preserve"> shouldn’t have the burden of rejoinder against affirmatives that don’t defend </w:t>
      </w:r>
      <w:r>
        <w:t>that the appropriation of outer space by private entities is unjust.</w:t>
      </w:r>
    </w:p>
    <w:p w14:paraId="20EFDC4B" w14:textId="77777777" w:rsidR="00EA6E98" w:rsidRDefault="00EA6E98" w:rsidP="00EA6E98"/>
    <w:p w14:paraId="2CE2EE8E" w14:textId="77777777" w:rsidR="00EA6E98" w:rsidRPr="003474B5" w:rsidRDefault="00EA6E98" w:rsidP="00EA6E98">
      <w:pPr>
        <w:pStyle w:val="Heading4"/>
        <w:rPr>
          <w:rFonts w:asciiTheme="majorHAnsi" w:hAnsiTheme="majorHAnsi" w:cstheme="majorHAnsi"/>
        </w:rPr>
      </w:pPr>
      <w:r w:rsidRPr="003474B5">
        <w:rPr>
          <w:rFonts w:asciiTheme="majorHAnsi" w:hAnsiTheme="majorHAnsi" w:cstheme="majorHAnsi"/>
        </w:rPr>
        <w:t xml:space="preserve">Appropriation of outer space” by private entities refers to the exercise of exclusive control of space. </w:t>
      </w:r>
    </w:p>
    <w:p w14:paraId="18E6981A" w14:textId="77777777" w:rsidR="00EA6E98" w:rsidRPr="003474B5" w:rsidRDefault="00EA6E98" w:rsidP="00EA6E98">
      <w:pPr>
        <w:rPr>
          <w:rFonts w:asciiTheme="majorHAnsi" w:hAnsiTheme="majorHAnsi" w:cstheme="majorHAnsi"/>
        </w:rPr>
      </w:pPr>
      <w:r w:rsidRPr="003474B5">
        <w:rPr>
          <w:rFonts w:asciiTheme="majorHAnsi" w:hAnsiTheme="majorHAnsi" w:cstheme="majorHAnsi"/>
        </w:rPr>
        <w:t xml:space="preserve">TIMOTHY JUSTIN </w:t>
      </w:r>
      <w:r w:rsidRPr="003474B5">
        <w:rPr>
          <w:rStyle w:val="Style13ptBold"/>
          <w:rFonts w:asciiTheme="majorHAnsi" w:hAnsiTheme="majorHAnsi" w:cstheme="majorHAnsi"/>
        </w:rPr>
        <w:t>TRAPP</w:t>
      </w:r>
      <w:r w:rsidRPr="003474B5">
        <w:rPr>
          <w:rFonts w:asciiTheme="majorHAnsi" w:hAnsiTheme="majorHAnsi" w:cstheme="majorHAnsi"/>
        </w:rPr>
        <w:t xml:space="preserve">, JD Candidate @ UIUC Law, </w:t>
      </w:r>
      <w:r w:rsidRPr="003474B5">
        <w:rPr>
          <w:rStyle w:val="Style13ptBold"/>
          <w:rFonts w:asciiTheme="majorHAnsi" w:hAnsiTheme="majorHAnsi" w:cstheme="majorHAnsi"/>
        </w:rPr>
        <w:t>’13</w:t>
      </w:r>
      <w:r w:rsidRPr="003474B5">
        <w:rPr>
          <w:rFonts w:asciiTheme="majorHAnsi" w:hAnsiTheme="majorHAnsi" w:cstheme="majorHAnsi"/>
        </w:rPr>
        <w:t>, TAKING UP SPACE BY ANY OTHER MEANS: COMING TO TERMS WITH THE NONAPPROPRIATION ARTICLE OF THE OUTER SPACE TREATY UNIVERSITY OF ILLINOIS LAW REVIEW [Vol. 2013 No. 4]</w:t>
      </w:r>
    </w:p>
    <w:p w14:paraId="6165E11B" w14:textId="77777777" w:rsidR="00EA6E98" w:rsidRPr="003474B5" w:rsidRDefault="00EA6E98" w:rsidP="00EA6E98">
      <w:pPr>
        <w:rPr>
          <w:rFonts w:asciiTheme="majorHAnsi" w:hAnsiTheme="majorHAnsi" w:cstheme="majorHAnsi"/>
        </w:rPr>
      </w:pPr>
      <w:r w:rsidRPr="003474B5">
        <w:rPr>
          <w:rFonts w:asciiTheme="majorHAnsi" w:hAnsiTheme="majorHAnsi" w:cstheme="majorHAnsi"/>
        </w:rPr>
        <w:t>The issues presented in relation to the nonappropriation article of the Outer Space Treaty should be clear.214 The ITU has, quite blatantly, created something akin to “</w:t>
      </w:r>
      <w:r w:rsidRPr="003474B5">
        <w:rPr>
          <w:rStyle w:val="StyleUnderline"/>
          <w:rFonts w:asciiTheme="majorHAnsi" w:hAnsiTheme="majorHAnsi" w:cstheme="majorHAnsi"/>
        </w:rPr>
        <w:t>property interests in outer space</w:t>
      </w:r>
      <w:r w:rsidRPr="003474B5">
        <w:rPr>
          <w:rFonts w:asciiTheme="majorHAnsi" w:hAnsiTheme="majorHAnsi" w:cstheme="majorHAnsi"/>
        </w:rPr>
        <w:t xml:space="preserve">.”215 It allows nations to exclude others from their orbital slots, even when the nation is not currently using that slot.216 This </w:t>
      </w:r>
      <w:r w:rsidRPr="003474B5">
        <w:rPr>
          <w:rStyle w:val="StyleUnderline"/>
          <w:rFonts w:asciiTheme="majorHAnsi" w:hAnsiTheme="majorHAnsi" w:cstheme="majorHAnsi"/>
        </w:rPr>
        <w:t>is directly in line with at least one definition of outer-space appropriation</w:t>
      </w:r>
      <w:r w:rsidRPr="003474B5">
        <w:rPr>
          <w:rFonts w:asciiTheme="majorHAnsi" w:hAnsiTheme="majorHAnsi" w:cstheme="majorHAnsi"/>
        </w:rPr>
        <w:t>.217 [**Start Footnote 217**Id. at 236 (“</w:t>
      </w:r>
      <w:r w:rsidRPr="00981C76">
        <w:rPr>
          <w:rStyle w:val="Emphasis"/>
          <w:rFonts w:asciiTheme="majorHAnsi" w:hAnsiTheme="majorHAnsi" w:cstheme="majorHAnsi"/>
          <w:highlight w:val="green"/>
        </w:rPr>
        <w:t>Appropriation of outer space</w:t>
      </w:r>
      <w:r w:rsidRPr="003474B5">
        <w:rPr>
          <w:rFonts w:asciiTheme="majorHAnsi" w:hAnsiTheme="majorHAnsi" w:cstheme="majorHAnsi"/>
        </w:rPr>
        <w:t xml:space="preserve">, </w:t>
      </w:r>
      <w:r w:rsidRPr="003474B5">
        <w:rPr>
          <w:rStyle w:val="Emphasis"/>
          <w:rFonts w:asciiTheme="majorHAnsi" w:hAnsiTheme="majorHAnsi" w:cstheme="majorHAnsi"/>
        </w:rPr>
        <w:t xml:space="preserve">therefore, </w:t>
      </w:r>
      <w:r w:rsidRPr="00981C76">
        <w:rPr>
          <w:rStyle w:val="Emphasis"/>
          <w:rFonts w:asciiTheme="majorHAnsi" w:hAnsiTheme="majorHAnsi" w:cstheme="majorHAnsi"/>
          <w:highlight w:val="green"/>
        </w:rPr>
        <w:t xml:space="preserve">is ‘the exercise of exclusive control </w:t>
      </w:r>
      <w:r w:rsidRPr="003474B5">
        <w:rPr>
          <w:rStyle w:val="Emphasis"/>
          <w:rFonts w:asciiTheme="majorHAnsi" w:hAnsiTheme="majorHAnsi" w:cstheme="majorHAnsi"/>
        </w:rPr>
        <w:t xml:space="preserve">or exclusive use’ </w:t>
      </w:r>
      <w:r w:rsidRPr="00981C76">
        <w:rPr>
          <w:rStyle w:val="Emphasis"/>
          <w:rFonts w:asciiTheme="majorHAnsi" w:hAnsiTheme="majorHAnsi" w:cstheme="majorHAnsi"/>
          <w:highlight w:val="green"/>
        </w:rPr>
        <w:t>with a sense of permanence, which limits other nations’ access</w:t>
      </w:r>
      <w:r w:rsidRPr="003474B5">
        <w:rPr>
          <w:rStyle w:val="Emphasis"/>
          <w:rFonts w:asciiTheme="majorHAnsi" w:hAnsiTheme="majorHAnsi" w:cstheme="majorHAnsi"/>
        </w:rPr>
        <w:t xml:space="preserve"> to i</w:t>
      </w:r>
      <w:r w:rsidRPr="003474B5">
        <w:rPr>
          <w:rFonts w:asciiTheme="majorHAnsi" w:hAnsiTheme="majorHAnsi" w:cstheme="maj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C79A379" w14:textId="77777777" w:rsidR="00EA6E98" w:rsidRPr="00E323AC" w:rsidRDefault="00EA6E98" w:rsidP="00EA6E98">
      <w:pPr>
        <w:pStyle w:val="Heading4"/>
        <w:rPr>
          <w:lang w:eastAsia="zh-CN"/>
        </w:rPr>
      </w:pPr>
      <w:r w:rsidRPr="00E323AC">
        <w:t>“R</w:t>
      </w:r>
      <w:r w:rsidRPr="00E323AC">
        <w:rPr>
          <w:lang w:eastAsia="zh-CN"/>
        </w:rPr>
        <w:t>esolved” implies a policy focus.</w:t>
      </w:r>
    </w:p>
    <w:p w14:paraId="01812A8F" w14:textId="77777777" w:rsidR="00EA6E98" w:rsidRPr="00E323AC" w:rsidRDefault="00EA6E98" w:rsidP="00EA6E98">
      <w:pPr>
        <w:rPr>
          <w:rStyle w:val="Style13ptBold"/>
        </w:rPr>
      </w:pPr>
      <w:r w:rsidRPr="00E323AC">
        <w:rPr>
          <w:rStyle w:val="Style13ptBold"/>
        </w:rPr>
        <w:t>Parcher 1</w:t>
      </w:r>
    </w:p>
    <w:p w14:paraId="534A5C02" w14:textId="77777777" w:rsidR="00EA6E98" w:rsidRPr="00E323AC" w:rsidRDefault="00EA6E98" w:rsidP="00EA6E98">
      <w:pPr>
        <w:rPr>
          <w:rFonts w:asciiTheme="minorHAnsi" w:hAnsiTheme="minorHAnsi" w:cstheme="majorHAnsi"/>
          <w:sz w:val="12"/>
          <w:szCs w:val="12"/>
        </w:rPr>
      </w:pPr>
      <w:r w:rsidRPr="00E323AC">
        <w:rPr>
          <w:rFonts w:asciiTheme="minorHAnsi" w:hAnsiTheme="minorHAnsi" w:cstheme="majorHAnsi"/>
          <w:sz w:val="12"/>
          <w:szCs w:val="12"/>
        </w:rPr>
        <w:t xml:space="preserve">(Jeff, former debate coach at Georgetown, February, 2001, </w:t>
      </w:r>
      <w:hyperlink r:id="rId6" w:history="1">
        <w:r w:rsidRPr="00E323AC">
          <w:rPr>
            <w:rStyle w:val="Hyperlink"/>
            <w:rFonts w:asciiTheme="minorHAnsi" w:hAnsiTheme="minorHAnsi" w:cstheme="majorHAnsi"/>
            <w:sz w:val="12"/>
            <w:szCs w:val="12"/>
          </w:rPr>
          <w:t>http://www.ndtceda.com/archives/200102/0790.html</w:t>
        </w:r>
      </w:hyperlink>
      <w:r w:rsidRPr="00E323AC">
        <w:rPr>
          <w:rFonts w:asciiTheme="minorHAnsi" w:hAnsiTheme="minorHAnsi" w:cstheme="majorHAnsi"/>
          <w:sz w:val="12"/>
          <w:szCs w:val="12"/>
        </w:rPr>
        <w:t>) -CAT</w:t>
      </w:r>
    </w:p>
    <w:p w14:paraId="66B88B12" w14:textId="77777777" w:rsidR="00EA6E98" w:rsidRPr="00C04F3B" w:rsidRDefault="00EA6E98" w:rsidP="00EA6E98">
      <w:pPr>
        <w:rPr>
          <w:sz w:val="16"/>
        </w:rPr>
      </w:pPr>
      <w:r w:rsidRPr="00C04F3B">
        <w:rPr>
          <w:sz w:val="16"/>
        </w:rPr>
        <w:t>Pardon me if I turn to a source besides Bill. American Heritage Dictionary</w:t>
      </w:r>
      <w:r w:rsidRPr="00E323AC">
        <w:rPr>
          <w:rStyle w:val="StyleUnderline"/>
        </w:rPr>
        <w:t xml:space="preserve">: </w:t>
      </w:r>
      <w:r w:rsidRPr="00E323AC">
        <w:rPr>
          <w:rStyle w:val="StyleUnderline"/>
          <w:highlight w:val="green"/>
        </w:rPr>
        <w:t>Resolve</w:t>
      </w:r>
      <w:r w:rsidRPr="00E323AC">
        <w:rPr>
          <w:rStyle w:val="StyleUnderline"/>
        </w:rPr>
        <w:t xml:space="preserve">: 1. To make a firm decision about. 2. To decide or express by formal vote. 3. To separate something into constiutent parts See Syns at *analyze* (emphasis in orginal) 4. Find a solution to. See Syns at *Solve* (emphasis in original) 5. To dispel: resolve a doubt. - n 1. Firmness of purpose; resolution. 2. </w:t>
      </w:r>
      <w:r w:rsidRPr="00E323AC">
        <w:rPr>
          <w:rStyle w:val="StyleUnderline"/>
          <w:highlight w:val="green"/>
        </w:rPr>
        <w:t>A determination</w:t>
      </w:r>
      <w:r w:rsidRPr="00E323AC">
        <w:rPr>
          <w:rStyle w:val="StyleUnderline"/>
        </w:rPr>
        <w:t xml:space="preserve"> or decision. (2) The very nature of the word "resolution" makes it a question</w:t>
      </w:r>
      <w:r w:rsidRPr="00C04F3B">
        <w:rPr>
          <w:sz w:val="16"/>
        </w:rPr>
        <w:t xml:space="preserve">. American Heritage: A course of action determined or decided on. A formal statement of a decision, as by a legislature. (3) The resolution is obviously a question. Any other conclusion is utterly inconceivable.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desirablility of that resolution. That's not only what they do, but it's what we REQUIRE them to do. We don't just send the topic committee somewhere to adopt their own group resolution. It's not the end point of a resolution adopted by a body - it's the preliminary wording of a resolution sent to others to be answered or decided upon. </w:t>
      </w:r>
      <w:r w:rsidRPr="00E323AC">
        <w:rPr>
          <w:rStyle w:val="StyleUnderline"/>
        </w:rPr>
        <w:t xml:space="preserve">(4) Further context: the word </w:t>
      </w:r>
      <w:r w:rsidRPr="00E323AC">
        <w:rPr>
          <w:rStyle w:val="StyleUnderline"/>
          <w:highlight w:val="green"/>
        </w:rPr>
        <w:t>resolved is used to emphasis</w:t>
      </w:r>
      <w:r w:rsidRPr="00E323AC">
        <w:rPr>
          <w:rStyle w:val="StyleUnderline"/>
        </w:rPr>
        <w:t xml:space="preserve"> the fact </w:t>
      </w:r>
      <w:r w:rsidRPr="00E323AC">
        <w:rPr>
          <w:rStyle w:val="StyleUnderline"/>
          <w:highlight w:val="green"/>
        </w:rPr>
        <w:t>that it's policy debate</w:t>
      </w:r>
      <w:r w:rsidRPr="00E323AC">
        <w:rPr>
          <w:rStyle w:val="StyleUnderline"/>
        </w:rPr>
        <w:t xml:space="preserve">. Resolved comes from the adoption of resolutions by legislative bodies. A resolution is either adopted or it is not. It's a question before a legislative body. Should this statement be adopted or not. (5) </w:t>
      </w:r>
      <w:r w:rsidRPr="00E323AC">
        <w:rPr>
          <w:rStyle w:val="StyleUnderline"/>
          <w:highlight w:val="green"/>
        </w:rPr>
        <w:t>The</w:t>
      </w:r>
      <w:r w:rsidRPr="00E323AC">
        <w:rPr>
          <w:rStyle w:val="StyleUnderline"/>
        </w:rPr>
        <w:t xml:space="preserve"> very </w:t>
      </w:r>
      <w:r w:rsidRPr="00E323AC">
        <w:rPr>
          <w:rStyle w:val="StyleUnderline"/>
          <w:highlight w:val="green"/>
        </w:rPr>
        <w:t>terms 'affirmative' and 'negative' support</w:t>
      </w:r>
      <w:r w:rsidRPr="00E323AC">
        <w:rPr>
          <w:rStyle w:val="StyleUnderline"/>
        </w:rPr>
        <w:t xml:space="preserve"> my view</w:t>
      </w:r>
      <w:r w:rsidRPr="00C04F3B">
        <w:rPr>
          <w:sz w:val="16"/>
        </w:rPr>
        <w:t xml:space="preserve">. One affirms a resolution. Affirmative and negative are the equivalents of 'yes' or 'no' - which, of course, are answers to a question.   </w:t>
      </w:r>
    </w:p>
    <w:p w14:paraId="50BC2EBE" w14:textId="77777777" w:rsidR="00EA6E98" w:rsidRPr="00CB688D" w:rsidRDefault="00EA6E98" w:rsidP="00EA6E98">
      <w:pPr>
        <w:pStyle w:val="Heading4"/>
      </w:pPr>
      <w:r w:rsidRPr="00CB688D">
        <w:t>Private company is defined as</w:t>
      </w:r>
    </w:p>
    <w:p w14:paraId="5E5A1CDE" w14:textId="77777777" w:rsidR="00EA6E98" w:rsidRPr="001605FB" w:rsidRDefault="00EA6E98" w:rsidP="00EA6E98">
      <w:pPr>
        <w:rPr>
          <w:rStyle w:val="Style13ptBold"/>
        </w:rPr>
      </w:pPr>
      <w:r w:rsidRPr="001605FB">
        <w:rPr>
          <w:rStyle w:val="Style13ptBold"/>
        </w:rPr>
        <w:t>Chen 21</w:t>
      </w:r>
    </w:p>
    <w:p w14:paraId="4212556D" w14:textId="77777777" w:rsidR="00EA6E98" w:rsidRPr="00CB688D" w:rsidRDefault="00EA6E98" w:rsidP="00EA6E98">
      <w:r w:rsidRPr="00CB688D">
        <w:t>Learn about Private Companies, https://www.investopedia.com/terms/p/privatecompany.asp, Investopedia,</w:t>
      </w:r>
    </w:p>
    <w:p w14:paraId="54641C33" w14:textId="77777777" w:rsidR="00EA6E98" w:rsidRDefault="00EA6E98" w:rsidP="00EA6E98">
      <w:pPr>
        <w:rPr>
          <w:sz w:val="14"/>
        </w:rPr>
      </w:pPr>
      <w:r w:rsidRPr="001605FB">
        <w:rPr>
          <w:rStyle w:val="Emphasis"/>
          <w:highlight w:val="green"/>
        </w:rPr>
        <w:t>A private company is a firm held under private ownership</w:t>
      </w:r>
      <w:r w:rsidRPr="00CB688D">
        <w:rPr>
          <w:sz w:val="14"/>
        </w:rPr>
        <w:t>. Private companies may issue stock and have shareholders, but their shares do not trade on public exchanges and are not issued through an </w:t>
      </w:r>
      <w:hyperlink r:id="rId7" w:history="1">
        <w:r w:rsidRPr="00CB688D">
          <w:rPr>
            <w:rStyle w:val="Hyperlink"/>
            <w:sz w:val="14"/>
          </w:rPr>
          <w:t>initial public offering</w:t>
        </w:r>
      </w:hyperlink>
      <w:r w:rsidRPr="00CB688D">
        <w:rPr>
          <w:sz w:val="14"/>
        </w:rPr>
        <w:t> (IPO). As a result, private firms do not need to meet the Securities and Exchange Commission's (SEC) strict filing requirements for </w:t>
      </w:r>
      <w:hyperlink r:id="rId8" w:history="1">
        <w:r w:rsidRPr="00CB688D">
          <w:rPr>
            <w:rStyle w:val="Hyperlink"/>
            <w:sz w:val="14"/>
          </w:rPr>
          <w:t>public companies</w:t>
        </w:r>
      </w:hyperlink>
      <w:r w:rsidRPr="00CB688D">
        <w:rPr>
          <w:sz w:val="14"/>
        </w:rPr>
        <w:t>. In general, the shares of these businesses are less liquid, and their </w:t>
      </w:r>
      <w:hyperlink r:id="rId9" w:history="1">
        <w:r w:rsidRPr="00CB688D">
          <w:rPr>
            <w:rStyle w:val="Hyperlink"/>
            <w:sz w:val="14"/>
          </w:rPr>
          <w:t>valuations</w:t>
        </w:r>
      </w:hyperlink>
      <w:r w:rsidRPr="00CB688D">
        <w:rPr>
          <w:sz w:val="14"/>
        </w:rPr>
        <w:t> are more difficult to determine.</w:t>
      </w:r>
    </w:p>
    <w:p w14:paraId="1F9AB60F" w14:textId="77777777" w:rsidR="00EA6E98" w:rsidRPr="00CB688D" w:rsidRDefault="00EA6E98" w:rsidP="00EA6E98">
      <w:pPr>
        <w:pStyle w:val="Heading4"/>
      </w:pPr>
      <w:r>
        <w:t>Merriam-webster defines outer space</w:t>
      </w:r>
    </w:p>
    <w:p w14:paraId="0D4715A6" w14:textId="77777777" w:rsidR="00EA6E98" w:rsidRPr="001605FB" w:rsidRDefault="00EA6E98" w:rsidP="00EA6E98">
      <w:pPr>
        <w:rPr>
          <w:rStyle w:val="Style13ptBold"/>
        </w:rPr>
      </w:pPr>
      <w:r w:rsidRPr="001605FB">
        <w:rPr>
          <w:rStyle w:val="Style13ptBold"/>
        </w:rPr>
        <w:t>Merriam-Webster ND</w:t>
      </w:r>
    </w:p>
    <w:p w14:paraId="7B163D9E" w14:textId="77777777" w:rsidR="00EA6E98" w:rsidRDefault="00F61427" w:rsidP="00EA6E98">
      <w:pPr>
        <w:rPr>
          <w:sz w:val="12"/>
        </w:rPr>
      </w:pPr>
      <w:hyperlink r:id="rId10" w:history="1">
        <w:r w:rsidR="00EA6E98" w:rsidRPr="0085243F">
          <w:rPr>
            <w:rStyle w:val="Hyperlink"/>
            <w:sz w:val="12"/>
          </w:rPr>
          <w:t>https://www.merriam-webster.com/dictionary/outer%20space</w:t>
        </w:r>
      </w:hyperlink>
    </w:p>
    <w:p w14:paraId="1F46DF12" w14:textId="77777777" w:rsidR="00EA6E98" w:rsidRPr="006457E6" w:rsidRDefault="00EA6E98" w:rsidP="00EA6E98">
      <w:pPr>
        <w:spacing w:after="0" w:line="240" w:lineRule="auto"/>
      </w:pPr>
      <w:r w:rsidRPr="001605FB">
        <w:rPr>
          <w:rStyle w:val="Emphasis"/>
          <w:highlight w:val="green"/>
        </w:rPr>
        <w:t>: space immediately outside the earth</w:t>
      </w:r>
      <w:r w:rsidRPr="001605FB">
        <w:rPr>
          <w:rStyle w:val="Emphasis"/>
        </w:rPr>
        <w:t>'s</w:t>
      </w:r>
      <w:r w:rsidRPr="001605FB">
        <w:rPr>
          <w:rFonts w:ascii="Open Sans" w:eastAsia="Times New Roman" w:hAnsi="Open Sans" w:cs="Open Sans"/>
          <w:color w:val="303336"/>
          <w:spacing w:val="3"/>
          <w:sz w:val="27"/>
          <w:szCs w:val="27"/>
          <w:bdr w:val="none" w:sz="0" w:space="0" w:color="auto" w:frame="1"/>
          <w:shd w:val="clear" w:color="auto" w:fill="FFFFFF"/>
        </w:rPr>
        <w:t xml:space="preserve"> </w:t>
      </w:r>
      <w:r w:rsidRPr="001605FB">
        <w:t>atmosphe</w:t>
      </w:r>
      <w:r w:rsidRPr="006457E6">
        <w:t>re</w:t>
      </w:r>
      <w:r>
        <w:t xml:space="preserve"> </w:t>
      </w:r>
      <w:r w:rsidRPr="006457E6">
        <w:t>broadly : interplanetary or interstellar space</w:t>
      </w:r>
    </w:p>
    <w:p w14:paraId="7CE87500" w14:textId="77777777" w:rsidR="00EA6E98" w:rsidRDefault="00EA6E98" w:rsidP="00EA6E98">
      <w:pPr>
        <w:rPr>
          <w:rStyle w:val="Style13ptBold"/>
        </w:rPr>
      </w:pPr>
    </w:p>
    <w:p w14:paraId="40338859" w14:textId="77777777" w:rsidR="00EA6E98" w:rsidRPr="004C4083" w:rsidRDefault="00EA6E98" w:rsidP="00EA6E98">
      <w:pPr>
        <w:pStyle w:val="Heading4"/>
        <w:rPr>
          <w:rFonts w:cs="Calibri"/>
        </w:rPr>
      </w:pPr>
      <w:r w:rsidRPr="00B60F3E">
        <w:rPr>
          <w:rStyle w:val="Style13ptBold"/>
          <w:b/>
        </w:rPr>
        <w:t>Violation:</w:t>
      </w:r>
      <w:r>
        <w:rPr>
          <w:rStyle w:val="Style13ptBold"/>
        </w:rPr>
        <w:t xml:space="preserve"> </w:t>
      </w:r>
      <w:r>
        <w:rPr>
          <w:rStyle w:val="Style13ptBold"/>
          <w:color w:val="FF0000"/>
        </w:rPr>
        <w:t xml:space="preserve">you defend </w:t>
      </w:r>
      <w:r w:rsidRPr="004C4083">
        <w:rPr>
          <w:rFonts w:cs="Calibri"/>
        </w:rPr>
        <w:t xml:space="preserve">Vote aff to engage in </w:t>
      </w:r>
      <w:r w:rsidRPr="004C4083">
        <w:rPr>
          <w:rFonts w:cs="Calibri"/>
          <w:u w:val="single"/>
        </w:rPr>
        <w:t>post-capitalist realism</w:t>
      </w:r>
      <w:r w:rsidRPr="004C4083">
        <w:rPr>
          <w:rFonts w:cs="Calibri"/>
        </w:rPr>
        <w:t>. By making the normative statement that private appropriation of outer space is unjust, we invert capitalist realism and reveal the necessity of a post-capitalist society.</w:t>
      </w:r>
    </w:p>
    <w:p w14:paraId="7CDD7B6E" w14:textId="14029B05" w:rsidR="00EA6E98" w:rsidRDefault="00EA6E98" w:rsidP="00EA6E98">
      <w:pPr>
        <w:pStyle w:val="Heading4"/>
        <w:rPr>
          <w:rStyle w:val="Style13ptBold"/>
        </w:rPr>
      </w:pPr>
    </w:p>
    <w:p w14:paraId="57D523AB" w14:textId="77777777" w:rsidR="00EA6E98" w:rsidRPr="00B60F3E" w:rsidRDefault="00EA6E98" w:rsidP="00EA6E98">
      <w:pPr>
        <w:pStyle w:val="Heading4"/>
      </w:pPr>
      <w:r w:rsidRPr="00B60F3E">
        <w:t>Standards:</w:t>
      </w:r>
    </w:p>
    <w:p w14:paraId="26C648F0" w14:textId="77777777" w:rsidR="00EA6E98" w:rsidRDefault="00EA6E98" w:rsidP="00EA6E98">
      <w:pPr>
        <w:pStyle w:val="Heading4"/>
        <w:rPr>
          <w:rFonts w:cs="Calibri"/>
        </w:rPr>
      </w:pPr>
      <w:r>
        <w:t xml:space="preserve">1] </w:t>
      </w:r>
      <w:r w:rsidRPr="00E17DDD">
        <w:rPr>
          <w:u w:val="single"/>
        </w:rPr>
        <w:t xml:space="preserve">Procedural </w:t>
      </w:r>
      <w:r>
        <w:rPr>
          <w:u w:val="single"/>
        </w:rPr>
        <w:t>F</w:t>
      </w:r>
      <w:r w:rsidRPr="00561D16">
        <w:rPr>
          <w:u w:val="single"/>
        </w:rPr>
        <w:t>airness</w:t>
      </w:r>
      <w:r>
        <w:t xml:space="preserve"> – </w:t>
      </w:r>
      <w:r w:rsidRPr="00453186">
        <w:rPr>
          <w:rFonts w:cs="Calibri"/>
        </w:rPr>
        <w:t xml:space="preserve">their model has no resolutional bound and creates the possibility for literally an infinite number of 1ACs. </w:t>
      </w:r>
      <w:r>
        <w:rPr>
          <w:rFonts w:cs="Calibri"/>
        </w:rPr>
        <w:t>It allows</w:t>
      </w:r>
      <w:r w:rsidRPr="00453186">
        <w:rPr>
          <w:rFonts w:cs="Calibri"/>
        </w:rPr>
        <w:t xml:space="preserve"> someone to specialize in one area 4 years giving a huge edge over people who switch research focus ever 2 months</w:t>
      </w:r>
      <w:r>
        <w:rPr>
          <w:rFonts w:cs="Calibri"/>
        </w:rPr>
        <w:t xml:space="preserve"> b] that means they don’t get to weigh the Aff – they’re only winning args under it because they’ve </w:t>
      </w:r>
      <w:r w:rsidRPr="00C44509">
        <w:rPr>
          <w:rFonts w:cs="Calibri"/>
          <w:u w:val="single"/>
        </w:rPr>
        <w:t>precluded</w:t>
      </w:r>
      <w:r>
        <w:rPr>
          <w:rFonts w:cs="Calibri"/>
          <w:u w:val="single"/>
        </w:rPr>
        <w:t xml:space="preserve"> engagement</w:t>
      </w:r>
    </w:p>
    <w:p w14:paraId="1FE8F5A8" w14:textId="77777777" w:rsidR="00EA6E98" w:rsidRPr="00B60F3E" w:rsidRDefault="00EA6E98" w:rsidP="00EA6E98">
      <w:pPr>
        <w:pStyle w:val="Heading4"/>
      </w:pPr>
      <w:r>
        <w:t>2</w:t>
      </w:r>
      <w:r w:rsidRPr="00B60F3E">
        <w:t>] Jurisdiction -- if you are not debating the rez, you are not following the pre-set resolution burden meaning the judge cannot vote aff since there was literally not an aff</w:t>
      </w:r>
    </w:p>
    <w:p w14:paraId="4724F909" w14:textId="77777777" w:rsidR="00EA6E98" w:rsidRDefault="00EA6E98" w:rsidP="00EA6E98">
      <w:pPr>
        <w:pStyle w:val="Heading4"/>
      </w:pPr>
      <w:r>
        <w:t>3</w:t>
      </w:r>
      <w:r w:rsidRPr="00B60F3E">
        <w:t xml:space="preserve">] Switch Side Debate – </w:t>
      </w:r>
      <w:r>
        <w:t xml:space="preserve">a] </w:t>
      </w:r>
      <w:r w:rsidRPr="00B60F3E">
        <w:t>read your stuff on the neg which non-uniques your offense and is net better since a Kritik on the neg has to be tailored to the aff– otherwise your discussion starts and ends at the 1AC.</w:t>
      </w:r>
      <w:r>
        <w:t xml:space="preserve"> b] their model allows them to </w:t>
      </w:r>
      <w:r>
        <w:rPr>
          <w:u w:val="single"/>
        </w:rPr>
        <w:t>side-step</w:t>
      </w:r>
      <w:r>
        <w:t xml:space="preserve"> the topic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w:t>
      </w:r>
    </w:p>
    <w:p w14:paraId="7072A14A" w14:textId="77777777" w:rsidR="00EA6E98" w:rsidRDefault="00EA6E98" w:rsidP="00EA6E98">
      <w:pPr>
        <w:pStyle w:val="Heading4"/>
      </w:pPr>
      <w:r>
        <w:t xml:space="preserve">4] </w:t>
      </w:r>
      <w:r w:rsidRPr="005373CD">
        <w:rPr>
          <w:u w:val="single"/>
        </w:rPr>
        <w:t>Real-world ed</w:t>
      </w:r>
      <w:r>
        <w:t xml:space="preserve">.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78A2779C" w14:textId="77777777" w:rsidR="00EA6E98" w:rsidRPr="007C580E" w:rsidRDefault="00EA6E98" w:rsidP="00EA6E98">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0BD392E3" w14:textId="77777777" w:rsidR="00EA6E98" w:rsidRPr="007C580E" w:rsidRDefault="00EA6E98" w:rsidP="00EA6E98">
      <w:pPr>
        <w:rPr>
          <w:sz w:val="16"/>
        </w:rPr>
      </w:pPr>
      <w:r w:rsidRPr="00BA4EFB">
        <w:rPr>
          <w:rStyle w:val="StyleUnderline"/>
          <w:highlight w:val="green"/>
        </w:rPr>
        <w:t>Political justice lawyers must be able to break</w:t>
      </w:r>
      <w:r w:rsidRPr="005278CD">
        <w:rPr>
          <w:rStyle w:val="StyleUnderline"/>
        </w:rPr>
        <w:t xml:space="preserve"> apart </w:t>
      </w:r>
      <w:r w:rsidRPr="00BA4EFB">
        <w:rPr>
          <w:rStyle w:val="StyleUnderline"/>
          <w:highlight w:val="green"/>
        </w:rPr>
        <w:t xml:space="preserve">a systemic problem </w:t>
      </w:r>
      <w:r w:rsidRPr="00BA4EFB">
        <w:rPr>
          <w:rStyle w:val="StyleUnderline"/>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BA4EFB">
        <w:rPr>
          <w:rStyle w:val="StyleUnderline"/>
          <w:highlight w:val="green"/>
        </w:rPr>
        <w:t xml:space="preserve">advocates must </w:t>
      </w:r>
      <w:r w:rsidRPr="005278CD">
        <w:rPr>
          <w:rStyle w:val="StyleUnderline"/>
        </w:rPr>
        <w:t xml:space="preserve">be able to </w:t>
      </w:r>
      <w:r w:rsidRPr="00BA4EFB">
        <w:rPr>
          <w:rStyle w:val="Emphasis"/>
          <w:highlight w:val="green"/>
        </w:rPr>
        <w:t>break apart</w:t>
      </w:r>
      <w:r w:rsidRPr="00BA4EFB">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BA4EFB">
        <w:rPr>
          <w:rStyle w:val="Emphasis"/>
          <w:highlight w:val="green"/>
        </w:rPr>
        <w:t>more manageable</w:t>
      </w:r>
      <w:r w:rsidRPr="005278CD">
        <w:rPr>
          <w:sz w:val="16"/>
        </w:rPr>
        <w:t>—and more realistic—</w:t>
      </w:r>
      <w:r w:rsidRPr="00BA4EFB">
        <w:rPr>
          <w:rStyle w:val="Emphasis"/>
          <w:highlight w:val="green"/>
        </w:rPr>
        <w:t xml:space="preserve">than </w:t>
      </w:r>
      <w:r w:rsidRPr="00BA4EFB">
        <w:rPr>
          <w:rStyle w:val="Emphasis"/>
          <w:highlight w:val="green"/>
          <w:bdr w:val="single" w:sz="4" w:space="0" w:color="auto"/>
        </w:rPr>
        <w:t>acting as though there is a single lever</w:t>
      </w:r>
      <w:r w:rsidRPr="00BA4EFB">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BA4EFB">
        <w:rPr>
          <w:rStyle w:val="StyleUnderline"/>
          <w:highlight w:val="green"/>
        </w:rPr>
        <w:t>Advocates must</w:t>
      </w:r>
      <w:r w:rsidRPr="00BA4EFB">
        <w:rPr>
          <w:sz w:val="16"/>
          <w:highlight w:val="green"/>
        </w:rPr>
        <w:t xml:space="preserve"> </w:t>
      </w:r>
      <w:r w:rsidRPr="005278CD">
        <w:rPr>
          <w:sz w:val="16"/>
        </w:rPr>
        <w:t xml:space="preserve">also </w:t>
      </w:r>
      <w:r w:rsidRPr="00BA4EFB">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BA4EFB">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BA4EFB">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BA4EFB">
        <w:rPr>
          <w:rStyle w:val="StyleUnderline"/>
          <w:highlight w:val="green"/>
        </w:rPr>
        <w:t xml:space="preserve">Advocates </w:t>
      </w:r>
      <w:r w:rsidRPr="005278CD">
        <w:rPr>
          <w:rStyle w:val="StyleUnderline"/>
        </w:rPr>
        <w:t xml:space="preserve">challenging complex social justice problems </w:t>
      </w:r>
      <w:r w:rsidRPr="00BA4EFB">
        <w:rPr>
          <w:rStyle w:val="StyleUnderline"/>
          <w:highlight w:val="green"/>
        </w:rPr>
        <w:t xml:space="preserve">can </w:t>
      </w:r>
      <w:r w:rsidRPr="00BA4EFB">
        <w:rPr>
          <w:rStyle w:val="Emphasis"/>
          <w:highlight w:val="green"/>
        </w:rPr>
        <w:t>find it difficult to identify the correct solution</w:t>
      </w:r>
      <w:r w:rsidRPr="00BA4EFB">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BA4EFB">
        <w:rPr>
          <w:rStyle w:val="Emphasis"/>
          <w:highlight w:val="green"/>
        </w:rPr>
        <w:t xml:space="preserve">students are not often forced to struggle through </w:t>
      </w:r>
      <w:r w:rsidRPr="005278CD">
        <w:rPr>
          <w:rStyle w:val="Emphasis"/>
        </w:rPr>
        <w:t xml:space="preserve">them to </w:t>
      </w:r>
      <w:r w:rsidRPr="00BA4EFB">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BA4EFB">
        <w:rPr>
          <w:rStyle w:val="Emphasis"/>
          <w:highlight w:val="green"/>
        </w:rPr>
        <w:t>large-scale fact investigation</w:t>
      </w:r>
      <w:r w:rsidRPr="00BA4EFB">
        <w:rPr>
          <w:sz w:val="16"/>
          <w:highlight w:val="green"/>
          <w:u w:val="single"/>
        </w:rPr>
        <w:t xml:space="preserve">; </w:t>
      </w:r>
      <w:r w:rsidRPr="00BA4EFB">
        <w:rPr>
          <w:rStyle w:val="Emphasis"/>
          <w:highlight w:val="green"/>
        </w:rPr>
        <w:t>transferring</w:t>
      </w:r>
      <w:r w:rsidRPr="00BA4EFB">
        <w:rPr>
          <w:sz w:val="16"/>
          <w:highlight w:val="green"/>
        </w:rPr>
        <w:t xml:space="preserve"> </w:t>
      </w:r>
      <w:r w:rsidRPr="005278CD">
        <w:rPr>
          <w:sz w:val="16"/>
        </w:rPr>
        <w:t>their “</w:t>
      </w:r>
      <w:r w:rsidRPr="005278CD">
        <w:rPr>
          <w:rStyle w:val="StyleUnderline"/>
        </w:rPr>
        <w:t xml:space="preserve">social justice </w:t>
      </w:r>
      <w:r w:rsidRPr="00BA4EFB">
        <w:rPr>
          <w:rStyle w:val="Emphasis"/>
          <w:highlight w:val="green"/>
        </w:rPr>
        <w:t>knowledge</w:t>
      </w:r>
      <w:r w:rsidRPr="00BA4EFB">
        <w:rPr>
          <w:sz w:val="16"/>
          <w:highlight w:val="green"/>
          <w:u w:val="single"/>
        </w:rPr>
        <w:t xml:space="preserve">” </w:t>
      </w:r>
      <w:r w:rsidRPr="00BA4EFB">
        <w:rPr>
          <w:rStyle w:val="Emphasis"/>
          <w:highlight w:val="green"/>
        </w:rPr>
        <w:t>to different contexts</w:t>
      </w:r>
      <w:r w:rsidRPr="00BA4EFB">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BA4EFB">
        <w:rPr>
          <w:rStyle w:val="Emphasis"/>
          <w:highlight w:val="green"/>
        </w:rPr>
        <w:t>to advance the cause of justice</w:t>
      </w:r>
      <w:r w:rsidRPr="005278CD">
        <w:rPr>
          <w:sz w:val="16"/>
        </w:rPr>
        <w:t>—</w:t>
      </w:r>
      <w:r w:rsidRPr="00BA4EFB">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BA4EFB">
        <w:rPr>
          <w:rStyle w:val="Emphasis"/>
          <w:highlight w:val="green"/>
          <w:bdr w:val="single" w:sz="4" w:space="0" w:color="auto"/>
        </w:rPr>
        <w:t>the job of legal education</w:t>
      </w:r>
      <w:r w:rsidRPr="00BA4EFB">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4EB6C1A4" w14:textId="77777777" w:rsidR="00EA6E98" w:rsidRDefault="00EA6E98" w:rsidP="00EA6E98">
      <w:pPr>
        <w:pStyle w:val="Heading4"/>
      </w:pPr>
      <w:r>
        <w:t xml:space="preserve">5] </w:t>
      </w:r>
      <w:r w:rsidRPr="005373CD">
        <w:rPr>
          <w:u w:val="single"/>
        </w:rPr>
        <w:t>Familiarity</w:t>
      </w:r>
      <w:r>
        <w:t xml:space="preserve"> – their ideas aren’t stored in long-term memory, and can’t be easily recalled in future scenarios, so the effects of their method are </w:t>
      </w:r>
      <w:r>
        <w:rPr>
          <w:u w:val="single"/>
        </w:rPr>
        <w:t>short-</w:t>
      </w:r>
      <w:r w:rsidRPr="00914057">
        <w:rPr>
          <w:u w:val="single"/>
        </w:rPr>
        <w:t>lived</w:t>
      </w:r>
      <w:r w:rsidRPr="00914057">
        <w:t xml:space="preserve"> </w:t>
      </w:r>
      <w:r>
        <w:t xml:space="preserve">and not retained as valuable information when </w:t>
      </w:r>
      <w:r w:rsidRPr="00AD0DBC">
        <w:rPr>
          <w:u w:val="single"/>
        </w:rPr>
        <w:t>opportunities</w:t>
      </w:r>
      <w:r>
        <w:t xml:space="preserve"> to create real change </w:t>
      </w:r>
      <w:r w:rsidRPr="00AD0DBC">
        <w:rPr>
          <w:u w:val="single"/>
        </w:rPr>
        <w:t>present themselves</w:t>
      </w:r>
      <w:r>
        <w:t xml:space="preserve">. </w:t>
      </w:r>
      <w:r w:rsidRPr="005373CD">
        <w:rPr>
          <w:u w:val="single"/>
        </w:rPr>
        <w:t>Not disclosing supercharges this link</w:t>
      </w:r>
      <w:r>
        <w:t>.</w:t>
      </w:r>
    </w:p>
    <w:p w14:paraId="542F8CBD" w14:textId="77777777" w:rsidR="00EA6E98" w:rsidRDefault="00EA6E98" w:rsidP="00EA6E98">
      <w:pPr>
        <w:spacing w:line="256" w:lineRule="auto"/>
        <w:rPr>
          <w:rFonts w:eastAsia="Cambria"/>
          <w:b/>
          <w:bCs/>
          <w:sz w:val="26"/>
        </w:rPr>
      </w:pPr>
      <w:r w:rsidRPr="00F76E1A">
        <w:rPr>
          <w:rFonts w:eastAsia="Cambria"/>
          <w:b/>
          <w:bCs/>
          <w:sz w:val="26"/>
        </w:rPr>
        <w:t xml:space="preserve">Goodin and Niemeyer </w:t>
      </w:r>
      <w:r>
        <w:rPr>
          <w:rFonts w:eastAsia="Cambria"/>
          <w:b/>
          <w:bCs/>
          <w:sz w:val="26"/>
        </w:rPr>
        <w:t>0</w:t>
      </w:r>
      <w:r w:rsidRPr="00F76E1A">
        <w:rPr>
          <w:rFonts w:eastAsia="Cambria"/>
          <w:b/>
          <w:bCs/>
          <w:sz w:val="26"/>
        </w:rPr>
        <w:t>3</w:t>
      </w:r>
    </w:p>
    <w:p w14:paraId="3F371889" w14:textId="77777777" w:rsidR="00EA6E98" w:rsidRPr="00137883" w:rsidRDefault="00EA6E98" w:rsidP="00EA6E98">
      <w:pPr>
        <w:spacing w:line="256" w:lineRule="auto"/>
        <w:rPr>
          <w:rFonts w:eastAsia="Cambria"/>
          <w:sz w:val="12"/>
          <w:szCs w:val="12"/>
        </w:rPr>
      </w:pPr>
      <w:r w:rsidRPr="00137883">
        <w:rPr>
          <w:rFonts w:eastAsia="Cambria"/>
          <w:sz w:val="12"/>
          <w:szCs w:val="12"/>
        </w:rPr>
        <w:t xml:space="preserve">Robert E. Goodin and Simon J. Niemeyer- Australian National University- 2003, When Does Deliberation Begin? Internal Reflection versus Public Discussion in Deliberative Democracy, POLITICAL STUDIES: 2003 VOL 51, 627–649, </w:t>
      </w:r>
      <w:hyperlink r:id="rId11" w:history="1">
        <w:r w:rsidRPr="00137883">
          <w:rPr>
            <w:rStyle w:val="Hyperlink"/>
            <w:rFonts w:eastAsia="Cambria"/>
            <w:sz w:val="12"/>
            <w:szCs w:val="12"/>
          </w:rPr>
          <w:t>http://onlinelibrary.wiley.com/doi/10.1111/j.0032-3217.2003.00450.x/pdf</w:t>
        </w:r>
      </w:hyperlink>
      <w:r w:rsidRPr="00137883">
        <w:rPr>
          <w:rFonts w:eastAsia="Cambria"/>
          <w:sz w:val="12"/>
          <w:szCs w:val="12"/>
        </w:rPr>
        <w:t xml:space="preserve"> -CAT</w:t>
      </w:r>
    </w:p>
    <w:p w14:paraId="3FB50C7F" w14:textId="77777777" w:rsidR="00EA6E98" w:rsidRPr="00914057" w:rsidRDefault="00EA6E98" w:rsidP="00EA6E98">
      <w:pPr>
        <w:spacing w:line="256" w:lineRule="auto"/>
        <w:rPr>
          <w:rFonts w:eastAsia="Cambria"/>
          <w:sz w:val="10"/>
        </w:rPr>
      </w:pPr>
      <w:r w:rsidRPr="002103EB">
        <w:rPr>
          <w:rFonts w:eastAsia="Cambria"/>
          <w:sz w:val="10"/>
        </w:rPr>
        <w:t xml:space="preserve">What happened in this particular case, as in any particular case, was in some respects peculiar unto itself. The problem of the Bloomfield Track had been well known and much discussed in the </w:t>
      </w:r>
      <w:r w:rsidRPr="002103EB">
        <w:rPr>
          <w:sz w:val="10"/>
        </w:rPr>
        <w:t>local community for a long time. Exaggerated claims and counter-claims had become entrenched, and unreflective public opinion polarized around them. In this circumstance, the effect of the information phase of deliberative processes was to brush away those highly polarized attitudes, dispel the myths and symbolic posturing on both sides that had come to dominate the debate, and liberate people to act upon their attitudes toward the protection of rainforest itself. The key point, from the perspective of ‘democratic deliberation within’, is that that happened in the earlier stages of deliberation – before the formal discussions (‘deliberations’, in the discursive sense) of the jury process ever began. The simple process of jurors seeing the site for themselves, focusing their minds</w:t>
      </w:r>
      <w:r w:rsidRPr="002103EB">
        <w:rPr>
          <w:rFonts w:eastAsia="Calibri"/>
          <w:sz w:val="10"/>
        </w:rPr>
        <w:t xml:space="preserve"> on the issues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be something that is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w:t>
      </w:r>
      <w:r w:rsidRPr="004E68B2">
        <w:rPr>
          <w:rFonts w:eastAsia="Calibri"/>
          <w:sz w:val="10"/>
        </w:rPr>
        <w:t xml:space="preserve">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(Lupia,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4E68B2">
        <w:rPr>
          <w:rFonts w:eastAsia="Cambria"/>
          <w:sz w:val="10"/>
        </w:rPr>
        <w:t xml:space="preserve">The suggestion here is that </w:t>
      </w:r>
      <w:r w:rsidRPr="004E68B2">
        <w:rPr>
          <w:rFonts w:eastAsia="Cambria"/>
          <w:u w:val="single"/>
        </w:rPr>
        <w:t>we lead our ordinary lives largely on autopilot, doing routine things in routine ways without</w:t>
      </w:r>
      <w:r w:rsidRPr="00F76E1A">
        <w:rPr>
          <w:rFonts w:eastAsia="Cambria"/>
          <w:u w:val="single"/>
        </w:rPr>
        <w:t xml:space="preserve"> much thought or reflection. </w:t>
      </w:r>
      <w:r w:rsidRPr="00BA4EFB">
        <w:rPr>
          <w:rFonts w:eastAsia="Cambria"/>
          <w:highlight w:val="green"/>
          <w:u w:val="single"/>
        </w:rPr>
        <w:t xml:space="preserve">When we come across something ‘new’, we update </w:t>
      </w:r>
      <w:r w:rsidRPr="00F76E1A">
        <w:rPr>
          <w:rFonts w:eastAsia="Cambria"/>
          <w:u w:val="single"/>
        </w:rPr>
        <w:t xml:space="preserve">our routines – our ‘running’ </w:t>
      </w:r>
      <w:r w:rsidRPr="00BA4EFB">
        <w:rPr>
          <w:rFonts w:eastAsia="Cambria"/>
          <w:highlight w:val="green"/>
          <w:u w:val="single"/>
        </w:rPr>
        <w:t>beliefs</w:t>
      </w:r>
      <w:r w:rsidRPr="00F76E1A">
        <w:rPr>
          <w:rFonts w:eastAsia="Cambria"/>
          <w:u w:val="single"/>
        </w:rPr>
        <w:t xml:space="preserve"> and pro cedures, attitudes and evaluations – accordingly. </w:t>
      </w:r>
      <w:r w:rsidRPr="00BA4EFB">
        <w:rPr>
          <w:rFonts w:eastAsia="Cambria"/>
          <w:highlight w:val="green"/>
          <w:u w:val="single"/>
        </w:rPr>
        <w:t xml:space="preserve">But </w:t>
      </w:r>
      <w:r w:rsidRPr="00F76E1A">
        <w:rPr>
          <w:rFonts w:eastAsia="Cambria"/>
          <w:u w:val="single"/>
        </w:rPr>
        <w:t xml:space="preserve">having updated, we then </w:t>
      </w:r>
      <w:r w:rsidRPr="00BA4EFB">
        <w:rPr>
          <w:rFonts w:eastAsia="Cambria"/>
          <w:highlight w:val="green"/>
          <w:u w:val="single"/>
        </w:rPr>
        <w:t>drop the impetus for the update into deep-stored ‘memory’</w:t>
      </w:r>
      <w:r w:rsidRPr="002103EB">
        <w:rPr>
          <w:rFonts w:eastAsia="Cambria"/>
          <w:sz w:val="10"/>
        </w:rPr>
        <w:t xml:space="preserve">. A consequence of this procedure is that, </w:t>
      </w:r>
      <w:r w:rsidRPr="00F76E1A">
        <w:rPr>
          <w:rFonts w:eastAsia="Cambria"/>
          <w:u w:val="single"/>
        </w:rPr>
        <w:t xml:space="preserve">when asked in the ordinary course of events ‘what we believe’ </w:t>
      </w:r>
      <w:r w:rsidRPr="002103EB">
        <w:rPr>
          <w:rFonts w:eastAsia="Cambria"/>
          <w:sz w:val="10"/>
        </w:rPr>
        <w:t>or</w:t>
      </w:r>
      <w:r w:rsidRPr="00F76E1A">
        <w:rPr>
          <w:rFonts w:eastAsia="Cambria"/>
          <w:u w:val="single"/>
        </w:rPr>
        <w:t xml:space="preserve"> </w:t>
      </w:r>
      <w:r w:rsidRPr="002103EB">
        <w:rPr>
          <w:rFonts w:eastAsia="Cambria"/>
          <w:sz w:val="10"/>
        </w:rPr>
        <w:t xml:space="preserve">‘what attitude we take’ toward something, </w:t>
      </w:r>
      <w:r w:rsidRPr="00BA4EFB">
        <w:rPr>
          <w:rFonts w:eastAsia="Cambria"/>
          <w:highlight w:val="green"/>
          <w:u w:val="single"/>
        </w:rPr>
        <w:t xml:space="preserve">we easily retrieve what we think but </w:t>
      </w:r>
      <w:r w:rsidRPr="00F76E1A">
        <w:rPr>
          <w:rFonts w:eastAsia="Cambria"/>
          <w:u w:val="single"/>
        </w:rPr>
        <w:t xml:space="preserve">we </w:t>
      </w:r>
      <w:r w:rsidRPr="00BA4EFB">
        <w:rPr>
          <w:rFonts w:eastAsia="Cambria"/>
          <w:highlight w:val="green"/>
          <w:u w:val="single"/>
        </w:rPr>
        <w:t xml:space="preserve">cannot </w:t>
      </w:r>
      <w:r w:rsidRPr="00F76E1A">
        <w:rPr>
          <w:rFonts w:eastAsia="Cambria"/>
          <w:u w:val="single"/>
        </w:rPr>
        <w:t xml:space="preserve">so easily </w:t>
      </w:r>
      <w:r w:rsidRPr="00BA4EFB">
        <w:rPr>
          <w:rFonts w:eastAsia="Cambria"/>
          <w:highlight w:val="green"/>
          <w:u w:val="single"/>
        </w:rPr>
        <w:t xml:space="preserve">retrieve </w:t>
      </w:r>
      <w:r w:rsidRPr="00F76E1A">
        <w:rPr>
          <w:rFonts w:eastAsia="Cambria"/>
          <w:u w:val="single"/>
        </w:rPr>
        <w:t xml:space="preserve">the </w:t>
      </w:r>
      <w:r w:rsidRPr="00BA4EFB">
        <w:rPr>
          <w:rFonts w:eastAsia="Cambria"/>
          <w:highlight w:val="green"/>
          <w:u w:val="single"/>
        </w:rPr>
        <w:t>reasons why</w:t>
      </w:r>
      <w:r w:rsidRPr="00BA4EFB">
        <w:rPr>
          <w:rFonts w:eastAsia="Cambria"/>
          <w:sz w:val="10"/>
          <w:highlight w:val="green"/>
        </w:rPr>
        <w:t>.</w:t>
      </w:r>
      <w:r w:rsidRPr="002103EB">
        <w:rPr>
          <w:rFonts w:eastAsia="Cambria"/>
          <w:sz w:val="10"/>
        </w:rPr>
        <w:t xml:space="preserve"> </w:t>
      </w:r>
      <w:r w:rsidRPr="00BA4EFB">
        <w:rPr>
          <w:rFonts w:eastAsia="Cambria"/>
          <w:highlight w:val="green"/>
          <w:u w:val="single"/>
        </w:rPr>
        <w:t>That</w:t>
      </w:r>
      <w:r w:rsidRPr="00F76E1A">
        <w:rPr>
          <w:rFonts w:eastAsia="Cambria"/>
          <w:u w:val="single"/>
        </w:rPr>
        <w:t xml:space="preserve"> more </w:t>
      </w:r>
      <w:r w:rsidRPr="00BA4EFB">
        <w:rPr>
          <w:rFonts w:eastAsia="Cambria"/>
          <w:highlight w:val="green"/>
          <w:u w:val="single"/>
        </w:rPr>
        <w:t>fully reasoned assessment</w:t>
      </w:r>
      <w:r w:rsidRPr="00F76E1A">
        <w:rPr>
          <w:rFonts w:eastAsia="Cambria"/>
          <w:u w:val="single"/>
        </w:rPr>
        <w:t xml:space="preserve"> – the sort of thing we have been calling internal-reflective deliberation – </w:t>
      </w:r>
      <w:r w:rsidRPr="00BA4EFB">
        <w:rPr>
          <w:rFonts w:eastAsia="Cambria"/>
          <w:highlight w:val="green"/>
          <w:u w:val="single"/>
        </w:rPr>
        <w:t>requires us to call up reasons</w:t>
      </w:r>
      <w:r w:rsidRPr="00F76E1A">
        <w:rPr>
          <w:rFonts w:eastAsia="Cambria"/>
          <w:u w:val="single"/>
        </w:rPr>
        <w:t xml:space="preserve"> from stored memory </w:t>
      </w:r>
      <w:r w:rsidRPr="00BA4EFB">
        <w:rPr>
          <w:rFonts w:eastAsia="Cambria"/>
          <w:highlight w:val="green"/>
          <w:u w:val="single"/>
        </w:rPr>
        <w:t>rather than</w:t>
      </w:r>
      <w:r w:rsidRPr="00F76E1A">
        <w:rPr>
          <w:rFonts w:eastAsia="Cambria"/>
          <w:u w:val="single"/>
        </w:rPr>
        <w:t xml:space="preserve"> just </w:t>
      </w:r>
      <w:r w:rsidRPr="00BA4EFB">
        <w:rPr>
          <w:rFonts w:eastAsia="Cambria"/>
          <w:highlight w:val="green"/>
          <w:u w:val="single"/>
        </w:rPr>
        <w:t>consulting our</w:t>
      </w:r>
      <w:r w:rsidRPr="00F76E1A">
        <w:rPr>
          <w:rFonts w:eastAsia="Cambria"/>
          <w:u w:val="single"/>
        </w:rPr>
        <w:t xml:space="preserve"> running on-line ‘</w:t>
      </w:r>
      <w:r w:rsidRPr="00BA4EFB">
        <w:rPr>
          <w:rFonts w:eastAsia="Cambria"/>
          <w:highlight w:val="green"/>
          <w:u w:val="single"/>
        </w:rPr>
        <w:t>summary judgments’</w:t>
      </w:r>
      <w:r w:rsidRPr="00F76E1A">
        <w:rPr>
          <w:rFonts w:eastAsia="Cambria"/>
          <w:u w:val="single"/>
        </w:rPr>
        <w:t xml:space="preserve">. </w:t>
      </w:r>
      <w:r w:rsidRPr="002103EB">
        <w:rPr>
          <w:rFonts w:eastAsia="Calibri"/>
          <w:sz w:val="10"/>
        </w:rPr>
        <w:t xml:space="preserve">Crucially for our present </w:t>
      </w:r>
      <w:r w:rsidRPr="002103EB">
        <w:rPr>
          <w:sz w:val="10"/>
        </w:rPr>
        <w:t>discussion, once again, what prompts that shift from online to more deeply reflective deliberation is not necessarily interpersonal discussion. The impetus for fixing one’s attention on a topic, and retrieving reasons from stored memory, might come from any of a number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 elements of the pre-discursive process are likely to prove crucial to the shaping and reshaping of people’s attitudes</w:t>
      </w:r>
      <w:r w:rsidRPr="002103EB">
        <w:rPr>
          <w:rFonts w:eastAsia="Cambria"/>
          <w:sz w:val="10"/>
        </w:rPr>
        <w:t xml:space="preserve"> in a citizens’ jury-style process. </w:t>
      </w:r>
      <w:r w:rsidRPr="00F76E1A">
        <w:rPr>
          <w:rFonts w:eastAsia="Cambria"/>
          <w:u w:val="single"/>
        </w:rPr>
        <w:t xml:space="preserve">The initial processes of </w:t>
      </w:r>
      <w:r w:rsidRPr="00BA4EFB">
        <w:rPr>
          <w:rFonts w:eastAsia="Cambria"/>
          <w:highlight w:val="green"/>
          <w:u w:val="single"/>
        </w:rPr>
        <w:t>focusing attention on a topic</w:t>
      </w:r>
      <w:r w:rsidRPr="00F76E1A">
        <w:rPr>
          <w:rFonts w:eastAsia="Cambria"/>
          <w:u w:val="single"/>
        </w:rPr>
        <w:t xml:space="preserve">, </w:t>
      </w:r>
      <w:r w:rsidRPr="00BA4EFB">
        <w:rPr>
          <w:rFonts w:eastAsia="Cambria"/>
          <w:highlight w:val="green"/>
          <w:u w:val="single"/>
        </w:rPr>
        <w:t>providing information</w:t>
      </w:r>
      <w:r w:rsidRPr="00F76E1A">
        <w:rPr>
          <w:rFonts w:eastAsia="Cambria"/>
          <w:u w:val="single"/>
        </w:rPr>
        <w:t xml:space="preserve"> about it </w:t>
      </w:r>
      <w:r w:rsidRPr="00BA4EFB">
        <w:rPr>
          <w:rFonts w:eastAsia="Cambria"/>
          <w:highlight w:val="green"/>
          <w:u w:val="single"/>
        </w:rPr>
        <w:t>and inviting people to think hard</w:t>
      </w:r>
      <w:r w:rsidRPr="00F76E1A">
        <w:rPr>
          <w:rFonts w:eastAsia="Cambria"/>
          <w:u w:val="single"/>
        </w:rPr>
        <w:t xml:space="preserve"> about it </w:t>
      </w:r>
      <w:r w:rsidRPr="00BA4EFB">
        <w:rPr>
          <w:rFonts w:eastAsia="Cambria"/>
          <w:highlight w:val="green"/>
          <w:u w:val="single"/>
        </w:rPr>
        <w:t xml:space="preserve">is </w:t>
      </w:r>
      <w:r w:rsidRPr="00BA4EFB">
        <w:rPr>
          <w:rFonts w:eastAsia="MS Mincho"/>
          <w:b/>
          <w:iCs/>
          <w:szCs w:val="24"/>
          <w:highlight w:val="green"/>
          <w:u w:val="single"/>
        </w:rPr>
        <w:t>likely to provide a strong impetus to internal-reflective deliberation</w:t>
      </w:r>
      <w:r w:rsidRPr="00F76E1A">
        <w:rPr>
          <w:rFonts w:eastAsia="MS Mincho"/>
          <w:b/>
          <w:iCs/>
          <w:szCs w:val="24"/>
          <w:u w:val="single"/>
        </w:rPr>
        <w:t xml:space="preserve">, </w:t>
      </w:r>
      <w:r w:rsidRPr="00BA4EFB">
        <w:rPr>
          <w:rFonts w:eastAsia="MS Mincho"/>
          <w:b/>
          <w:iCs/>
          <w:szCs w:val="24"/>
          <w:highlight w:val="green"/>
          <w:u w:val="single"/>
        </w:rPr>
        <w:t>altering</w:t>
      </w:r>
      <w:r w:rsidRPr="00F76E1A">
        <w:rPr>
          <w:rFonts w:eastAsia="MS Mincho"/>
          <w:b/>
          <w:iCs/>
          <w:szCs w:val="24"/>
          <w:u w:val="single"/>
        </w:rPr>
        <w:t xml:space="preserve"> not just the information people have about the issue but also </w:t>
      </w:r>
      <w:r w:rsidRPr="00BA4EFB">
        <w:rPr>
          <w:rFonts w:eastAsia="MS Mincho"/>
          <w:b/>
          <w:iCs/>
          <w:szCs w:val="24"/>
          <w:highlight w:val="green"/>
          <w:u w:val="single"/>
        </w:rPr>
        <w:t>the way people process that information and</w:t>
      </w:r>
      <w:r w:rsidRPr="00F76E1A">
        <w:rPr>
          <w:rFonts w:eastAsia="MS Mincho"/>
          <w:b/>
          <w:iCs/>
          <w:szCs w:val="24"/>
          <w:u w:val="single"/>
        </w:rPr>
        <w:t xml:space="preserve"> hence (perhaps) </w:t>
      </w:r>
      <w:r w:rsidRPr="00BA4EFB">
        <w:rPr>
          <w:rFonts w:eastAsia="MS Mincho"/>
          <w:b/>
          <w:iCs/>
          <w:szCs w:val="24"/>
          <w:highlight w:val="green"/>
          <w:u w:val="single"/>
        </w:rPr>
        <w:t>what they think</w:t>
      </w:r>
      <w:r w:rsidRPr="00F76E1A">
        <w:rPr>
          <w:rFonts w:eastAsia="Cambria"/>
          <w:u w:val="single"/>
        </w:rPr>
        <w:t xml:space="preserve"> about the issue.</w:t>
      </w:r>
      <w:r w:rsidRPr="002103EB">
        <w:rPr>
          <w:rFonts w:eastAsia="Cambria"/>
          <w:sz w:val="10"/>
        </w:rPr>
        <w:t xml:space="preserve"> </w:t>
      </w:r>
      <w:r w:rsidRPr="002103EB">
        <w:rPr>
          <w:rFonts w:eastAsia="Calibri"/>
          <w:sz w:val="10"/>
        </w:rPr>
        <w:t>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counter-argument, with talk actually changing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rsidRPr="002103EB">
        <w:rPr>
          <w:rFonts w:eastAsia="Cambria"/>
          <w:sz w:val="10"/>
        </w:rPr>
        <w:t xml:space="preserve">ordered deliberative settings? Even in citizens’ juries, deliberation will work only if people are attentive, open and willing to change their minds as appropriate. So, too, in mass politics. </w:t>
      </w:r>
      <w:r w:rsidRPr="002103EB">
        <w:rPr>
          <w:rStyle w:val="StyleUnderline"/>
        </w:rPr>
        <w:t>In citizens’ juries the need to participate (or the anticipation of participating) in formally organized group discussions might be the ‘prompt’ that evokes those attributes.</w:t>
      </w:r>
      <w:r w:rsidRPr="002103EB">
        <w:rPr>
          <w:rFonts w:eastAsia="Cambria"/>
          <w:sz w:val="10"/>
        </w:rPr>
        <w:t xml:space="preserve"> But there might be many other possible ‘prompts’ that can be found in less formally structured mass-political settings. </w:t>
      </w:r>
      <w:r w:rsidRPr="002103EB">
        <w:rPr>
          <w:rStyle w:val="StyleUnderline"/>
        </w:rPr>
        <w:t xml:space="preserve">Here are a few ways citizens’ juries (and all cognate micro-deliberative processes)37 might be different from mass politics, and in which lessons drawn from that experience might not therefore carry over to ordinary politics: • A citizens’ jury concentrates people’s minds on a single issue. Ordinary politics involve many issues at once. • A citizens’ jury is often supplied a background briefing that has been agreed by all stakeholders (Smith and Wales, 2000, p. 58). In ordinary mass politics, there is rarely any equivalent common ground on which debates are conducted. </w:t>
      </w:r>
      <w:r w:rsidRPr="002103EB">
        <w:rPr>
          <w:rFonts w:eastAsia="Cambria"/>
          <w:sz w:val="10"/>
        </w:rPr>
        <w:t xml:space="preserve">• A citizens’ jury separates the process of acquiring information from that of discussing the issues. In ordinary mass politics, those processes are invariably intertwined. • A citizens’ jury is provided with a set of experts. They can be questioned, debated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 </w:t>
      </w:r>
      <w:r w:rsidRPr="002103EB">
        <w:rPr>
          <w:rStyle w:val="StyleUnderline"/>
        </w:rPr>
        <w:t xml:space="preserve">In a citizens’ jury, </w:t>
      </w:r>
      <w:r w:rsidRPr="00BA4EFB">
        <w:rPr>
          <w:rStyle w:val="StyleUnderline"/>
          <w:highlight w:val="green"/>
        </w:rPr>
        <w:t>we think and listen in anticipation of the discussion</w:t>
      </w:r>
      <w:r w:rsidRPr="002103EB">
        <w:rPr>
          <w:rStyle w:val="StyleUnderline"/>
        </w:rPr>
        <w:t xml:space="preserve"> phase, </w:t>
      </w:r>
      <w:r w:rsidRPr="00BA4EFB">
        <w:rPr>
          <w:rStyle w:val="StyleUnderline"/>
          <w:highlight w:val="green"/>
        </w:rPr>
        <w:t>knowing</w:t>
      </w:r>
      <w:r w:rsidRPr="002103EB">
        <w:rPr>
          <w:rStyle w:val="StyleUnderline"/>
        </w:rPr>
        <w:t xml:space="preserve"> that </w:t>
      </w:r>
      <w:r w:rsidRPr="00BA4EFB">
        <w:rPr>
          <w:rStyle w:val="StyleUnderline"/>
          <w:highlight w:val="green"/>
        </w:rPr>
        <w:t xml:space="preserve">we soon will have to </w:t>
      </w:r>
      <w:r w:rsidRPr="00BA4EFB">
        <w:rPr>
          <w:rFonts w:eastAsia="Cambria"/>
          <w:highlight w:val="green"/>
          <w:u w:val="single"/>
        </w:rPr>
        <w:t>defend our views in a discursive setting where they will be probed intensively</w:t>
      </w:r>
      <w:r w:rsidRPr="00F76E1A">
        <w:rPr>
          <w:rFonts w:eastAsia="Cambria"/>
          <w:sz w:val="24"/>
          <w:u w:val="single"/>
        </w:rPr>
        <w:t>.</w:t>
      </w:r>
      <w:r w:rsidRPr="002103EB">
        <w:rPr>
          <w:rFonts w:eastAsia="Cambria"/>
          <w:sz w:val="10"/>
        </w:rPr>
        <w:t xml:space="preserve">39 In ordinary mass-political settings, there is no such incentive for paying attention. It is perfectly true that citizens’ juries are ‘special’ in all those ways. </w:t>
      </w:r>
      <w:r w:rsidRPr="002103EB">
        <w:rPr>
          <w:rStyle w:val="StyleUnderline"/>
        </w:rPr>
        <w:t>But</w:t>
      </w:r>
      <w:r w:rsidRPr="002103EB">
        <w:rPr>
          <w:rFonts w:eastAsia="Cambria"/>
          <w:sz w:val="10"/>
        </w:rPr>
        <w:t xml:space="preserve"> </w:t>
      </w:r>
      <w:r w:rsidRPr="00F76E1A">
        <w:rPr>
          <w:rFonts w:eastAsia="Cambria"/>
          <w:u w:val="single"/>
        </w:rPr>
        <w:t xml:space="preserve">if being special in all those ways makes for a better – more ‘reflective’, more ‘deliberative’ – political process, then those are design features that </w:t>
      </w:r>
      <w:r w:rsidRPr="00BA4EFB">
        <w:rPr>
          <w:rFonts w:eastAsia="Cambria"/>
          <w:highlight w:val="green"/>
          <w:u w:val="single"/>
        </w:rPr>
        <w:t>we ought</w:t>
      </w:r>
      <w:r w:rsidRPr="00F76E1A">
        <w:rPr>
          <w:rFonts w:eastAsia="Cambria"/>
          <w:u w:val="single"/>
        </w:rPr>
        <w:t xml:space="preserve"> try </w:t>
      </w:r>
      <w:r w:rsidRPr="00BA4EFB">
        <w:rPr>
          <w:rFonts w:eastAsia="Cambria"/>
          <w:highlight w:val="green"/>
          <w:u w:val="single"/>
        </w:rPr>
        <w:t>to mimic as best we can</w:t>
      </w:r>
      <w:r w:rsidRPr="00F76E1A">
        <w:rPr>
          <w:rFonts w:eastAsia="Cambria"/>
          <w:u w:val="single"/>
        </w:rPr>
        <w:t xml:space="preserve"> in </w:t>
      </w:r>
      <w:r w:rsidRPr="00BA4EFB">
        <w:rPr>
          <w:rFonts w:eastAsia="Cambria"/>
          <w:highlight w:val="green"/>
          <w:u w:val="single"/>
        </w:rPr>
        <w:t>ordinary mass politics</w:t>
      </w:r>
      <w:r w:rsidRPr="00F76E1A">
        <w:rPr>
          <w:rFonts w:eastAsia="Cambria"/>
          <w:u w:val="single"/>
        </w:rPr>
        <w:t xml:space="preserve"> as well.</w:t>
      </w:r>
      <w:r w:rsidRPr="00F76E1A">
        <w:rPr>
          <w:rFonts w:eastAsia="Cambria"/>
          <w:sz w:val="24"/>
          <w:u w:val="single"/>
        </w:rPr>
        <w:t xml:space="preserve"> </w:t>
      </w:r>
      <w:r w:rsidRPr="002103EB">
        <w:rPr>
          <w:rFonts w:eastAsia="Cambria"/>
          <w:sz w:val="10"/>
        </w:rPr>
        <w:t>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Fishkin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more-or-less visionary ways of introducing into real-world politics analogues of the elements that induce citizens’ jurors to practice ‘democratic deliberation within’, even before the jury discussion gets underway. Here, we have to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14:paraId="1FAD3DFA" w14:textId="77777777" w:rsidR="00EA6E98" w:rsidRDefault="00EA6E98" w:rsidP="00EA6E98">
      <w:pPr>
        <w:pStyle w:val="Heading4"/>
      </w:pPr>
      <w:r w:rsidRPr="00453186">
        <w:t>TVA:</w:t>
      </w:r>
      <w:r>
        <w:t xml:space="preserve"> read your offense in an aff that defends implementation of the resolution.</w:t>
      </w:r>
    </w:p>
    <w:p w14:paraId="542F717E" w14:textId="77777777" w:rsidR="00EA6E98" w:rsidRDefault="00EA6E98" w:rsidP="00EA6E98">
      <w:pPr>
        <w:pStyle w:val="Heading4"/>
        <w:numPr>
          <w:ilvl w:val="0"/>
          <w:numId w:val="13"/>
        </w:numPr>
        <w:tabs>
          <w:tab w:val="num" w:pos="360"/>
        </w:tabs>
        <w:ind w:left="0" w:firstLine="0"/>
        <w:rPr>
          <w:rFonts w:cs="Calibri"/>
        </w:rPr>
      </w:pPr>
      <w:r w:rsidRPr="00453186">
        <w:rPr>
          <w:rFonts w:cs="Calibri"/>
        </w:rPr>
        <w:t>SSD solves offense</w:t>
      </w:r>
    </w:p>
    <w:p w14:paraId="3B21C82A" w14:textId="77777777" w:rsidR="00EA6E98" w:rsidRPr="00EE5FF7" w:rsidRDefault="00EA6E98" w:rsidP="00EA6E98">
      <w:pPr>
        <w:pStyle w:val="Heading4"/>
        <w:numPr>
          <w:ilvl w:val="0"/>
          <w:numId w:val="13"/>
        </w:numPr>
        <w:tabs>
          <w:tab w:val="num" w:pos="360"/>
        </w:tabs>
        <w:ind w:left="0" w:firstLine="0"/>
        <w:rPr>
          <w:rFonts w:cs="Calibri"/>
        </w:rPr>
      </w:pPr>
      <w:r w:rsidRPr="008D763F">
        <w:rPr>
          <w:rFonts w:cs="Calibri"/>
        </w:rPr>
        <w:t xml:space="preserve">any DA to the TVA negates – proves that there’s workable clash under my </w:t>
      </w:r>
      <w:r>
        <w:rPr>
          <w:rFonts w:cs="Calibri"/>
        </w:rPr>
        <w:t>model</w:t>
      </w:r>
      <w:r w:rsidRPr="008D763F">
        <w:rPr>
          <w:rFonts w:cs="Calibri"/>
        </w:rPr>
        <w:t>.</w:t>
      </w:r>
    </w:p>
    <w:p w14:paraId="1A08C17C" w14:textId="77777777" w:rsidR="00EA6E98" w:rsidRPr="004D4938" w:rsidRDefault="00EA6E98" w:rsidP="00EA6E98">
      <w:pPr>
        <w:pStyle w:val="Heading4"/>
        <w:numPr>
          <w:ilvl w:val="0"/>
          <w:numId w:val="13"/>
        </w:numPr>
        <w:tabs>
          <w:tab w:val="num" w:pos="360"/>
        </w:tabs>
        <w:ind w:left="0" w:firstLine="0"/>
        <w:rPr>
          <w:rFonts w:cs="Calibri"/>
        </w:rPr>
      </w:pPr>
      <w:r>
        <w:rPr>
          <w:rFonts w:cs="Calibri"/>
        </w:rPr>
        <w:t xml:space="preserve">Proves T &gt; K since a TVA means </w:t>
      </w:r>
      <w:r w:rsidRPr="00EE5FF7">
        <w:rPr>
          <w:rFonts w:cs="Calibri"/>
          <w:u w:val="single"/>
        </w:rPr>
        <w:t>being topical</w:t>
      </w:r>
      <w:r>
        <w:rPr>
          <w:rFonts w:cs="Calibri"/>
        </w:rPr>
        <w:t xml:space="preserve"> is </w:t>
      </w:r>
      <w:r w:rsidRPr="00EE5FF7">
        <w:rPr>
          <w:rFonts w:cs="Calibri"/>
          <w:u w:val="single"/>
        </w:rPr>
        <w:t>compatible</w:t>
      </w:r>
      <w:r>
        <w:rPr>
          <w:rFonts w:cs="Calibri"/>
        </w:rPr>
        <w:t xml:space="preserve"> with your </w:t>
      </w:r>
      <w:r w:rsidRPr="00C76CA0">
        <w:rPr>
          <w:rFonts w:cs="Calibri"/>
          <w:u w:val="single"/>
        </w:rPr>
        <w:t>AC framework</w:t>
      </w:r>
      <w:r>
        <w:rPr>
          <w:rFonts w:cs="Calibri"/>
        </w:rPr>
        <w:t>.</w:t>
      </w:r>
    </w:p>
    <w:p w14:paraId="5CF37DCC" w14:textId="77777777" w:rsidR="00EA6E98" w:rsidRPr="00453186" w:rsidRDefault="00EA6E98" w:rsidP="00EA6E98">
      <w:pPr>
        <w:pStyle w:val="Heading4"/>
        <w:rPr>
          <w:rFonts w:cs="Calibri"/>
        </w:rPr>
      </w:pPr>
      <w:r w:rsidRPr="00453186">
        <w:rPr>
          <w:rFonts w:cs="Calibri"/>
        </w:rPr>
        <w:br/>
        <w:t>Procedural fairness</w:t>
      </w:r>
      <w:r>
        <w:rPr>
          <w:rFonts w:cs="Calibri"/>
        </w:rPr>
        <w:t xml:space="preserve"> is a voter and</w:t>
      </w:r>
      <w:r w:rsidRPr="00453186">
        <w:rPr>
          <w:rFonts w:cs="Calibri"/>
        </w:rPr>
        <w:t xml:space="preserve"> </w:t>
      </w:r>
      <w:r>
        <w:rPr>
          <w:rFonts w:cs="Calibri"/>
        </w:rPr>
        <w:t>O/Ws</w:t>
      </w:r>
    </w:p>
    <w:p w14:paraId="042DED74" w14:textId="77777777" w:rsidR="00EA6E98" w:rsidRPr="00453186" w:rsidRDefault="00EA6E98" w:rsidP="00EA6E98">
      <w:pPr>
        <w:pStyle w:val="Heading4"/>
        <w:spacing w:line="276" w:lineRule="auto"/>
        <w:rPr>
          <w:rFonts w:cs="Calibri"/>
          <w:color w:val="000000" w:themeColor="text1"/>
        </w:rPr>
      </w:pPr>
      <w:r w:rsidRPr="00453186">
        <w:rPr>
          <w:rFonts w:eastAsia="Times New Roman" w:cs="Calibri"/>
        </w:rPr>
        <w:t xml:space="preserve">(1) </w:t>
      </w:r>
      <w:r w:rsidRPr="00453186">
        <w:rPr>
          <w:rFonts w:cs="Calibri"/>
        </w:rPr>
        <w:t xml:space="preserve">Evaluation – even if their arguments seem true, that’s only because they already had an advantage – fairness is a meta constraint on your ability to determine who best meets their ROB. Can’t </w:t>
      </w:r>
      <w:r w:rsidRPr="00453186">
        <w:rPr>
          <w:rFonts w:cs="Calibri"/>
          <w:color w:val="000000" w:themeColor="text1"/>
        </w:rPr>
        <w:t>weigh case since I couldn’t disprove it.</w:t>
      </w:r>
    </w:p>
    <w:p w14:paraId="70FB35A8" w14:textId="77777777" w:rsidR="00EA6E98" w:rsidRDefault="00EA6E98" w:rsidP="00EA6E98">
      <w:pPr>
        <w:pStyle w:val="Heading4"/>
        <w:spacing w:line="276" w:lineRule="auto"/>
        <w:rPr>
          <w:rFonts w:cs="Calibri"/>
        </w:rPr>
      </w:pPr>
      <w:r w:rsidRPr="00453186">
        <w:rPr>
          <w:rFonts w:cs="Calibri"/>
          <w:color w:val="000000" w:themeColor="text1"/>
        </w:rPr>
        <w:t xml:space="preserve">(2) </w:t>
      </w:r>
      <w:r w:rsidRPr="00453186">
        <w:rPr>
          <w:rFonts w:cs="Calibri"/>
        </w:rPr>
        <w:t xml:space="preserve">Inescapable – every argument you make concedes </w:t>
      </w:r>
      <w:r w:rsidRPr="00C44509">
        <w:t>the authority of fairness – if they win fairness bad vote neg because you have no obligation to fairly evaluate their arguments</w:t>
      </w:r>
    </w:p>
    <w:p w14:paraId="704668E9" w14:textId="77777777" w:rsidR="00EA6E98" w:rsidRPr="00453186" w:rsidRDefault="00EA6E98" w:rsidP="00EA6E98">
      <w:pPr>
        <w:pStyle w:val="Heading4"/>
        <w:rPr>
          <w:rFonts w:cs="Calibri"/>
        </w:rPr>
      </w:pPr>
      <w:r w:rsidRPr="00453186">
        <w:rPr>
          <w:rFonts w:cs="Calibri"/>
          <w:color w:val="000000" w:themeColor="text1"/>
        </w:rPr>
        <w:t xml:space="preserve">(3) </w:t>
      </w:r>
      <w:r w:rsidRPr="00453186">
        <w:rPr>
          <w:rFonts w:cs="Calibri"/>
        </w:rPr>
        <w:t>Quality of discussion – Debate’s unique value is that it forces engagement and contestation of issues – but this is impossible if I don’t even know what to prepare for.</w:t>
      </w:r>
    </w:p>
    <w:p w14:paraId="5833AEA6" w14:textId="77777777" w:rsidR="00EA6E98" w:rsidRPr="00453186" w:rsidRDefault="00EA6E98" w:rsidP="00EA6E98">
      <w:pPr>
        <w:pStyle w:val="Heading4"/>
        <w:rPr>
          <w:rFonts w:cs="Calibri"/>
        </w:rPr>
      </w:pPr>
      <w:r w:rsidRPr="00453186">
        <w:rPr>
          <w:rFonts w:cs="Calibri"/>
        </w:rPr>
        <w:t>(</w:t>
      </w:r>
      <w:r>
        <w:rPr>
          <w:rFonts w:cs="Calibri"/>
        </w:rPr>
        <w:t>4</w:t>
      </w:r>
      <w:r w:rsidRPr="00453186">
        <w:rPr>
          <w:rFonts w:cs="Calibri"/>
        </w:rPr>
        <w:t>) Tangibility – voting aff has no terminal impact- it doesn’t educate anyone or cause us to make some societal shift whereas theory norms are set all the time like nibs and brackets.</w:t>
      </w:r>
    </w:p>
    <w:p w14:paraId="51C007D2" w14:textId="77777777" w:rsidR="00EA6E98" w:rsidRDefault="00EA6E98" w:rsidP="00EA6E98"/>
    <w:p w14:paraId="4EF8E43F" w14:textId="77777777" w:rsidR="00EA6E98" w:rsidRPr="005373CD" w:rsidRDefault="00EA6E98" w:rsidP="00EA6E98">
      <w:pPr>
        <w:pStyle w:val="Heading4"/>
        <w:rPr>
          <w:u w:val="single"/>
        </w:rPr>
      </w:pPr>
      <w:r>
        <w:t xml:space="preserve">That turns the Aff – a] an unlimited topic </w:t>
      </w:r>
      <w:r>
        <w:rPr>
          <w:u w:val="single"/>
        </w:rPr>
        <w:t>hurts</w:t>
      </w:r>
      <w:r>
        <w:t xml:space="preserve"> low-income and minority debaters by allowing big schools infinite capacity to break non-T Affs – for people who </w:t>
      </w:r>
      <w:r>
        <w:rPr>
          <w:u w:val="single"/>
        </w:rPr>
        <w:t>can’t afford</w:t>
      </w:r>
      <w:r>
        <w:t xml:space="preserve"> to work on debate full-time due to income concerns, their interp says unless you prep out </w:t>
      </w:r>
      <w:r>
        <w:rPr>
          <w:u w:val="single"/>
        </w:rPr>
        <w:t>every possible Aff</w:t>
      </w:r>
      <w:r>
        <w:t>, you will always lose; and b</w:t>
      </w:r>
      <w:r w:rsidRPr="00F520E9">
        <w:t xml:space="preserve">] Scope, it’s the only impact you can solve for, voting for them doesn’t resolve </w:t>
      </w:r>
      <w:r>
        <w:t>inequalities</w:t>
      </w:r>
      <w:r w:rsidRPr="00F520E9">
        <w:t xml:space="preserve"> in debate </w:t>
      </w:r>
      <w:r>
        <w:t xml:space="preserve">generally </w:t>
      </w:r>
      <w:r w:rsidRPr="00F520E9">
        <w:t xml:space="preserve">but voting for T remedies procedural inequalities caused by their aff </w:t>
      </w:r>
      <w:r>
        <w:rPr>
          <w:u w:val="single"/>
        </w:rPr>
        <w:t>in this round</w:t>
      </w:r>
    </w:p>
    <w:p w14:paraId="3D592060" w14:textId="77777777" w:rsidR="00EA6E98" w:rsidRDefault="00EA6E98" w:rsidP="00EA6E98">
      <w:pPr>
        <w:pStyle w:val="Heading4"/>
      </w:pPr>
      <w:r>
        <w:t>Paradigm issues</w:t>
      </w:r>
    </w:p>
    <w:p w14:paraId="1F3BD466" w14:textId="77777777" w:rsidR="00EA6E98" w:rsidRDefault="00EA6E98" w:rsidP="00EA6E98">
      <w:pPr>
        <w:pStyle w:val="Heading4"/>
      </w:pPr>
      <w:r>
        <w:t>1] DTD, it’s the 1AC &amp; abuse has already occurred</w:t>
      </w:r>
    </w:p>
    <w:p w14:paraId="55501882" w14:textId="77777777" w:rsidR="00EA6E98" w:rsidRDefault="00EA6E98" w:rsidP="00EA6E98">
      <w:pPr>
        <w:pStyle w:val="Heading4"/>
      </w:pPr>
      <w:r>
        <w:t>2] Competing interps—you were either topical or you weren’t.</w:t>
      </w:r>
    </w:p>
    <w:p w14:paraId="7CC909B1" w14:textId="77777777" w:rsidR="00EA6E98" w:rsidRDefault="00EA6E98" w:rsidP="00EA6E98">
      <w:pPr>
        <w:pStyle w:val="Heading4"/>
      </w:pPr>
      <w:r>
        <w:t>3] NO RVIs a] you don’t win by meeting a prima facie burden</w:t>
      </w:r>
    </w:p>
    <w:p w14:paraId="63514628" w14:textId="7AEBBADF" w:rsidR="00E62B25" w:rsidRDefault="00EA6E98" w:rsidP="008E0D88">
      <w:pPr>
        <w:pStyle w:val="Heading2"/>
      </w:pPr>
      <w:r>
        <w:t xml:space="preserve">2 </w:t>
      </w:r>
      <w:r w:rsidR="008E0D88">
        <w:t>- DA</w:t>
      </w:r>
    </w:p>
    <w:p w14:paraId="3D6508A1" w14:textId="77777777" w:rsidR="008E0D88" w:rsidRDefault="008E0D88" w:rsidP="008E0D88">
      <w:pPr>
        <w:pStyle w:val="Heading3"/>
      </w:pPr>
      <w:r>
        <w:t>China/He-3 DA</w:t>
      </w:r>
    </w:p>
    <w:p w14:paraId="6808D7C3" w14:textId="77777777" w:rsidR="008E0D88" w:rsidRPr="004736C9" w:rsidRDefault="008E0D88" w:rsidP="008E0D88">
      <w:pPr>
        <w:pStyle w:val="Heading4"/>
      </w:pPr>
      <w:r>
        <w:t xml:space="preserve">The private space industry is the only thing preventing Chinese dominance of outer space – they’ve </w:t>
      </w:r>
      <w:r>
        <w:rPr>
          <w:u w:val="single"/>
        </w:rPr>
        <w:t>already copied</w:t>
      </w:r>
      <w:r>
        <w:t xml:space="preserve"> SpaceX’s innovations</w:t>
      </w:r>
    </w:p>
    <w:p w14:paraId="364A346C" w14:textId="77777777" w:rsidR="008E0D88" w:rsidRPr="004736C9" w:rsidRDefault="008E0D88" w:rsidP="008E0D88">
      <w:pPr>
        <w:rPr>
          <w:rStyle w:val="Style13ptBold"/>
        </w:rPr>
      </w:pPr>
      <w:r w:rsidRPr="004736C9">
        <w:rPr>
          <w:rStyle w:val="Style13ptBold"/>
        </w:rPr>
        <w:t>Berger 21</w:t>
      </w:r>
    </w:p>
    <w:p w14:paraId="57C9F23E" w14:textId="77777777" w:rsidR="008E0D88" w:rsidRPr="00841933" w:rsidRDefault="008E0D88" w:rsidP="008E0D88">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2" w:tgtFrame="_blank" w:history="1">
        <w:r w:rsidRPr="00841933">
          <w:rPr>
            <w:rStyle w:val="Hyperlink"/>
            <w:sz w:val="12"/>
            <w:szCs w:val="12"/>
          </w:rPr>
          <w:t>"LIFTOFF: Elon Musk and the Desperate Early Days that Launched SpaceX."</w:t>
        </w:r>
      </w:hyperlink>
      <w:r w:rsidRPr="00841933">
        <w:rPr>
          <w:sz w:val="12"/>
          <w:szCs w:val="12"/>
        </w:rPr>
        <w:t> After a long career at the Houston Chronicle, he joined Ars Technica in 2015 as the site's senior space editor, covering SpaceX, NASA and everything beyond. He was a Pulitzer Prize finalist for his coverage of Hurricane Ike in the Houston Chronicle in 2008. </w:t>
      </w:r>
      <w:hyperlink r:id="rId13" w:history="1">
        <w:r w:rsidRPr="00841933">
          <w:rPr>
            <w:rStyle w:val="Hyperlink"/>
            <w:sz w:val="12"/>
            <w:szCs w:val="12"/>
          </w:rPr>
          <w:t>https://www.cnn.com/2021/04/01/opinions/china-space-race-us-spacex-berger/index.html</w:t>
        </w:r>
      </w:hyperlink>
      <w:r w:rsidRPr="00841933">
        <w:rPr>
          <w:sz w:val="12"/>
          <w:szCs w:val="12"/>
        </w:rPr>
        <w:t xml:space="preserve"> -CAT</w:t>
      </w:r>
    </w:p>
    <w:p w14:paraId="795F1AA6" w14:textId="77777777" w:rsidR="008E0D88" w:rsidRPr="008C6965" w:rsidRDefault="008E0D88" w:rsidP="008E0D88">
      <w:pPr>
        <w:rPr>
          <w:sz w:val="8"/>
        </w:rPr>
      </w:pPr>
      <w:r w:rsidRPr="00924E14">
        <w:rPr>
          <w:rStyle w:val="StyleUnderline"/>
          <w:highlight w:val="green"/>
        </w:rPr>
        <w:t xml:space="preserve">China has a good chance of </w:t>
      </w:r>
      <w:r w:rsidRPr="00F65E24">
        <w:rPr>
          <w:rStyle w:val="StyleUnderline"/>
          <w:highlight w:val="green"/>
        </w:rPr>
        <w:t>becoming the dominant space power</w:t>
      </w:r>
      <w:r w:rsidRPr="00165349">
        <w:rPr>
          <w:rStyle w:val="StyleUnderline"/>
        </w:rPr>
        <w:t xml:space="preserve">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LinkSpace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Grumman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508E423F" w14:textId="77777777" w:rsidR="008E0D88" w:rsidRDefault="008E0D88" w:rsidP="008E0D88">
      <w:pPr>
        <w:pStyle w:val="Heading4"/>
      </w:pPr>
      <w:r>
        <w:t>Chinese dominance would allow them to monopolize lunar Helium-3 and control the world’s economy.</w:t>
      </w:r>
    </w:p>
    <w:p w14:paraId="7C90531C" w14:textId="77777777" w:rsidR="008E0D88" w:rsidRPr="003D79DF" w:rsidRDefault="008E0D88" w:rsidP="008E0D88">
      <w:pPr>
        <w:rPr>
          <w:rStyle w:val="Style13ptBold"/>
        </w:rPr>
      </w:pPr>
      <w:r w:rsidRPr="003D79DF">
        <w:rPr>
          <w:rStyle w:val="Style13ptBold"/>
        </w:rPr>
        <w:t>Bilder 10</w:t>
      </w:r>
    </w:p>
    <w:p w14:paraId="47D14C69" w14:textId="77777777" w:rsidR="008E0D88" w:rsidRPr="003D79DF" w:rsidRDefault="008E0D88" w:rsidP="008E0D88">
      <w:pPr>
        <w:rPr>
          <w:sz w:val="12"/>
          <w:szCs w:val="12"/>
        </w:rPr>
      </w:pPr>
      <w:r w:rsidRPr="003D79DF">
        <w:rPr>
          <w:sz w:val="12"/>
          <w:szCs w:val="12"/>
        </w:rPr>
        <w:t>Richard B. Bilder, Foley &amp; Lardner-Bascom Emeritus Professor of Law, University of Wisconsin Law School A LEGAL REGIME FOR THE MINING OF HELIUM-3 ON THE MOON: U.S. POLICY OPTIONS 33 Fordham Int’l L.J. 243 Fordham International Law Journal January, 2010 -CAT</w:t>
      </w:r>
    </w:p>
    <w:p w14:paraId="436D4012" w14:textId="77777777" w:rsidR="008E0D88" w:rsidRDefault="008E0D88" w:rsidP="008E0D88">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Cadarache,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r w:rsidRPr="005C69A8">
        <w:rPr>
          <w:rStyle w:val="StyleUnderline"/>
          <w:highlight w:val="green"/>
        </w:rPr>
        <w:t>an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an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.27 In particular, an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513FC9E8" w14:textId="77777777" w:rsidR="008E0D88" w:rsidRDefault="008E0D88" w:rsidP="008E0D88">
      <w:pPr>
        <w:pStyle w:val="Heading4"/>
      </w:pPr>
      <w:r>
        <w:t xml:space="preserve">That dominance becomes self-reinforcing and controls the I/L to </w:t>
      </w:r>
      <w:r w:rsidRPr="008829D8">
        <w:rPr>
          <w:u w:val="single"/>
        </w:rPr>
        <w:t>every</w:t>
      </w:r>
      <w:r>
        <w:t xml:space="preserve"> claimed existential threat</w:t>
      </w:r>
    </w:p>
    <w:p w14:paraId="17319B2E" w14:textId="77777777" w:rsidR="008E0D88" w:rsidRDefault="008E0D88" w:rsidP="008E0D88">
      <w:pPr>
        <w:pStyle w:val="ListParagraph"/>
        <w:numPr>
          <w:ilvl w:val="0"/>
          <w:numId w:val="12"/>
        </w:numPr>
      </w:pPr>
      <w:r>
        <w:t xml:space="preserve">Including </w:t>
      </w:r>
      <w:r w:rsidRPr="00C067CB">
        <w:t xml:space="preserve">climate change, </w:t>
      </w:r>
      <w:r>
        <w:t xml:space="preserve">asteroids, </w:t>
      </w:r>
      <w:r w:rsidRPr="00C067CB">
        <w:t>space colonization, nuclear war, and global warming.</w:t>
      </w:r>
    </w:p>
    <w:p w14:paraId="651AFBA4" w14:textId="77777777" w:rsidR="008E0D88" w:rsidRPr="00BF0440" w:rsidRDefault="008E0D88" w:rsidP="008E0D88">
      <w:pPr>
        <w:pStyle w:val="ListParagraph"/>
        <w:numPr>
          <w:ilvl w:val="0"/>
          <w:numId w:val="12"/>
        </w:numPr>
      </w:pPr>
      <w:r>
        <w:t>Private sector key – free market innovation is a key advantage the US has over China</w:t>
      </w:r>
    </w:p>
    <w:p w14:paraId="5734AACD" w14:textId="77777777" w:rsidR="008E0D88" w:rsidRPr="00E30D68" w:rsidRDefault="008E0D88" w:rsidP="008E0D88">
      <w:pPr>
        <w:rPr>
          <w:rStyle w:val="Style13ptBold"/>
        </w:rPr>
      </w:pPr>
      <w:r>
        <w:rPr>
          <w:rStyle w:val="Style13ptBold"/>
        </w:rPr>
        <w:t>Kwast 19</w:t>
      </w:r>
    </w:p>
    <w:p w14:paraId="1A896DB7" w14:textId="77777777" w:rsidR="008E0D88" w:rsidRPr="008829D8" w:rsidRDefault="008E0D88" w:rsidP="008E0D88">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2542C6E5" w14:textId="77777777" w:rsidR="008E0D88" w:rsidRPr="00E30D68" w:rsidRDefault="008E0D88" w:rsidP="008E0D88">
      <w:pPr>
        <w:rPr>
          <w:rStyle w:val="StyleUnderlin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FF3108">
        <w:rPr>
          <w:rStyle w:val="StyleUnderline"/>
          <w:highlight w:val="green"/>
        </w:rPr>
        <w:t>the first civilization to build a robust</w:t>
      </w:r>
      <w:r w:rsidRPr="00E30D68">
        <w:rPr>
          <w:rStyle w:val="StyleUnderline"/>
        </w:rPr>
        <w:t xml:space="preserve"> networked </w:t>
      </w:r>
      <w:r w:rsidRPr="00FF3108">
        <w:rPr>
          <w:rStyle w:val="StyleUnderline"/>
          <w:highlight w:val="green"/>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E30D68">
        <w:rPr>
          <w:rStyle w:val="StyleUnderline"/>
          <w:highlight w:val="green"/>
        </w:rPr>
        <w:t>Finishing second</w:t>
      </w:r>
      <w:r w:rsidRPr="00E30D68">
        <w:rPr>
          <w:rStyle w:val="StyleUnderline"/>
        </w:rPr>
        <w:t xml:space="preserve"> in this race </w:t>
      </w:r>
      <w:r w:rsidRPr="00E30D68">
        <w:rPr>
          <w:rStyle w:val="StyleUnderline"/>
          <w:highlight w:val="green"/>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E30D68">
        <w:rPr>
          <w:rStyle w:val="StyleUnderline"/>
          <w:highlight w:val="green"/>
        </w:rPr>
        <w:t>If America is first</w:t>
      </w:r>
      <w:r w:rsidRPr="00E30D68">
        <w:rPr>
          <w:rStyle w:val="StyleUnderline"/>
        </w:rPr>
        <w:t xml:space="preserve"> to build the infrastructure of space, </w:t>
      </w:r>
      <w:r w:rsidRPr="00E30D68">
        <w:rPr>
          <w:rStyle w:val="StyleUnderline"/>
          <w:highlight w:val="green"/>
        </w:rPr>
        <w:t>its rule of law and values</w:t>
      </w:r>
      <w:r w:rsidRPr="00E30D68">
        <w:rPr>
          <w:rStyle w:val="StyleUnderline"/>
        </w:rPr>
        <w:t xml:space="preserve">, including every human’s inherent right to life, liberty, and the pursuit of happiness, </w:t>
      </w:r>
      <w:r w:rsidRPr="00E30D68">
        <w:rPr>
          <w:rStyle w:val="StyleUnderline"/>
          <w:highlight w:val="green"/>
        </w:rPr>
        <w:t>will underpin the marketplace</w:t>
      </w:r>
      <w:r w:rsidRPr="00E30D68">
        <w:rPr>
          <w:rStyle w:val="StyleUnderline"/>
        </w:rPr>
        <w:t xml:space="preserve">. </w:t>
      </w:r>
      <w:r w:rsidRPr="00E30D68">
        <w:rPr>
          <w:rStyle w:val="StyleUnderline"/>
          <w:highlight w:val="green"/>
        </w:rPr>
        <w:t>If China is first</w:t>
      </w:r>
      <w:r w:rsidRPr="00E30D68">
        <w:rPr>
          <w:rStyle w:val="StyleUnderline"/>
        </w:rPr>
        <w:t xml:space="preserve">, </w:t>
      </w:r>
      <w:r w:rsidRPr="00E30D68">
        <w:rPr>
          <w:rStyle w:val="StyleUnderline"/>
          <w:highlight w:val="green"/>
        </w:rPr>
        <w:t>its values will dominate</w:t>
      </w:r>
      <w:r w:rsidRPr="00E30D68">
        <w:rPr>
          <w:rStyle w:val="StyleUnderline"/>
        </w:rPr>
        <w:t xml:space="preserve">. China continues to demonstrate a lack of regard for fair economic practices, the rule of law, human dignity, or liberty. </w:t>
      </w:r>
      <w:r w:rsidRPr="00E30D68">
        <w:rPr>
          <w:rStyle w:val="StyleUnderline"/>
          <w:highlight w:val="green"/>
        </w:rPr>
        <w:t>From</w:t>
      </w:r>
      <w:r w:rsidRPr="00E30D68">
        <w:rPr>
          <w:rStyle w:val="StyleUnderline"/>
        </w:rPr>
        <w:t xml:space="preserve"> </w:t>
      </w:r>
      <w:r w:rsidRPr="00E30D68">
        <w:rPr>
          <w:rStyle w:val="StyleUnderline"/>
          <w:highlight w:val="green"/>
        </w:rPr>
        <w:t>transportation, to energy, to information</w:t>
      </w:r>
      <w:r w:rsidRPr="00E30D68">
        <w:rPr>
          <w:rStyle w:val="StyleUnderline"/>
        </w:rPr>
        <w:t xml:space="preserve">, </w:t>
      </w:r>
      <w:r w:rsidRPr="00E30D68">
        <w:rPr>
          <w:rStyle w:val="StyleUnderline"/>
          <w:highlight w:val="green"/>
        </w:rPr>
        <w:t xml:space="preserve">to manufacturing </w:t>
      </w:r>
      <w:r w:rsidRPr="00165349">
        <w:rPr>
          <w:rStyle w:val="StyleUnderline"/>
        </w:rPr>
        <w:t>goods and services,</w:t>
      </w:r>
      <w:r w:rsidRPr="00E30D68">
        <w:rPr>
          <w:rStyle w:val="StyleUnderline"/>
        </w:rPr>
        <w:t xml:space="preserve"> </w:t>
      </w:r>
      <w:r w:rsidRPr="00E30D68">
        <w:rPr>
          <w:rStyle w:val="StyleUnderline"/>
          <w:highlight w:val="green"/>
        </w:rPr>
        <w:t>China’s strategy is to dominate</w:t>
      </w:r>
      <w:r w:rsidRPr="00E30D68">
        <w:rPr>
          <w:rStyle w:val="StyleUnderline"/>
        </w:rPr>
        <w:t xml:space="preserve"> the key </w:t>
      </w:r>
      <w:r w:rsidRPr="00E30D68">
        <w:rPr>
          <w:rStyle w:val="StyleUnderline"/>
          <w:highlight w:val="green"/>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Fortunately, there is a way out, but only if we wake up now. Most Americans are completely unaware that China has a plan to build manned labs both on the moon and on Mars. Nor are they aware that China has publicly announced its plans to build a nuclear powered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hypersonics, 5G, supercomputing, artificial intelligence, 3D-printing, quantum computing , and robotics. China is employing these and other leading-edge technologies in wholistic and new strategic ways that could render America a second-rate 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829D8">
        <w:rPr>
          <w:rStyle w:val="StyleUnderline"/>
          <w:highlight w:val="green"/>
        </w:rPr>
        <w:t xml:space="preserve">American companies </w:t>
      </w:r>
      <w:r w:rsidRPr="00E30D68">
        <w:rPr>
          <w:rStyle w:val="StyleUnderline"/>
        </w:rPr>
        <w:t xml:space="preserve">are working on these new technologies (albeit in separate silos), real power lies in </w:t>
      </w:r>
      <w:r w:rsidRPr="008829D8">
        <w:rPr>
          <w:rStyle w:val="StyleUnderline"/>
          <w:highlight w:val="green"/>
        </w:rPr>
        <w:t>harness</w:t>
      </w:r>
      <w:r w:rsidRPr="00E30D68">
        <w:rPr>
          <w:rStyle w:val="StyleUnderline"/>
        </w:rPr>
        <w:t xml:space="preserve">ing these </w:t>
      </w:r>
      <w:r w:rsidRPr="008829D8">
        <w:rPr>
          <w:rStyle w:val="StyleUnderline"/>
          <w:highlight w:val="green"/>
        </w:rPr>
        <w:t xml:space="preserve">technologies </w:t>
      </w:r>
      <w:r w:rsidRPr="00E30D68">
        <w:rPr>
          <w:rStyle w:val="StyleUnderline"/>
        </w:rPr>
        <w:t xml:space="preserve">together </w:t>
      </w:r>
      <w:r w:rsidRPr="008829D8">
        <w:rPr>
          <w:rStyle w:val="StyleUnderline"/>
          <w:highlight w:val="green"/>
        </w:rPr>
        <w:t xml:space="preserve">from space </w:t>
      </w:r>
      <w:r w:rsidRPr="00E30D68">
        <w:rPr>
          <w:rStyle w:val="StyleUnderline"/>
        </w:rPr>
        <w:t xml:space="preserve">in intentional and innovative ways </w:t>
      </w:r>
      <w:r w:rsidRPr="008829D8">
        <w:rPr>
          <w:rStyle w:val="StyleUnderline"/>
          <w:highlight w:val="green"/>
        </w:rPr>
        <w:t>to achieve a dominant competitive advantage</w:t>
      </w:r>
      <w:r w:rsidRPr="00E30D68">
        <w:rPr>
          <w:rStyle w:val="StyleUnderline"/>
        </w:rPr>
        <w:t xml:space="preserve">. </w:t>
      </w:r>
      <w:r w:rsidRPr="00E30D68">
        <w:rPr>
          <w:rStyle w:val="StyleUnderline"/>
          <w:highlight w:val="green"/>
        </w:rPr>
        <w:t>China is</w:t>
      </w:r>
      <w:r w:rsidRPr="00E30D68">
        <w:rPr>
          <w:rStyle w:val="StyleUnderline"/>
        </w:rPr>
        <w:t xml:space="preserve"> actively </w:t>
      </w:r>
      <w:r w:rsidRPr="00E30D68">
        <w:rPr>
          <w:rStyle w:val="StyleUnderline"/>
          <w:highlight w:val="green"/>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829D8">
        <w:rPr>
          <w:rStyle w:val="StyleUnderline"/>
          <w:highlight w:val="green"/>
        </w:rPr>
        <w:t xml:space="preserve">and transform </w:t>
      </w:r>
      <w:r w:rsidRPr="00E30D68">
        <w:rPr>
          <w:rStyle w:val="StyleUnderline"/>
        </w:rPr>
        <w:t xml:space="preserve">economic, military, and political power </w:t>
      </w:r>
      <w:r w:rsidRPr="008829D8">
        <w:rPr>
          <w:rStyle w:val="StyleUnderline"/>
          <w:highlight w:val="green"/>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E30D68">
        <w:rPr>
          <w:rStyle w:val="StyleUnderline"/>
          <w:highlight w:val="green"/>
        </w:rPr>
        <w:t>there is still a way to win. The U</w:t>
      </w:r>
      <w:r w:rsidRPr="00E30D68">
        <w:rPr>
          <w:rStyle w:val="StyleUnderline"/>
        </w:rPr>
        <w:t xml:space="preserve">nited </w:t>
      </w:r>
      <w:r w:rsidRPr="00E30D68">
        <w:rPr>
          <w:rStyle w:val="StyleUnderline"/>
          <w:highlight w:val="green"/>
        </w:rPr>
        <w:t>S</w:t>
      </w:r>
      <w:r w:rsidRPr="00E30D68">
        <w:rPr>
          <w:rStyle w:val="StyleUnderline"/>
        </w:rPr>
        <w:t xml:space="preserve">tates </w:t>
      </w:r>
      <w:r w:rsidRPr="00E30D68">
        <w:rPr>
          <w:rStyle w:val="StyleUnderline"/>
          <w:highlight w:val="green"/>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E30D68">
        <w:rPr>
          <w:rStyle w:val="StyleUnderline"/>
          <w:highlight w:val="green"/>
        </w:rPr>
        <w:t>rooted in</w:t>
      </w:r>
      <w:r w:rsidRPr="00E30D68">
        <w:rPr>
          <w:rStyle w:val="StyleUnderline"/>
        </w:rPr>
        <w:t xml:space="preserve"> an open society and </w:t>
      </w:r>
      <w:r w:rsidRPr="00E30D68">
        <w:rPr>
          <w:rStyle w:val="StyleUnderline"/>
          <w:highlight w:val="green"/>
        </w:rPr>
        <w:t>a free market</w:t>
      </w:r>
      <w:r w:rsidRPr="00E30D68">
        <w:rPr>
          <w:rStyle w:val="StyleUnderline"/>
        </w:rPr>
        <w:t xml:space="preserve">. The U.S. government should start with a vision that is both bigger than China’s and meaningful </w:t>
      </w:r>
      <w:r w:rsidRPr="00772C35">
        <w:rPr>
          <w:rStyle w:val="StyleUnderline"/>
          <w:highlight w:val="green"/>
        </w:rPr>
        <w:t xml:space="preserve">to </w:t>
      </w:r>
      <w:r w:rsidRPr="00E30D68">
        <w:rPr>
          <w:rStyle w:val="StyleUnderline"/>
        </w:rPr>
        <w:t xml:space="preserve">America’s society and values. From there, it can write and implement a strategy that can secure the American way of life in this century and </w:t>
      </w:r>
      <w:r w:rsidRPr="00772C35">
        <w:rPr>
          <w:rStyle w:val="StyleUnderline"/>
          <w:highlight w:val="green"/>
        </w:rPr>
        <w:t xml:space="preserve">ensure </w:t>
      </w:r>
      <w:r w:rsidRPr="00E30D68">
        <w:rPr>
          <w:rStyle w:val="StyleUnderline"/>
        </w:rPr>
        <w:t xml:space="preserve">the goods and promises offered by </w:t>
      </w:r>
      <w:r w:rsidRPr="00772C35">
        <w:rPr>
          <w:rStyle w:val="StyleUnderline"/>
          <w:highlight w:val="green"/>
        </w:rPr>
        <w:t xml:space="preserve">space </w:t>
      </w:r>
      <w:r w:rsidRPr="00E30D68">
        <w:rPr>
          <w:rStyle w:val="StyleUnderline"/>
        </w:rPr>
        <w:t xml:space="preserve">are </w:t>
      </w:r>
      <w:r w:rsidRPr="00772C35">
        <w:rPr>
          <w:rStyle w:val="StyleUnderline"/>
          <w:highlight w:val="green"/>
        </w:rPr>
        <w:t>not dominated by a country disinterested in human freedom</w:t>
      </w:r>
      <w:r w:rsidRPr="00E30D68">
        <w:rPr>
          <w:rStyle w:val="StyleUnderline"/>
        </w:rPr>
        <w:t xml:space="preserve">. </w:t>
      </w:r>
      <w:r w:rsidRPr="00E30D68">
        <w:rPr>
          <w:rStyle w:val="StyleUnderline"/>
          <w:highlight w:val="green"/>
        </w:rPr>
        <w:t>The benefits</w:t>
      </w:r>
      <w:r w:rsidRPr="00E30D68">
        <w:rPr>
          <w:rStyle w:val="StyleUnderline"/>
        </w:rPr>
        <w:t xml:space="preserve"> of such a course of action would appeal to most Americans, and indeed most people, to </w:t>
      </w:r>
      <w:r w:rsidRPr="00E30D68">
        <w:rPr>
          <w:rStyle w:val="StyleUnderline"/>
          <w:highlight w:val="green"/>
        </w:rPr>
        <w:t>include clean energy</w:t>
      </w:r>
      <w:r w:rsidRPr="00E30D68">
        <w:rPr>
          <w:rStyle w:val="StyleUnderline"/>
        </w:rPr>
        <w:t xml:space="preserve">, ubiquitous and </w:t>
      </w:r>
      <w:r w:rsidRPr="00665CFA">
        <w:rPr>
          <w:rStyle w:val="StyleUnderline"/>
        </w:rPr>
        <w:t>secure communications</w:t>
      </w:r>
      <w:r w:rsidRPr="00E30D68">
        <w:rPr>
          <w:rStyle w:val="StyleUnderline"/>
          <w:highlight w:val="green"/>
        </w:rPr>
        <w:t>, protection</w:t>
      </w:r>
      <w:r w:rsidRPr="00E30D68">
        <w:rPr>
          <w:rStyle w:val="StyleUnderline"/>
        </w:rPr>
        <w:t xml:space="preserve"> </w:t>
      </w:r>
      <w:r w:rsidRPr="00E30D68">
        <w:rPr>
          <w:rStyle w:val="StyleUnderline"/>
          <w:highlight w:val="green"/>
        </w:rPr>
        <w:t>from</w:t>
      </w:r>
      <w:r w:rsidRPr="00E30D68">
        <w:rPr>
          <w:rStyle w:val="StyleUnderline"/>
        </w:rPr>
        <w:t xml:space="preserve"> </w:t>
      </w:r>
      <w:r w:rsidRPr="008607E8">
        <w:rPr>
          <w:rStyle w:val="StyleUnderline"/>
          <w:highlight w:val="green"/>
        </w:rPr>
        <w:t>space</w:t>
      </w:r>
      <w:r w:rsidRPr="00E30D68">
        <w:rPr>
          <w:rStyle w:val="StyleUnderline"/>
        </w:rPr>
        <w:t xml:space="preserve"> </w:t>
      </w:r>
      <w:r w:rsidRPr="00E30D68">
        <w:rPr>
          <w:rStyle w:val="StyleUnderline"/>
          <w:highlight w:val="green"/>
        </w:rPr>
        <w:t xml:space="preserve">objects like the </w:t>
      </w:r>
      <w:r w:rsidRPr="008607E8">
        <w:rPr>
          <w:rStyle w:val="StyleUnderline"/>
        </w:rPr>
        <w:t xml:space="preserve">“city killing” </w:t>
      </w:r>
      <w:r w:rsidRPr="00E30D68">
        <w:rPr>
          <w:rStyle w:val="StyleUnderline"/>
          <w:highlight w:val="green"/>
        </w:rPr>
        <w:t>meteor that hit Russia</w:t>
      </w:r>
      <w:r w:rsidRPr="00E30D68">
        <w:rPr>
          <w:rStyle w:val="StyleUnderline"/>
        </w:rPr>
        <w:t xml:space="preserve">, </w:t>
      </w:r>
      <w:r w:rsidRPr="00E30D68">
        <w:rPr>
          <w:rStyle w:val="StyleUnderline"/>
          <w:highlight w:val="green"/>
        </w:rPr>
        <w:t xml:space="preserve">deterrence </w:t>
      </w:r>
      <w:r w:rsidRPr="008607E8">
        <w:rPr>
          <w:rStyle w:val="StyleUnderline"/>
        </w:rPr>
        <w:t xml:space="preserve">capabilities </w:t>
      </w:r>
      <w:r w:rsidRPr="00E30D68">
        <w:rPr>
          <w:rStyle w:val="StyleUnderline"/>
          <w:highlight w:val="green"/>
        </w:rPr>
        <w:t>that will render nuclear weapons obsolete</w:t>
      </w:r>
      <w:r w:rsidRPr="00E30D68">
        <w:rPr>
          <w:rStyle w:val="StyleUnderline"/>
        </w:rPr>
        <w:t xml:space="preserve">, </w:t>
      </w:r>
      <w:r w:rsidRPr="00E30D68">
        <w:rPr>
          <w:rStyle w:val="StyleUnderline"/>
          <w:highlight w:val="green"/>
        </w:rPr>
        <w:t xml:space="preserve">ensure </w:t>
      </w:r>
      <w:r w:rsidRPr="00665CFA">
        <w:rPr>
          <w:rStyle w:val="StyleUnderline"/>
        </w:rPr>
        <w:t xml:space="preserve">the </w:t>
      </w:r>
      <w:r w:rsidRPr="00E30D68">
        <w:rPr>
          <w:rStyle w:val="StyleUnderline"/>
          <w:highlight w:val="green"/>
        </w:rPr>
        <w:t xml:space="preserve">survival </w:t>
      </w:r>
      <w:r w:rsidRPr="00665CFA">
        <w:rPr>
          <w:rStyle w:val="StyleUnderline"/>
        </w:rPr>
        <w:t xml:space="preserve">of humanity </w:t>
      </w:r>
      <w:r w:rsidRPr="00E30D68">
        <w:rPr>
          <w:rStyle w:val="StyleUnderline"/>
          <w:highlight w:val="green"/>
        </w:rPr>
        <w:t xml:space="preserve">through expansion, and </w:t>
      </w:r>
      <w:r w:rsidRPr="00665CFA">
        <w:rPr>
          <w:rStyle w:val="StyleUnderline"/>
        </w:rPr>
        <w:t xml:space="preserve">even </w:t>
      </w:r>
      <w:r w:rsidRPr="00E30D68">
        <w:rPr>
          <w:rStyle w:val="StyleUnderline"/>
          <w:highlight w:val="green"/>
        </w:rPr>
        <w:t>modifying the Earth’s weather using satellites to slow the effects of climate change.</w:t>
      </w:r>
    </w:p>
    <w:p w14:paraId="0DD508A0" w14:textId="77777777" w:rsidR="008E0D88" w:rsidRDefault="008E0D88" w:rsidP="008E0D88">
      <w:pPr>
        <w:pStyle w:val="Heading4"/>
      </w:pPr>
      <w:r>
        <w:t>Chinese dominance would be a recipe for an authoritarian hellscape of global war</w:t>
      </w:r>
    </w:p>
    <w:p w14:paraId="40B895E7" w14:textId="77777777" w:rsidR="008E0D88" w:rsidRPr="007C2398" w:rsidRDefault="008E0D88" w:rsidP="008E0D88">
      <w:pPr>
        <w:rPr>
          <w:rStyle w:val="Style13ptBold"/>
        </w:rPr>
      </w:pPr>
      <w:r w:rsidRPr="007C2398">
        <w:rPr>
          <w:rStyle w:val="Style13ptBold"/>
        </w:rPr>
        <w:t>Schuman 20</w:t>
      </w:r>
    </w:p>
    <w:p w14:paraId="045B861B" w14:textId="77777777" w:rsidR="008E0D88" w:rsidRPr="00ED408F" w:rsidRDefault="008E0D88" w:rsidP="008E0D88">
      <w:pPr>
        <w:rPr>
          <w:sz w:val="12"/>
          <w:szCs w:val="12"/>
        </w:rPr>
      </w:pPr>
      <w:r w:rsidRPr="00ED408F">
        <w:rPr>
          <w:sz w:val="12"/>
          <w:szCs w:val="12"/>
        </w:rPr>
        <w:t xml:space="preserve">Michael Schuman Michael Schuman is the author of Superpower Interrupted: The Chinese History of the World and The Miracle: The Epic Story of Asia’s Quest for Wealth. What Happens When China Leads the World The Atlantic, October 5, 2020 </w:t>
      </w:r>
      <w:hyperlink r:id="rId14" w:history="1">
        <w:r w:rsidRPr="00ED408F">
          <w:rPr>
            <w:rStyle w:val="Hyperlink"/>
            <w:sz w:val="12"/>
            <w:szCs w:val="12"/>
          </w:rPr>
          <w:t>https://www.theatlantic.com/international/archive/2020/10/what-kind-superpower-will-china-be/616580/</w:t>
        </w:r>
      </w:hyperlink>
      <w:r w:rsidRPr="00ED408F">
        <w:rPr>
          <w:sz w:val="12"/>
          <w:szCs w:val="12"/>
        </w:rPr>
        <w:t xml:space="preserve"> -CAT</w:t>
      </w:r>
    </w:p>
    <w:p w14:paraId="46345C5A" w14:textId="77777777" w:rsidR="008E0D88" w:rsidRPr="00D74B05" w:rsidRDefault="008E0D88" w:rsidP="008E0D88">
      <w:pPr>
        <w:rPr>
          <w:sz w:val="10"/>
        </w:rPr>
      </w:pPr>
      <w:r w:rsidRPr="00BA4EFB">
        <w:rPr>
          <w:rStyle w:val="StyleUnderline"/>
          <w:highlight w:val="green"/>
        </w:rPr>
        <w:t>What kind of superpower will China be</w:t>
      </w:r>
      <w:r w:rsidRPr="00ED408F">
        <w:rPr>
          <w:rStyle w:val="StyleUnderline"/>
        </w:rPr>
        <w:t xml:space="preserve">? That’s the question of the 21st century. According to American leaders such as Secretary of State Mike Pompeo, China will be </w:t>
      </w:r>
      <w:r w:rsidRPr="00BA4EFB">
        <w:rPr>
          <w:rStyle w:val="StyleUnderline"/>
          <w:highlight w:val="green"/>
        </w:rPr>
        <w:t>a rapacious authoritarian nightmare, intent on destroying democracy itself</w:t>
      </w:r>
      <w:r w:rsidRPr="00603E9F">
        <w:rPr>
          <w:sz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BA4EFB">
        <w:rPr>
          <w:rStyle w:val="Emphasis"/>
          <w:highlight w:val="green"/>
        </w:rPr>
        <w:t>China will not be a pacifist power</w:t>
      </w:r>
      <w:r w:rsidRPr="00603E9F">
        <w:rPr>
          <w:sz w:val="10"/>
        </w:rPr>
        <w:t xml:space="preserve"> In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The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Koguryo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r w:rsidRPr="00C35F51">
        <w:rPr>
          <w:rStyle w:val="StyleUnderline"/>
        </w:rPr>
        <w:t xml:space="preserve">So while Xi told the UN in September that Beijing “will never seek hegemony, expansion, or sphere of influence,” history suggests that </w:t>
      </w:r>
      <w:r w:rsidRPr="00BA4EFB">
        <w:rPr>
          <w:rStyle w:val="StyleUnderline"/>
          <w:highlight w:val="green"/>
        </w:rPr>
        <w:t xml:space="preserve">China will use force </w:t>
      </w:r>
      <w:r w:rsidRPr="00C35F51">
        <w:rPr>
          <w:rStyle w:val="StyleUnderline"/>
        </w:rPr>
        <w:t xml:space="preserve">or coercion </w:t>
      </w:r>
      <w:r w:rsidRPr="00BA4EFB">
        <w:rPr>
          <w:rStyle w:val="StyleUnderline"/>
          <w:highlight w:val="green"/>
        </w:rPr>
        <w:t>against other countries when they contest Chinese power</w:t>
      </w:r>
      <w:r w:rsidRPr="00C35F51">
        <w:rPr>
          <w:rStyle w:val="StyleUnderline"/>
        </w:rPr>
        <w:t xml:space="preserve">. </w:t>
      </w:r>
      <w:r w:rsidRPr="00BA4EFB">
        <w:rPr>
          <w:rStyle w:val="StyleUnderline"/>
          <w:highlight w:val="green"/>
        </w:rPr>
        <w:t xml:space="preserve">This has implications for </w:t>
      </w:r>
      <w:r w:rsidRPr="00C35F51">
        <w:rPr>
          <w:rStyle w:val="StyleUnderline"/>
        </w:rPr>
        <w:t xml:space="preserve">Vietnam and other Southeast Asian </w:t>
      </w:r>
      <w:r w:rsidRPr="00BA4EFB">
        <w:rPr>
          <w:rStyle w:val="StyleUnderline"/>
          <w:highlight w:val="green"/>
        </w:rPr>
        <w:t xml:space="preserve">countries that dispute China’s claim to </w:t>
      </w:r>
      <w:r w:rsidRPr="00C35F51">
        <w:rPr>
          <w:rStyle w:val="StyleUnderline"/>
        </w:rPr>
        <w:t xml:space="preserve">nearly all of the South China Sea, and for </w:t>
      </w:r>
      <w:r w:rsidRPr="00BA4EFB">
        <w:rPr>
          <w:rStyle w:val="StyleUnderline"/>
          <w:highlight w:val="green"/>
        </w:rPr>
        <w:t>Taiwan, which Beijing sees as a renegade province</w:t>
      </w:r>
      <w:r w:rsidRPr="00603E9F">
        <w:rPr>
          <w:sz w:val="10"/>
        </w:rPr>
        <w:t xml:space="preserve">. There are also signs that the Chinese will restore aspects of the old imperial order as their power expands. On two occasions, Xi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w:t>
      </w:r>
      <w:r w:rsidRPr="00D36D96">
        <w:rPr>
          <w:sz w:val="10"/>
        </w:rPr>
        <w:t xml:space="preserve">China's eastern Shandong province. (AFP / Getty) </w:t>
      </w:r>
      <w:r w:rsidRPr="00D36D96">
        <w:rPr>
          <w:rStyle w:val="StyleUnderline"/>
        </w:rPr>
        <w:t>China will export its values</w:t>
      </w:r>
      <w:r w:rsidRPr="00D36D96">
        <w:rPr>
          <w:sz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w:t>
      </w:r>
      <w:r w:rsidRPr="00603E9F">
        <w:rPr>
          <w:sz w:val="10"/>
        </w:rPr>
        <w:t>, China’s historic statesmen didn’t really expect the world to “go Chinese,” but they did promote their civilization. Ceremonies for visiting ambassadors at the imperial court were designed to awe. Tang officials built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bowed and all said: ‘How fortunate we are that the civilizing influences of the Chinese sages should reach us.’” The Chinese also understood the link between culture and power. Other peoples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C35F51">
        <w:rPr>
          <w:rStyle w:val="StyleUnderline"/>
        </w:rPr>
        <w:t>. In the wake of Beijing’s (supposedly) superior coronavirus-busting effort, Chinese officials and state media outlets have been relentlessly marketing their (authoritarian) governance system as superior, while denigrating the (democratic) U.S. by mocking its pandemic response. The implication of this is that modern China will prefer other countries to be more like them, not unlike the emperors of old</w:t>
      </w:r>
      <w:r w:rsidRPr="00603E9F">
        <w:rPr>
          <w:sz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BA4EFB">
        <w:rPr>
          <w:rStyle w:val="StyleUnderline"/>
          <w:highlight w:val="green"/>
        </w:rPr>
        <w:t>and</w:t>
      </w:r>
      <w:r w:rsidRPr="00603E9F">
        <w:rPr>
          <w:sz w:val="10"/>
        </w:rPr>
        <w:t xml:space="preserve"> participated more closely in Chinese affairs. </w:t>
      </w:r>
      <w:r w:rsidRPr="00C35F51">
        <w:rPr>
          <w:rStyle w:val="StyleUnderline"/>
        </w:rPr>
        <w:t xml:space="preserve">This suggests that ultimately China </w:t>
      </w:r>
      <w:r w:rsidRPr="00BA4EFB">
        <w:rPr>
          <w:rStyle w:val="StyleUnderline"/>
          <w:highlight w:val="green"/>
        </w:rPr>
        <w:t xml:space="preserve">will support like-minded </w:t>
      </w:r>
      <w:r w:rsidRPr="00C35F51">
        <w:rPr>
          <w:rStyle w:val="StyleUnderline"/>
        </w:rPr>
        <w:t xml:space="preserve">(read: </w:t>
      </w:r>
      <w:r w:rsidRPr="00BA4EFB">
        <w:rPr>
          <w:rStyle w:val="StyleUnderline"/>
          <w:highlight w:val="green"/>
        </w:rPr>
        <w:t>authoritarian</w:t>
      </w:r>
      <w:r w:rsidRPr="00C35F51">
        <w:rPr>
          <w:rStyle w:val="StyleUnderline"/>
        </w:rPr>
        <w:t xml:space="preserve">) </w:t>
      </w:r>
      <w:r w:rsidRPr="00BA4EFB">
        <w:rPr>
          <w:rStyle w:val="StyleUnderline"/>
          <w:highlight w:val="green"/>
        </w:rPr>
        <w:t>regimes</w:t>
      </w:r>
      <w:r w:rsidRPr="00C35F51">
        <w:rPr>
          <w:rStyle w:val="StyleUnderline"/>
        </w:rPr>
        <w:t xml:space="preserve">. </w:t>
      </w:r>
      <w:r w:rsidRPr="00BA4EFB">
        <w:rPr>
          <w:rStyle w:val="StyleUnderline"/>
          <w:highlight w:val="green"/>
        </w:rPr>
        <w:t>Indeed, it already does</w:t>
      </w:r>
      <w:r w:rsidRPr="00C35F51">
        <w:rPr>
          <w:rStyle w:val="StyleUnderline"/>
        </w:rPr>
        <w:t xml:space="preserve">: </w:t>
      </w:r>
      <w:r w:rsidRPr="00BA4EFB">
        <w:rPr>
          <w:rStyle w:val="StyleUnderline"/>
          <w:highlight w:val="green"/>
        </w:rPr>
        <w:t xml:space="preserve">It befriends illiberal governments shunned by </w:t>
      </w:r>
      <w:r w:rsidRPr="00C35F51">
        <w:rPr>
          <w:rStyle w:val="StyleUnderline"/>
        </w:rPr>
        <w:t xml:space="preserve">most </w:t>
      </w:r>
      <w:r w:rsidRPr="00BA4EFB">
        <w:rPr>
          <w:rStyle w:val="StyleUnderline"/>
          <w:highlight w:val="green"/>
        </w:rPr>
        <w:t xml:space="preserve">other countries, such as North Korea, Iran, </w:t>
      </w:r>
      <w:r w:rsidRPr="00C35F51">
        <w:rPr>
          <w:rStyle w:val="StyleUnderline"/>
        </w:rPr>
        <w:t>Belarus</w:t>
      </w:r>
      <w:r w:rsidRPr="00BA4EFB">
        <w:rPr>
          <w:rStyle w:val="StyleUnderline"/>
          <w:highlight w:val="green"/>
        </w:rPr>
        <w:t>, and Venezuela</w:t>
      </w:r>
      <w:r w:rsidRPr="00603E9F">
        <w:rPr>
          <w:sz w:val="10"/>
        </w:rPr>
        <w:t xml:space="preserve">. China only tolerates relationships it can dominate Even in deep antiquity, the Chinese considered themselves better than other peoples because they believed that their civilization was civilization. This formed the basis of </w:t>
      </w:r>
      <w:r w:rsidRPr="00BA4EFB">
        <w:rPr>
          <w:rStyle w:val="StyleUnderline"/>
          <w:highlight w:val="green"/>
        </w:rPr>
        <w:t>a</w:t>
      </w:r>
      <w:r w:rsidRPr="00603E9F">
        <w:rPr>
          <w:sz w:val="10"/>
        </w:rPr>
        <w:t xml:space="preserve"> worldview in which the Chinese sat atop the hierarchy. They did not believe in equal relationships, at least in official or ideological terms. </w:t>
      </w:r>
      <w:r w:rsidRPr="00C35F51">
        <w:rPr>
          <w:rStyle w:val="StyleUnderline"/>
        </w:rPr>
        <w:t xml:space="preserve">Their </w:t>
      </w:r>
      <w:r w:rsidRPr="00BA4EFB">
        <w:rPr>
          <w:rStyle w:val="StyleUnderline"/>
          <w:highlight w:val="green"/>
        </w:rPr>
        <w:t>world order</w:t>
      </w:r>
      <w:r w:rsidRPr="00C35F51">
        <w:rPr>
          <w:rStyle w:val="StyleUnderline"/>
        </w:rPr>
        <w:t xml:space="preserve">, with its rules and norms, was </w:t>
      </w:r>
      <w:r w:rsidRPr="00BA4EFB">
        <w:rPr>
          <w:rStyle w:val="StyleUnderline"/>
          <w:highlight w:val="green"/>
        </w:rPr>
        <w:t xml:space="preserve">based on </w:t>
      </w:r>
      <w:r w:rsidRPr="00C35F51">
        <w:rPr>
          <w:rStyle w:val="StyleUnderline"/>
        </w:rPr>
        <w:t xml:space="preserve">the principle of </w:t>
      </w:r>
      <w:r w:rsidRPr="00BA4EFB">
        <w:rPr>
          <w:rStyle w:val="StyleUnderline"/>
          <w:highlight w:val="green"/>
        </w:rPr>
        <w:t>Chinese superiority</w:t>
      </w:r>
      <w:r w:rsidRPr="00C35F51">
        <w:rPr>
          <w:rStyle w:val="StyleUnderline"/>
        </w:rPr>
        <w:t xml:space="preserve">, </w:t>
      </w:r>
      <w:r w:rsidRPr="00BA4EFB">
        <w:rPr>
          <w:rStyle w:val="StyleUnderline"/>
          <w:highlight w:val="green"/>
        </w:rPr>
        <w:t>and the acceptance of that superiority by all others</w:t>
      </w:r>
      <w:r w:rsidRPr="00603E9F">
        <w:rPr>
          <w:sz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6511CD">
        <w:rPr>
          <w:rStyle w:val="StyleUnderlin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remained regional. But now, in the age of globalization, Beijing’s influence may achieve that lofty goal</w:t>
      </w:r>
      <w:r w:rsidRPr="00603E9F">
        <w:rPr>
          <w:sz w:val="10"/>
        </w:rPr>
        <w:t>.</w:t>
      </w:r>
    </w:p>
    <w:p w14:paraId="60CD0E7E" w14:textId="2FE79C8E" w:rsidR="007E05D1" w:rsidRPr="007E05D1" w:rsidRDefault="00EA6E98" w:rsidP="008E0D88">
      <w:pPr>
        <w:pStyle w:val="Heading2"/>
      </w:pPr>
      <w:r>
        <w:t>3</w:t>
      </w:r>
      <w:r w:rsidR="008E0D88">
        <w:t xml:space="preserve"> - CP</w:t>
      </w:r>
    </w:p>
    <w:p w14:paraId="0320782B" w14:textId="77777777" w:rsidR="008E0D88" w:rsidRDefault="008E0D88" w:rsidP="008E0D88">
      <w:pPr>
        <w:pStyle w:val="Heading3"/>
      </w:pPr>
      <w:bookmarkStart w:id="0" w:name="_Hlk92474553"/>
      <w:r>
        <w:t>ISA Regulation</w:t>
      </w:r>
    </w:p>
    <w:p w14:paraId="0FAECB69" w14:textId="77777777" w:rsidR="008E0D88" w:rsidRDefault="008E0D88" w:rsidP="008E0D88">
      <w:pPr>
        <w:pStyle w:val="Heading4"/>
      </w:pPr>
      <w:r>
        <w:t>Text: States should create a binding international regulatory framework using the ISA model for property rights in outer space – standards as per the Chouhan card.</w:t>
      </w:r>
    </w:p>
    <w:p w14:paraId="3FBE410E" w14:textId="77777777" w:rsidR="008E0D88" w:rsidRPr="009B6A8A" w:rsidRDefault="008E0D88" w:rsidP="008E0D88">
      <w:pPr>
        <w:pStyle w:val="Heading4"/>
      </w:pPr>
      <w:r>
        <w:t>It competes – we permit private appropriation of outer space – and better solves the AFF</w:t>
      </w:r>
    </w:p>
    <w:p w14:paraId="00D292A0" w14:textId="77777777" w:rsidR="008E0D88" w:rsidRPr="00870086" w:rsidRDefault="008E0D88" w:rsidP="008E0D88">
      <w:pPr>
        <w:rPr>
          <w:rStyle w:val="Style13ptBold"/>
        </w:rPr>
      </w:pPr>
      <w:r>
        <w:rPr>
          <w:rStyle w:val="Style13ptBold"/>
        </w:rPr>
        <w:t>Chouhan 21</w:t>
      </w:r>
    </w:p>
    <w:p w14:paraId="294FC41E" w14:textId="77777777" w:rsidR="008E0D88" w:rsidRPr="000328F3" w:rsidRDefault="008E0D88" w:rsidP="008E0D88">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15" w:history="1">
        <w:r w:rsidRPr="000328F3">
          <w:rPr>
            <w:rStyle w:val="Hyperlink"/>
            <w:sz w:val="12"/>
            <w:szCs w:val="12"/>
          </w:rPr>
          <w:t>https://papers.ssrn.com/sol3/papers.cfm?abstract_id=3832673</w:t>
        </w:r>
      </w:hyperlink>
      <w:r w:rsidRPr="000328F3">
        <w:rPr>
          <w:sz w:val="12"/>
          <w:szCs w:val="12"/>
        </w:rPr>
        <w:t xml:space="preserve"> -CAT</w:t>
      </w:r>
    </w:p>
    <w:p w14:paraId="74236B05" w14:textId="77777777" w:rsidR="008E0D88" w:rsidRDefault="008E0D88" w:rsidP="008E0D88">
      <w:pPr>
        <w:pStyle w:val="ListParagraph"/>
        <w:numPr>
          <w:ilvl w:val="0"/>
          <w:numId w:val="11"/>
        </w:numPr>
        <w:rPr>
          <w:rStyle w:val="StyleUnderline"/>
        </w:rPr>
      </w:pPr>
      <w:r>
        <w:rPr>
          <w:rStyle w:val="StyleUnderline"/>
        </w:rPr>
        <w:t>ISA = International Seabed Authority</w:t>
      </w:r>
    </w:p>
    <w:p w14:paraId="0DCD8609" w14:textId="77777777" w:rsidR="008E0D88" w:rsidRDefault="008E0D88" w:rsidP="008E0D88">
      <w:pPr>
        <w:pStyle w:val="ListParagraph"/>
        <w:numPr>
          <w:ilvl w:val="0"/>
          <w:numId w:val="11"/>
        </w:numPr>
        <w:rPr>
          <w:rStyle w:val="StyleUnderline"/>
        </w:rPr>
      </w:pPr>
      <w:r>
        <w:rPr>
          <w:rStyle w:val="StyleUnderline"/>
        </w:rPr>
        <w:t>CLOS = Convention on the Law of the Sea</w:t>
      </w:r>
    </w:p>
    <w:p w14:paraId="209BAFA8" w14:textId="77777777" w:rsidR="008E0D88" w:rsidRPr="000328F3" w:rsidRDefault="008E0D88" w:rsidP="008E0D88">
      <w:pPr>
        <w:pStyle w:val="ListParagraph"/>
        <w:numPr>
          <w:ilvl w:val="0"/>
          <w:numId w:val="11"/>
        </w:numPr>
        <w:rPr>
          <w:rStyle w:val="StyleUnderline"/>
        </w:rPr>
      </w:pPr>
      <w:r w:rsidRPr="000328F3">
        <w:rPr>
          <w:rStyle w:val="StyleUnderline"/>
        </w:rPr>
        <w:t>Bracketed to avoid gendered language</w:t>
      </w:r>
    </w:p>
    <w:p w14:paraId="0FAE9634" w14:textId="77777777" w:rsidR="008E0D88" w:rsidRPr="00AB07E1" w:rsidRDefault="008E0D88" w:rsidP="008E0D88">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Open ocean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in the development of space frontiers as they can still keep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era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exploitation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the all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International peace, prosperity and demilitarization of space.</w:t>
      </w:r>
    </w:p>
    <w:p w14:paraId="37C4F805" w14:textId="77777777" w:rsidR="008E0D88" w:rsidRPr="007C2DC5" w:rsidRDefault="008E0D88" w:rsidP="008E0D88">
      <w:pPr>
        <w:pStyle w:val="Heading4"/>
      </w:pPr>
      <w:r>
        <w:t xml:space="preserve">It's feasible – I-law reaches a </w:t>
      </w:r>
      <w:r>
        <w:rPr>
          <w:u w:val="single"/>
        </w:rPr>
        <w:t>clear and enforceable consensus</w:t>
      </w:r>
    </w:p>
    <w:p w14:paraId="1A6BBB53" w14:textId="77777777" w:rsidR="008E0D88" w:rsidRPr="009B6A8A" w:rsidRDefault="008E0D88" w:rsidP="008E0D88">
      <w:pPr>
        <w:rPr>
          <w:rStyle w:val="Style13ptBold"/>
        </w:rPr>
      </w:pPr>
      <w:r>
        <w:rPr>
          <w:rStyle w:val="Style13ptBold"/>
        </w:rPr>
        <w:t>O’Brien 19</w:t>
      </w:r>
    </w:p>
    <w:p w14:paraId="31FE1B05" w14:textId="77777777" w:rsidR="008E0D88" w:rsidRPr="00282991" w:rsidRDefault="008E0D88" w:rsidP="008E0D88">
      <w:pPr>
        <w:rPr>
          <w:sz w:val="12"/>
          <w:szCs w:val="12"/>
        </w:rPr>
      </w:pPr>
      <w:r w:rsidRPr="00282991">
        <w:rPr>
          <w:sz w:val="12"/>
          <w:szCs w:val="12"/>
        </w:rPr>
        <w:t xml:space="preserve">Beyond UNISPACE: It’s time for the Moon Treaty by Dennis C. O’Brien Monday, January 21, 2019 The Space Review. </w:t>
      </w:r>
      <w:hyperlink r:id="rId16" w:history="1">
        <w:r w:rsidRPr="00282991">
          <w:rPr>
            <w:rStyle w:val="Hyperlink"/>
            <w:sz w:val="12"/>
            <w:szCs w:val="12"/>
          </w:rPr>
          <w:t>https://www.thespacereview.com/article/3642/1</w:t>
        </w:r>
      </w:hyperlink>
      <w:r w:rsidRPr="00282991">
        <w:rPr>
          <w:sz w:val="12"/>
          <w:szCs w:val="12"/>
        </w:rPr>
        <w:t xml:space="preserve"> -CAT</w:t>
      </w:r>
    </w:p>
    <w:p w14:paraId="7C5F6DAC" w14:textId="77777777" w:rsidR="008E0D88" w:rsidRDefault="008E0D88" w:rsidP="008E0D88">
      <w:pPr>
        <w:pStyle w:val="ListParagraph"/>
        <w:numPr>
          <w:ilvl w:val="0"/>
          <w:numId w:val="11"/>
        </w:numPr>
      </w:pPr>
      <w:r>
        <w:t>We’ll also insert the graph of 157 countries in the doc; all light AND dark blue countries have adopted CLOS – that’s Europe, most of Africa and Asia, Australia, Canada, Mexico, and most of South America.</w:t>
      </w:r>
    </w:p>
    <w:p w14:paraId="73FF5E09" w14:textId="77777777" w:rsidR="008E0D88" w:rsidRPr="00840E02" w:rsidRDefault="008E0D88" w:rsidP="008E0D88">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similar to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was given new life through</w:t>
      </w:r>
      <w:r w:rsidRPr="00282991">
        <w:rPr>
          <w:rStyle w:val="StyleUnderline"/>
          <w:highlight w:val="green"/>
        </w:rPr>
        <w:t xml:space="preserve"> </w:t>
      </w:r>
      <w:r w:rsidRPr="00282991">
        <w:rPr>
          <w:rStyle w:val="StyleUnderline"/>
        </w:rPr>
        <w:t xml:space="preserve">the use of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8E0D88" w:rsidRPr="009B6A8A" w14:paraId="4D416469" w14:textId="77777777" w:rsidTr="003C32A5">
        <w:trPr>
          <w:tblCellSpacing w:w="15" w:type="dxa"/>
          <w:jc w:val="center"/>
        </w:trPr>
        <w:tc>
          <w:tcPr>
            <w:tcW w:w="0" w:type="auto"/>
            <w:shd w:val="clear" w:color="auto" w:fill="FFFFFF"/>
            <w:vAlign w:val="center"/>
            <w:hideMark/>
          </w:tcPr>
          <w:p w14:paraId="26C77788" w14:textId="77777777" w:rsidR="008E0D88" w:rsidRPr="009B6A8A" w:rsidRDefault="008E0D88" w:rsidP="003C32A5">
            <w:r w:rsidRPr="009B6A8A">
              <w:rPr>
                <w:noProof/>
              </w:rPr>
              <w:drawing>
                <wp:inline distT="0" distB="0" distL="0" distR="0" wp14:anchorId="6A248DF2" wp14:editId="17666059">
                  <wp:extent cx="5715000" cy="2914650"/>
                  <wp:effectExtent l="0" t="0" r="0" b="0"/>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60B5FF56" w14:textId="77777777" w:rsidR="008E0D88" w:rsidRPr="00840E02" w:rsidRDefault="008E0D88" w:rsidP="008E0D88">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(emphasis added)</w:t>
      </w:r>
      <w:r w:rsidRPr="00840E02">
        <w:rPr>
          <w:sz w:val="12"/>
        </w:rPr>
        <w:t xml:space="preserve"> [9] </w:t>
      </w:r>
    </w:p>
    <w:p w14:paraId="4111755C" w14:textId="77777777" w:rsidR="008E0D88" w:rsidRPr="00C52ABF" w:rsidRDefault="008E0D88" w:rsidP="008E0D88">
      <w:pPr>
        <w:pStyle w:val="Heading4"/>
        <w:rPr>
          <w:rStyle w:val="Style13ptBold"/>
          <w:b/>
          <w:bCs w:val="0"/>
        </w:rPr>
      </w:pPr>
      <w:r>
        <w:rPr>
          <w:rStyle w:val="Style13ptBold"/>
          <w:b/>
        </w:rPr>
        <w:t xml:space="preserve">The </w:t>
      </w:r>
      <w:r w:rsidRPr="00815A3B">
        <w:rPr>
          <w:rStyle w:val="Style13ptBold"/>
          <w:b/>
          <w:u w:val="single"/>
        </w:rPr>
        <w:t>internal net benefit</w:t>
      </w:r>
      <w:r>
        <w:rPr>
          <w:rStyle w:val="Style13ptBold"/>
          <w:b/>
        </w:rPr>
        <w:t xml:space="preserve"> is that e</w:t>
      </w:r>
      <w:r w:rsidRPr="00C52ABF">
        <w:rPr>
          <w:rStyle w:val="Style13ptBold"/>
          <w:b/>
        </w:rPr>
        <w:t>nforceable consensus avoids the 1AC’s inevitable race to the bottom</w:t>
      </w:r>
    </w:p>
    <w:p w14:paraId="55D03292" w14:textId="77777777" w:rsidR="008E0D88" w:rsidRPr="00043AAA" w:rsidRDefault="008E0D88" w:rsidP="008E0D88">
      <w:pPr>
        <w:rPr>
          <w:rStyle w:val="Style13ptBold"/>
        </w:rPr>
      </w:pPr>
      <w:r>
        <w:rPr>
          <w:rStyle w:val="Style13ptBold"/>
        </w:rPr>
        <w:t>Tjandra 21</w:t>
      </w:r>
    </w:p>
    <w:p w14:paraId="2F30F750" w14:textId="77777777" w:rsidR="008E0D88" w:rsidRPr="009F102D" w:rsidRDefault="008E0D88" w:rsidP="008E0D88">
      <w:pPr>
        <w:rPr>
          <w:sz w:val="12"/>
          <w:szCs w:val="12"/>
        </w:rPr>
      </w:pPr>
      <w:r w:rsidRPr="009F102D">
        <w:rPr>
          <w:sz w:val="12"/>
          <w:szCs w:val="12"/>
        </w:rPr>
        <w:t>Tjandra, Jonathan. ‘The Fragmentation of Property Rights in the Law of Outer Space’. Air &amp; Space Law 46, no. 3 (2021): 373–394. CAT</w:t>
      </w:r>
    </w:p>
    <w:p w14:paraId="048C7D9A" w14:textId="77777777" w:rsidR="008E0D88" w:rsidRPr="001575D0" w:rsidRDefault="008E0D88" w:rsidP="008E0D88">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the international community is left with the least best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1CBB1FA4" w14:textId="77777777" w:rsidR="008E0D88" w:rsidRDefault="008E0D88" w:rsidP="008E0D88">
      <w:pPr>
        <w:pStyle w:val="Heading4"/>
      </w:pPr>
      <w:bookmarkStart w:id="1" w:name="_Hlk92274716"/>
      <w:r>
        <w:t xml:space="preserve">The </w:t>
      </w:r>
      <w:r w:rsidRPr="00815A3B">
        <w:rPr>
          <w:u w:val="single"/>
        </w:rPr>
        <w:t>external NB</w:t>
      </w:r>
      <w:r>
        <w:t xml:space="preserve"> is that I-law controls the internal link to </w:t>
      </w:r>
      <w:r>
        <w:rPr>
          <w:u w:val="single"/>
        </w:rPr>
        <w:t>every existential threat</w:t>
      </w:r>
      <w:r>
        <w:t>.</w:t>
      </w:r>
    </w:p>
    <w:p w14:paraId="51B98DE0" w14:textId="77777777" w:rsidR="008E0D88" w:rsidRPr="00BA634A" w:rsidRDefault="008E0D88" w:rsidP="008E0D88">
      <w:pPr>
        <w:rPr>
          <w:rStyle w:val="Style13ptBold"/>
        </w:rPr>
      </w:pPr>
      <w:r w:rsidRPr="00BA634A">
        <w:rPr>
          <w:rStyle w:val="Style13ptBold"/>
        </w:rPr>
        <w:t>Mecklin 21</w:t>
      </w:r>
    </w:p>
    <w:p w14:paraId="5684A629" w14:textId="77777777" w:rsidR="008E0D88" w:rsidRPr="00BA634A" w:rsidRDefault="008E0D88" w:rsidP="008E0D88">
      <w:pPr>
        <w:rPr>
          <w:sz w:val="12"/>
          <w:szCs w:val="12"/>
        </w:rPr>
      </w:pPr>
      <w:r w:rsidRPr="00BA634A">
        <w:rPr>
          <w:sz w:val="12"/>
          <w:szCs w:val="12"/>
        </w:rPr>
        <w:t xml:space="preserve">John Mecklin,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8" w:history="1">
        <w:r w:rsidRPr="00BA634A">
          <w:rPr>
            <w:rStyle w:val="Hyperlink"/>
            <w:sz w:val="12"/>
            <w:szCs w:val="12"/>
          </w:rPr>
          <w:t>https://thebulletin.org/doomsday-clock/current-time/</w:t>
        </w:r>
      </w:hyperlink>
      <w:r w:rsidRPr="00BA634A">
        <w:rPr>
          <w:sz w:val="12"/>
          <w:szCs w:val="12"/>
        </w:rPr>
        <w:t xml:space="preserve"> -CAT</w:t>
      </w:r>
    </w:p>
    <w:p w14:paraId="39E7604A" w14:textId="77777777" w:rsidR="008E0D88" w:rsidRPr="00E62B25" w:rsidRDefault="008E0D88" w:rsidP="008E0D88">
      <w:pPr>
        <w:rPr>
          <w:sz w:val="8"/>
        </w:rPr>
      </w:pPr>
      <w:r w:rsidRPr="003D1119">
        <w:rPr>
          <w:sz w:val="8"/>
        </w:rPr>
        <w:t xml:space="preserve">Humanity continues to suffer as the COVID-19 pandemic spreads around the world. In 2020 alone, this novel disease killed 1.7 million people and sickened at least 70 million more. </w:t>
      </w:r>
      <w:r w:rsidRPr="00A31803">
        <w:rPr>
          <w:u w:val="single"/>
        </w:rPr>
        <w:t xml:space="preserve">The pandemic revealed just how unprepared and unwilling countries and the international system are to handle global emergencies properly. </w:t>
      </w:r>
      <w:r w:rsidRPr="00A31803">
        <w:rPr>
          <w:rStyle w:val="StyleUnderline"/>
        </w:rPr>
        <w:t>In this time of genuine crisis, governments too often abdicated responsibility, ignored scientific advice, did not cooperate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w:t>
      </w:r>
      <w:r w:rsidRPr="00BA634A">
        <w:rPr>
          <w:rStyle w:val="StyleUnderline"/>
        </w:rPr>
        <w:t xml:space="preserve"> expect the disease to recede eventually</w:t>
      </w:r>
      <w:r w:rsidRPr="00BA634A">
        <w:rPr>
          <w:sz w:val="8"/>
        </w:rPr>
        <w:t xml:space="preserve">. </w:t>
      </w:r>
      <w:r w:rsidRPr="00A31803">
        <w:rPr>
          <w:rStyle w:val="StyleUnderline"/>
        </w:rPr>
        <w:t xml:space="preserve">Still, the pandemic serves as a historic wake-up call, a vivid illustration that </w:t>
      </w:r>
      <w:r w:rsidRPr="00712AE3">
        <w:rPr>
          <w:rStyle w:val="StyleUnderline"/>
          <w:highlight w:val="green"/>
        </w:rPr>
        <w:t>national gov</w:t>
      </w:r>
      <w:r w:rsidRPr="00801051">
        <w:rPr>
          <w:rStyle w:val="StyleUnderline"/>
          <w:highlight w:val="green"/>
        </w:rPr>
        <w:t xml:space="preserve">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or the other dangers—including more virulent pandemics and next-generation warfare—that could threaten civilization in the near future</w:t>
      </w:r>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19"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w:t>
      </w:r>
      <w:r w:rsidRPr="00712AE3">
        <w:rPr>
          <w:rStyle w:val="StyleUnderline"/>
        </w:rPr>
        <w:t xml:space="preserve">reorder their priorities and </w:t>
      </w:r>
      <w:r w:rsidRPr="00AF1D57">
        <w:rPr>
          <w:rStyle w:val="StyleUnderline"/>
          <w:highlight w:val="green"/>
        </w:rPr>
        <w:t>c</w:t>
      </w:r>
      <w:r w:rsidRPr="00801051">
        <w:rPr>
          <w:rStyle w:val="StyleUnderline"/>
          <w:highlight w:val="green"/>
        </w:rPr>
        <w:t xml:space="preserve">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bookmarkEnd w:id="0"/>
      <w:bookmarkEnd w:id="1"/>
    </w:p>
    <w:p w14:paraId="47FF2F4F" w14:textId="42872507" w:rsidR="000870E3" w:rsidRPr="000870E3" w:rsidRDefault="000870E3" w:rsidP="000870E3">
      <w:pPr>
        <w:pStyle w:val="Heading4"/>
      </w:pPr>
      <w:r>
        <w:t>It’s conditional. Condo’s good versus new affs—lack of in-depth prep means we need the flexibility to test it from multiple angles.</w:t>
      </w:r>
    </w:p>
    <w:p w14:paraId="6161845D" w14:textId="77777777" w:rsidR="0065320D" w:rsidRPr="0065320D" w:rsidRDefault="0065320D" w:rsidP="0065320D"/>
    <w:sectPr w:rsidR="0065320D" w:rsidRPr="00653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7B5B3829"/>
    <w:multiLevelType w:val="hybridMultilevel"/>
    <w:tmpl w:val="001A483E"/>
    <w:lvl w:ilvl="0" w:tplc="6F2C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3452506">
    <w:abstractNumId w:val="9"/>
  </w:num>
  <w:num w:numId="2" w16cid:durableId="660231305">
    <w:abstractNumId w:val="7"/>
  </w:num>
  <w:num w:numId="3" w16cid:durableId="133183539">
    <w:abstractNumId w:val="6"/>
  </w:num>
  <w:num w:numId="4" w16cid:durableId="162359157">
    <w:abstractNumId w:val="5"/>
  </w:num>
  <w:num w:numId="5" w16cid:durableId="2136898859">
    <w:abstractNumId w:val="4"/>
  </w:num>
  <w:num w:numId="6" w16cid:durableId="216358334">
    <w:abstractNumId w:val="8"/>
  </w:num>
  <w:num w:numId="7" w16cid:durableId="1566254788">
    <w:abstractNumId w:val="3"/>
  </w:num>
  <w:num w:numId="8" w16cid:durableId="305748792">
    <w:abstractNumId w:val="2"/>
  </w:num>
  <w:num w:numId="9" w16cid:durableId="1197082574">
    <w:abstractNumId w:val="1"/>
  </w:num>
  <w:num w:numId="10" w16cid:durableId="1359043804">
    <w:abstractNumId w:val="0"/>
  </w:num>
  <w:num w:numId="11" w16cid:durableId="1150633215">
    <w:abstractNumId w:val="11"/>
  </w:num>
  <w:num w:numId="12" w16cid:durableId="1412704521">
    <w:abstractNumId w:val="10"/>
  </w:num>
  <w:num w:numId="13" w16cid:durableId="6751103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2D7A"/>
    <w:rsid w:val="000139A3"/>
    <w:rsid w:val="000870E3"/>
    <w:rsid w:val="000875C8"/>
    <w:rsid w:val="000E07D4"/>
    <w:rsid w:val="00100833"/>
    <w:rsid w:val="00104529"/>
    <w:rsid w:val="00105942"/>
    <w:rsid w:val="00107396"/>
    <w:rsid w:val="00144A4C"/>
    <w:rsid w:val="00176AB0"/>
    <w:rsid w:val="00177B7D"/>
    <w:rsid w:val="0018322D"/>
    <w:rsid w:val="0019662C"/>
    <w:rsid w:val="001B5776"/>
    <w:rsid w:val="001E527A"/>
    <w:rsid w:val="001F78CE"/>
    <w:rsid w:val="002070DA"/>
    <w:rsid w:val="00251FC7"/>
    <w:rsid w:val="002855A7"/>
    <w:rsid w:val="002B146A"/>
    <w:rsid w:val="002B5E17"/>
    <w:rsid w:val="002F226C"/>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5320D"/>
    <w:rsid w:val="00665003"/>
    <w:rsid w:val="006A2AD0"/>
    <w:rsid w:val="006C2375"/>
    <w:rsid w:val="006D4ECC"/>
    <w:rsid w:val="00722258"/>
    <w:rsid w:val="007243E5"/>
    <w:rsid w:val="00766EA0"/>
    <w:rsid w:val="00782D7A"/>
    <w:rsid w:val="007A2226"/>
    <w:rsid w:val="007E05D1"/>
    <w:rsid w:val="007F5B66"/>
    <w:rsid w:val="00815A3B"/>
    <w:rsid w:val="00823A1C"/>
    <w:rsid w:val="00845B9D"/>
    <w:rsid w:val="00860984"/>
    <w:rsid w:val="008B3ECB"/>
    <w:rsid w:val="008B4E85"/>
    <w:rsid w:val="008B5D40"/>
    <w:rsid w:val="008C1B2E"/>
    <w:rsid w:val="008E0D8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62B25"/>
    <w:rsid w:val="00EA6E98"/>
    <w:rsid w:val="00EC7DC4"/>
    <w:rsid w:val="00ED30CF"/>
    <w:rsid w:val="00F176EF"/>
    <w:rsid w:val="00F45E10"/>
    <w:rsid w:val="00F6142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16D5C"/>
  <w15:chartTrackingRefBased/>
  <w15:docId w15:val="{BCD92D85-B1B4-452C-BFDF-70CB11129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1427"/>
    <w:rPr>
      <w:rFonts w:ascii="Calibri" w:hAnsi="Calibri"/>
    </w:rPr>
  </w:style>
  <w:style w:type="paragraph" w:styleId="Heading1">
    <w:name w:val="heading 1"/>
    <w:aliases w:val="Pocket"/>
    <w:basedOn w:val="Normal"/>
    <w:next w:val="Normal"/>
    <w:link w:val="Heading1Char"/>
    <w:qFormat/>
    <w:rsid w:val="00F614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14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F614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F614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14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427"/>
  </w:style>
  <w:style w:type="character" w:customStyle="1" w:styleId="Heading1Char">
    <w:name w:val="Heading 1 Char"/>
    <w:aliases w:val="Pocket Char"/>
    <w:basedOn w:val="DefaultParagraphFont"/>
    <w:link w:val="Heading1"/>
    <w:rsid w:val="00F614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142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F6142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F6142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F6142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6142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F61427"/>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61427"/>
    <w:rPr>
      <w:color w:val="auto"/>
      <w:u w:val="none"/>
    </w:rPr>
  </w:style>
  <w:style w:type="character" w:styleId="FollowedHyperlink">
    <w:name w:val="FollowedHyperlink"/>
    <w:basedOn w:val="DefaultParagraphFont"/>
    <w:uiPriority w:val="99"/>
    <w:semiHidden/>
    <w:unhideWhenUsed/>
    <w:rsid w:val="00F61427"/>
    <w:rPr>
      <w:color w:val="auto"/>
      <w:u w:val="none"/>
    </w:rPr>
  </w:style>
  <w:style w:type="character" w:customStyle="1" w:styleId="tl8wme">
    <w:name w:val="tl8wme"/>
    <w:basedOn w:val="DefaultParagraphFont"/>
    <w:rsid w:val="0019662C"/>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815A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15A3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815A3B"/>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qFormat/>
    <w:rsid w:val="00815A3B"/>
    <w:pPr>
      <w:ind w:left="720"/>
      <w:contextualSpacing/>
    </w:pPr>
  </w:style>
  <w:style w:type="character" w:styleId="IntenseEmphasis">
    <w:name w:val="Intense Emphasis"/>
    <w:aliases w:val="9.5 pt,Cites and Cards Char1,Bold Underlined Char1,9.5 p,9.5,Title Cha,8.,Title Char2,Cites and Cards Char2,UNDERLINE Char2,Bold Cite Char2,Underline Cha,Minimized Ch"/>
    <w:basedOn w:val="DefaultParagraphFont"/>
    <w:uiPriority w:val="6"/>
    <w:qFormat/>
    <w:rsid w:val="00EA6E9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672790">
      <w:bodyDiv w:val="1"/>
      <w:marLeft w:val="0"/>
      <w:marRight w:val="0"/>
      <w:marTop w:val="0"/>
      <w:marBottom w:val="0"/>
      <w:divBdr>
        <w:top w:val="none" w:sz="0" w:space="0" w:color="auto"/>
        <w:left w:val="none" w:sz="0" w:space="0" w:color="auto"/>
        <w:bottom w:val="none" w:sz="0" w:space="0" w:color="auto"/>
        <w:right w:val="none" w:sz="0" w:space="0" w:color="auto"/>
      </w:divBdr>
      <w:divsChild>
        <w:div w:id="740567753">
          <w:marLeft w:val="135"/>
          <w:marRight w:val="135"/>
          <w:marTop w:val="0"/>
          <w:marBottom w:val="90"/>
          <w:divBdr>
            <w:top w:val="none" w:sz="0" w:space="0" w:color="auto"/>
            <w:left w:val="none" w:sz="0" w:space="0" w:color="auto"/>
            <w:bottom w:val="none" w:sz="0" w:space="0" w:color="auto"/>
            <w:right w:val="none" w:sz="0" w:space="0" w:color="auto"/>
          </w:divBdr>
        </w:div>
        <w:div w:id="1962228209">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terms/p/publiccompany.asp" TargetMode="External"/><Relationship Id="rId13" Type="http://schemas.openxmlformats.org/officeDocument/2006/relationships/hyperlink" Target="https://www.cnn.com/2021/04/01/opinions/china-space-race-us-spacex-berger/index.html" TargetMode="External"/><Relationship Id="rId18" Type="http://schemas.openxmlformats.org/officeDocument/2006/relationships/hyperlink" Target="https://thebulletin.org/doomsday-clock/current-tim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investopedia.com/terms/i/ipo.asp" TargetMode="External"/><Relationship Id="rId12" Type="http://schemas.openxmlformats.org/officeDocument/2006/relationships/hyperlink" Target="https://www.harpercollins.com/products/liftoff-eric-berger?variant=32126620205090"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thespacereview.com/article/364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ndtceda.com/archives/200102/0790.html" TargetMode="External"/><Relationship Id="rId11" Type="http://schemas.openxmlformats.org/officeDocument/2006/relationships/hyperlink" Target="http://onlinelibrary.wiley.com/doi/10.1111/j.0032-3217.2003.00450.x/pdf" TargetMode="External"/><Relationship Id="rId5" Type="http://schemas.openxmlformats.org/officeDocument/2006/relationships/webSettings" Target="webSettings.xml"/><Relationship Id="rId15" Type="http://schemas.openxmlformats.org/officeDocument/2006/relationships/hyperlink" Target="https://papers.ssrn.com/sol3/papers.cfm?abstract_id=3832673" TargetMode="External"/><Relationship Id="rId10" Type="http://schemas.openxmlformats.org/officeDocument/2006/relationships/hyperlink" Target="https://www.merriam-webster.com/dictionary/outer%20space" TargetMode="External"/><Relationship Id="rId19" Type="http://schemas.openxmlformats.org/officeDocument/2006/relationships/hyperlink" Target="https://thebulletin.org/doomsday-clock/current-time/" TargetMode="External"/><Relationship Id="rId4" Type="http://schemas.openxmlformats.org/officeDocument/2006/relationships/settings" Target="settings.xml"/><Relationship Id="rId9" Type="http://schemas.openxmlformats.org/officeDocument/2006/relationships/hyperlink" Target="https://www.investopedia.com/ask/answers/09/how-to-value-shares-in-private-company.asp" TargetMode="External"/><Relationship Id="rId14" Type="http://schemas.openxmlformats.org/officeDocument/2006/relationships/hyperlink" Target="https://www.theatlantic.com/international/archive/2020/10/what-kind-superpower-will-china-be/6165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15355</Words>
  <Characters>87529</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12</cp:revision>
  <dcterms:created xsi:type="dcterms:W3CDTF">2022-04-23T17:16:00Z</dcterms:created>
  <dcterms:modified xsi:type="dcterms:W3CDTF">2022-04-23T18:49:00Z</dcterms:modified>
</cp:coreProperties>
</file>