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0367" w14:textId="1B6ED3F7" w:rsidR="00CA7325" w:rsidRDefault="00CA7325" w:rsidP="00CA7325">
      <w:pPr>
        <w:pStyle w:val="Heading1"/>
      </w:pPr>
      <w:r>
        <w:t>NEG</w:t>
      </w:r>
    </w:p>
    <w:p w14:paraId="2B0199FA" w14:textId="51E2229F" w:rsidR="009A5CAC" w:rsidRDefault="009A5CAC" w:rsidP="009A5CAC">
      <w:pPr>
        <w:pStyle w:val="Heading2"/>
      </w:pPr>
      <w:r>
        <w:t>1</w:t>
      </w:r>
    </w:p>
    <w:p w14:paraId="02AF4CF2" w14:textId="1F813DA3" w:rsidR="009A5CAC" w:rsidRDefault="009A5CAC" w:rsidP="009A5CAC">
      <w:pPr>
        <w:pStyle w:val="Heading3"/>
      </w:pPr>
      <w:r>
        <w:t>Disclosure</w:t>
      </w:r>
    </w:p>
    <w:p w14:paraId="25C027A3" w14:textId="5E1D1BC6" w:rsidR="009A5CAC" w:rsidRDefault="009A5CAC" w:rsidP="009A5CAC">
      <w:pPr>
        <w:pStyle w:val="Heading4"/>
      </w:pPr>
      <w:r w:rsidRPr="004670E7">
        <w:t xml:space="preserve">Interp: </w:t>
      </w:r>
      <w:r>
        <w:t>At all TOC bid-distributing tournaments, d</w:t>
      </w:r>
      <w:r w:rsidRPr="004670E7">
        <w:t xml:space="preserve">ebaters must disclose </w:t>
      </w:r>
      <w:r>
        <w:t xml:space="preserve">the 1AC </w:t>
      </w:r>
      <w:r w:rsidRPr="004670E7">
        <w:t>at least 30 minutes before the round</w:t>
      </w:r>
      <w:r>
        <w:t xml:space="preserve"> via email or comparable method.</w:t>
      </w:r>
    </w:p>
    <w:p w14:paraId="57BD55CE" w14:textId="5CE98EDF" w:rsidR="009A5CAC" w:rsidRDefault="009A5CAC" w:rsidP="009A5CAC">
      <w:pPr>
        <w:pStyle w:val="Heading4"/>
      </w:pPr>
      <w:r w:rsidRPr="002F6E06">
        <w:t xml:space="preserve">Violation – </w:t>
      </w:r>
      <w:r>
        <w:t>You didn’t disclose AND you don’t have a wiki or contact info.</w:t>
      </w:r>
    </w:p>
    <w:p w14:paraId="1A2020E5" w14:textId="77777777" w:rsidR="009A5CAC" w:rsidRPr="009A5CAC" w:rsidRDefault="009A5CAC" w:rsidP="009A5CAC"/>
    <w:p w14:paraId="3C26560E" w14:textId="0F877F17" w:rsidR="009A5CAC" w:rsidRPr="009A5CAC" w:rsidRDefault="009A5CAC" w:rsidP="009A5CAC">
      <w:pPr>
        <w:pStyle w:val="Heading4"/>
      </w:pPr>
      <w:r w:rsidRPr="004670E7">
        <w:t>Standards:</w:t>
      </w:r>
    </w:p>
    <w:p w14:paraId="23CB5A26" w14:textId="57467A13" w:rsidR="009A5CAC" w:rsidRPr="00465AFB" w:rsidRDefault="009A5CAC" w:rsidP="009A5CAC">
      <w:pPr>
        <w:pStyle w:val="Heading4"/>
      </w:pPr>
      <w:r>
        <w:t xml:space="preserve">1] Reciprocity – I disclose everything on my wiki </w:t>
      </w:r>
      <w:r>
        <w:rPr>
          <w:u w:val="single"/>
        </w:rPr>
        <w:t>and</w:t>
      </w:r>
      <w:r>
        <w:t xml:space="preserve"> when asked, I email the 1AC 30 minutes before the round</w:t>
      </w:r>
    </w:p>
    <w:p w14:paraId="4B4E273D" w14:textId="77777777" w:rsidR="009A5CAC" w:rsidRPr="007C262C" w:rsidRDefault="009A5CAC" w:rsidP="009A5CAC">
      <w:pPr>
        <w:pStyle w:val="Heading4"/>
      </w:pPr>
      <w:bookmarkStart w:id="0" w:name="_Hlk81176729"/>
      <w:r>
        <w:t xml:space="preserve">2] Engagement – disclosure incentivizes good arguments and motivates </w:t>
      </w:r>
      <w:r>
        <w:rPr>
          <w:u w:val="single"/>
        </w:rPr>
        <w:t>depth of research</w:t>
      </w:r>
      <w:r>
        <w:t>; that o/ws</w:t>
      </w:r>
    </w:p>
    <w:p w14:paraId="10443B49" w14:textId="77777777" w:rsidR="009A5CAC" w:rsidRDefault="009A5CAC" w:rsidP="009A5CAC">
      <w:pPr>
        <w:rPr>
          <w:rFonts w:eastAsiaTheme="majorEastAsia" w:cstheme="majorBidi"/>
          <w:b/>
          <w:bCs/>
          <w:sz w:val="26"/>
          <w:szCs w:val="26"/>
        </w:rPr>
      </w:pPr>
      <w:r w:rsidRPr="004670E7">
        <w:rPr>
          <w:rFonts w:eastAsiaTheme="majorEastAsia" w:cstheme="majorBidi"/>
          <w:b/>
          <w:bCs/>
          <w:sz w:val="26"/>
          <w:szCs w:val="26"/>
        </w:rPr>
        <w:t>Nails 13</w:t>
      </w:r>
    </w:p>
    <w:p w14:paraId="24A3171E" w14:textId="77777777" w:rsidR="009A5CAC" w:rsidRPr="003E57E3" w:rsidRDefault="009A5CAC" w:rsidP="009A5CAC">
      <w:pPr>
        <w:rPr>
          <w:sz w:val="12"/>
          <w:szCs w:val="12"/>
        </w:rPr>
      </w:pPr>
      <w:r w:rsidRPr="003E57E3">
        <w:rPr>
          <w:sz w:val="12"/>
          <w:szCs w:val="12"/>
        </w:rPr>
        <w:t>Jacob Nails (Debate Coach, Sacred Heart HS). “A Defense of Disclosure (Including Third-Party Disclosure).” NSDUpdate. October 10th, 2013. http://nsdupdate.com/2013/a-defense-of-disclosure-including-third-party-disclosure-by-jacob-nails/</w:t>
      </w:r>
    </w:p>
    <w:p w14:paraId="1FBAAB33" w14:textId="77777777" w:rsidR="009A5CAC" w:rsidRDefault="009A5CAC" w:rsidP="009A5CAC">
      <w:pPr>
        <w:rPr>
          <w:rStyle w:val="Style13ptBold"/>
          <w:sz w:val="16"/>
        </w:rPr>
      </w:pPr>
      <w:r w:rsidRPr="007C262C">
        <w:rPr>
          <w:rStyle w:val="StyleUnderline"/>
        </w:rPr>
        <w:t xml:space="preserve">I find that </w:t>
      </w:r>
      <w:r w:rsidRPr="00BA4EFB">
        <w:rPr>
          <w:rStyle w:val="StyleUnderline"/>
          <w:highlight w:val="green"/>
        </w:rPr>
        <w:t>the largest advantage of</w:t>
      </w:r>
      <w:r w:rsidRPr="007C262C">
        <w:rPr>
          <w:rStyle w:val="StyleUnderline"/>
        </w:rPr>
        <w:t xml:space="preserve"> widespread </w:t>
      </w:r>
      <w:r w:rsidRPr="00BA4EFB">
        <w:rPr>
          <w:rStyle w:val="StyleUnderline"/>
          <w:highlight w:val="green"/>
        </w:rPr>
        <w:t>disclosure is</w:t>
      </w:r>
      <w:r w:rsidRPr="007C262C">
        <w:rPr>
          <w:rStyle w:val="StyleUnderline"/>
        </w:rPr>
        <w:t xml:space="preserve"> </w:t>
      </w:r>
      <w:r w:rsidRPr="007C262C">
        <w:rPr>
          <w:rStyle w:val="Emphasis"/>
        </w:rPr>
        <w:t xml:space="preserve">the </w:t>
      </w:r>
      <w:r w:rsidRPr="00BA4EFB">
        <w:rPr>
          <w:rStyle w:val="Emphasis"/>
          <w:highlight w:val="green"/>
        </w:rPr>
        <w:t xml:space="preserve">educational </w:t>
      </w:r>
      <w:r w:rsidRPr="007C262C">
        <w:rPr>
          <w:rStyle w:val="Emphasis"/>
        </w:rPr>
        <w:t>value it provides</w:t>
      </w:r>
      <w:r w:rsidRPr="007C262C">
        <w:rPr>
          <w:rStyle w:val="StyleUnderline"/>
        </w:rPr>
        <w:t xml:space="preserve">. First, disclosure streamlines research. Rather than every team and every lone wolf researching completely in the dark, the wiki provides a public body of knowledge that everyone can contribute to and build off of. Students can look through the different studies on the topic and choose the best ones on an informed basis without the prohibitively large burden of personally surveying all of the literature. The </w:t>
      </w:r>
      <w:r w:rsidRPr="00BA4EFB">
        <w:rPr>
          <w:rStyle w:val="StyleUnderline"/>
          <w:highlight w:val="green"/>
        </w:rPr>
        <w:t>best arguments are identified and replicated</w:t>
      </w:r>
      <w:r w:rsidRPr="007C262C">
        <w:rPr>
          <w:rStyle w:val="StyleUnderline"/>
        </w:rPr>
        <w:t xml:space="preserve">, </w:t>
      </w:r>
      <w:r w:rsidRPr="00BA4EFB">
        <w:rPr>
          <w:rStyle w:val="StyleUnderline"/>
          <w:highlight w:val="green"/>
        </w:rPr>
        <w:t>which</w:t>
      </w:r>
      <w:r w:rsidRPr="007C262C">
        <w:rPr>
          <w:rStyle w:val="StyleUnderline"/>
        </w:rPr>
        <w:t xml:space="preserve"> is a natural result of an open marketplace of ideas. Quality of evidence increases across the board</w:t>
      </w:r>
      <w:r w:rsidRPr="007C262C">
        <w:rPr>
          <w:rStyle w:val="Style13ptBold"/>
          <w:sz w:val="16"/>
        </w:rPr>
        <w:t xml:space="preserve">.  </w:t>
      </w:r>
      <w:r w:rsidRPr="007C262C">
        <w:rPr>
          <w:rStyle w:val="StyleUnderline"/>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disclosure is that it </w:t>
      </w:r>
      <w:r w:rsidRPr="00BA4EFB">
        <w:rPr>
          <w:rStyle w:val="StyleUnderline"/>
          <w:highlight w:val="green"/>
        </w:rPr>
        <w:t>motivates research</w:t>
      </w:r>
      <w:r w:rsidRPr="007C262C">
        <w:rPr>
          <w:rStyle w:val="StyleUnderline"/>
        </w:rPr>
        <w:t xml:space="preserve">. Debaters cannot expect to make it a whole topic with the same stock AC – that is, unless they are continually updating and frontlining it. Likewise, </w:t>
      </w:r>
      <w:r w:rsidRPr="00BA4EFB">
        <w:rPr>
          <w:rStyle w:val="StyleUnderline"/>
          <w:highlight w:val="green"/>
        </w:rPr>
        <w:t>debaters</w:t>
      </w:r>
      <w:r w:rsidRPr="007C262C">
        <w:rPr>
          <w:rStyle w:val="StyleUnderline"/>
        </w:rPr>
        <w:t xml:space="preserve"> </w:t>
      </w:r>
      <w:r w:rsidRPr="00BA4EFB">
        <w:rPr>
          <w:rStyle w:val="StyleUnderline"/>
          <w:highlight w:val="green"/>
        </w:rPr>
        <w:t>with access to their opponents’ cases</w:t>
      </w:r>
      <w:r w:rsidRPr="007C262C">
        <w:rPr>
          <w:rStyle w:val="StyleUnderline"/>
        </w:rPr>
        <w:t xml:space="preserve"> can do more targeted and specific research. Students can </w:t>
      </w:r>
      <w:r w:rsidRPr="00BA4EFB">
        <w:rPr>
          <w:rStyle w:val="StyleUnderline"/>
          <w:highlight w:val="green"/>
        </w:rPr>
        <w:t>go to a new level of depth</w:t>
      </w:r>
      <w:r w:rsidRPr="007C262C">
        <w:rPr>
          <w:rStyle w:val="StyleUnderline"/>
        </w:rPr>
        <w:t xml:space="preserve">, </w:t>
      </w:r>
      <w:r w:rsidRPr="00BA4EFB">
        <w:rPr>
          <w:rStyle w:val="StyleUnderline"/>
          <w:highlight w:val="green"/>
        </w:rPr>
        <w:t>researching</w:t>
      </w:r>
      <w:r w:rsidRPr="007C262C">
        <w:rPr>
          <w:rStyle w:val="StyleUnderline"/>
        </w:rPr>
        <w:t xml:space="preserve"> </w:t>
      </w:r>
      <w:r w:rsidRPr="00BA4EFB">
        <w:rPr>
          <w:rStyle w:val="StyleUnderline"/>
          <w:highlight w:val="green"/>
        </w:rPr>
        <w:t xml:space="preserve">not just the pros and cons of the topic but </w:t>
      </w:r>
      <w:r w:rsidRPr="007C262C">
        <w:rPr>
          <w:rStyle w:val="StyleUnderline"/>
        </w:rPr>
        <w:t xml:space="preserve">the </w:t>
      </w:r>
      <w:r w:rsidRPr="00BA4EFB">
        <w:rPr>
          <w:rStyle w:val="StyleUnderline"/>
          <w:highlight w:val="green"/>
        </w:rPr>
        <w:t xml:space="preserve">specific authors, arguments, and advocacies </w:t>
      </w:r>
      <w:r w:rsidRPr="007C262C">
        <w:rPr>
          <w:rStyle w:val="StyleUnderline"/>
        </w:rPr>
        <w:t xml:space="preserve">employed by other debaters. The incentive to </w:t>
      </w:r>
      <w:r w:rsidRPr="00BA4EFB">
        <w:rPr>
          <w:rStyle w:val="StyleUnderline"/>
          <w:highlight w:val="green"/>
        </w:rPr>
        <w:t>cut author-specific indicts</w:t>
      </w:r>
      <w:r w:rsidRPr="007C262C">
        <w:rPr>
          <w:rStyle w:val="StyleUnderline"/>
        </w:rPr>
        <w:t xml:space="preserve"> is low if there’s little guarantee that the author will ever be cited in a round but high if one knows that specific schools are using that author in rounds. In this way, disclosure increases incentive to research by altering a student’s cost-benefit analysis so that </w:t>
      </w:r>
      <w:r w:rsidRPr="00BA4EFB">
        <w:rPr>
          <w:rStyle w:val="StyleUnderline"/>
          <w:highlight w:val="green"/>
        </w:rPr>
        <w:t xml:space="preserve">the time spent researching is </w:t>
      </w:r>
      <w:r w:rsidRPr="007C262C">
        <w:rPr>
          <w:rStyle w:val="StyleUnderline"/>
        </w:rPr>
        <w:t xml:space="preserve">more valuable, i.e. </w:t>
      </w:r>
      <w:r w:rsidRPr="00BA4EFB">
        <w:rPr>
          <w:rStyle w:val="StyleUnderline"/>
          <w:highlight w:val="green"/>
        </w:rPr>
        <w:t>more likely to produce useful evidence</w:t>
      </w:r>
      <w:r w:rsidRPr="007C262C">
        <w:rPr>
          <w:rStyle w:val="StyleUnderline"/>
        </w:rPr>
        <w:t xml:space="preserve"> because it is more directed. In any case, if publicly accessible evidence jeopardized research, backfiles and briefs would have done LD in a long time ago</w:t>
      </w:r>
      <w:r w:rsidRPr="007C262C">
        <w:rPr>
          <w:rStyle w:val="Style13ptBold"/>
          <w:sz w:val="16"/>
        </w:rPr>
        <w:t>.</w:t>
      </w:r>
    </w:p>
    <w:bookmarkEnd w:id="0"/>
    <w:p w14:paraId="1B84EC0A" w14:textId="06EF2F0E" w:rsidR="0077437C" w:rsidRDefault="009A5CAC" w:rsidP="009A5CAC">
      <w:pPr>
        <w:pStyle w:val="Heading4"/>
      </w:pPr>
      <w:r w:rsidRPr="004670E7">
        <w:t>education – it’s why schools fund debate</w:t>
      </w:r>
    </w:p>
    <w:p w14:paraId="608DC172" w14:textId="2B05138E" w:rsidR="009A5CAC" w:rsidRDefault="009A5CAC" w:rsidP="009A5CAC">
      <w:pPr>
        <w:pStyle w:val="Heading4"/>
      </w:pPr>
      <w:r>
        <w:t xml:space="preserve">fairness – that’s a threshold issue </w:t>
      </w:r>
      <w:r w:rsidR="00D066A6">
        <w:t>–</w:t>
      </w:r>
      <w:r>
        <w:t xml:space="preserve"> otherwise you have no obligation to fairly evaluate their arguments</w:t>
      </w:r>
    </w:p>
    <w:p w14:paraId="33ABFD22" w14:textId="080ADF8E" w:rsidR="009A5CAC" w:rsidRPr="009A5CAC" w:rsidRDefault="009A5CAC" w:rsidP="00BB5267">
      <w:pPr>
        <w:pStyle w:val="Heading4"/>
      </w:pPr>
    </w:p>
    <w:p w14:paraId="5FCA74D3" w14:textId="691B9134" w:rsidR="00BB5267" w:rsidRPr="00BB5267" w:rsidRDefault="00BB5267" w:rsidP="00BB5267">
      <w:pPr>
        <w:pStyle w:val="Heading4"/>
      </w:pPr>
      <w:r>
        <w:t>DTD – a) deters future abuse b) it’s the 1AC so DTA is DTD</w:t>
      </w:r>
    </w:p>
    <w:p w14:paraId="3C340232" w14:textId="77777777" w:rsidR="00BB5267" w:rsidRPr="00BB5267" w:rsidRDefault="00BB5267" w:rsidP="00BB5267"/>
    <w:p w14:paraId="6F959528" w14:textId="32451E5E" w:rsidR="009A5CAC" w:rsidRDefault="009A5CAC" w:rsidP="009A5CAC">
      <w:pPr>
        <w:pStyle w:val="Heading4"/>
        <w:rPr>
          <w:rFonts w:asciiTheme="minorHAnsi" w:hAnsiTheme="minorHAnsi" w:cstheme="minorHAnsi"/>
          <w:szCs w:val="26"/>
        </w:rPr>
      </w:pPr>
      <w:bookmarkStart w:id="1" w:name="_Hlk86830506"/>
      <w:r w:rsidRPr="004670E7">
        <w:rPr>
          <w:rFonts w:asciiTheme="minorHAnsi" w:hAnsiTheme="minorHAnsi" w:cstheme="minorHAnsi"/>
        </w:rPr>
        <w:t>Competing interps</w:t>
      </w:r>
      <w:r>
        <w:rPr>
          <w:rFonts w:asciiTheme="minorHAnsi" w:hAnsiTheme="minorHAnsi" w:cstheme="minorHAnsi"/>
        </w:rPr>
        <w:t xml:space="preserve"> – a) brightline, b) ra</w:t>
      </w:r>
      <w:r w:rsidRPr="00DB56F3">
        <w:rPr>
          <w:rFonts w:asciiTheme="minorHAnsi" w:hAnsiTheme="minorHAnsi" w:cstheme="minorHAnsi"/>
          <w:szCs w:val="26"/>
        </w:rPr>
        <w:t>ce to the top</w:t>
      </w:r>
      <w:r>
        <w:rPr>
          <w:rFonts w:asciiTheme="minorHAnsi" w:hAnsiTheme="minorHAnsi" w:cstheme="minorHAnsi"/>
          <w:szCs w:val="26"/>
        </w:rPr>
        <w:t xml:space="preserve"> – </w:t>
      </w:r>
      <w:r w:rsidRPr="00DB56F3">
        <w:rPr>
          <w:rFonts w:asciiTheme="minorHAnsi" w:hAnsiTheme="minorHAnsi" w:cstheme="minorHAnsi"/>
          <w:szCs w:val="26"/>
        </w:rPr>
        <w:t>forces us to find the best possible norm</w:t>
      </w:r>
    </w:p>
    <w:p w14:paraId="20AACCB3" w14:textId="77777777" w:rsidR="00BB5267" w:rsidRPr="00BB5267" w:rsidRDefault="00BB5267" w:rsidP="00BB5267"/>
    <w:bookmarkEnd w:id="1"/>
    <w:p w14:paraId="18F186E5" w14:textId="0FA63E4D" w:rsidR="00A95652" w:rsidRDefault="009A5CAC" w:rsidP="00BB5267">
      <w:pPr>
        <w:pStyle w:val="Heading4"/>
      </w:pPr>
      <w:r w:rsidRPr="00DB56F3">
        <w:t>No RVIs</w:t>
      </w:r>
      <w:r>
        <w:t>; yo</w:t>
      </w:r>
      <w:r w:rsidRPr="004670E7">
        <w:t xml:space="preserve">u don’t win </w:t>
      </w:r>
      <w:r w:rsidR="00EA4F5A">
        <w:t xml:space="preserve">for </w:t>
      </w:r>
      <w:r w:rsidR="00715EBF">
        <w:t>playing by the rules.</w:t>
      </w:r>
    </w:p>
    <w:p w14:paraId="77B0C8EA" w14:textId="64D793B0" w:rsidR="004D3C2B" w:rsidRDefault="004D3C2B" w:rsidP="004D3C2B"/>
    <w:p w14:paraId="3D49BB00" w14:textId="5097D6B3" w:rsidR="00CA7325" w:rsidRDefault="00CA7325" w:rsidP="00CA7325">
      <w:pPr>
        <w:pStyle w:val="Heading2"/>
      </w:pPr>
      <w:r>
        <w:t>2</w:t>
      </w:r>
    </w:p>
    <w:p w14:paraId="0C65524D" w14:textId="77777777" w:rsidR="004D3C2B" w:rsidRDefault="004D3C2B" w:rsidP="004D3C2B">
      <w:pPr>
        <w:pStyle w:val="Heading3"/>
      </w:pPr>
      <w:bookmarkStart w:id="2" w:name="_Hlk92474553"/>
      <w:r>
        <w:t>ISA Regulation</w:t>
      </w:r>
    </w:p>
    <w:p w14:paraId="261315C3" w14:textId="77777777" w:rsidR="004D3C2B" w:rsidRDefault="004D3C2B" w:rsidP="004D3C2B">
      <w:pPr>
        <w:pStyle w:val="Heading4"/>
      </w:pPr>
      <w:r>
        <w:t>Text: States should create a binding international regulatory framework under the ISA for property rights in outer space – standards as per the Chouhan card.</w:t>
      </w:r>
    </w:p>
    <w:p w14:paraId="45369FBF" w14:textId="77777777" w:rsidR="004D3C2B" w:rsidRPr="009B6A8A" w:rsidRDefault="004D3C2B" w:rsidP="004D3C2B">
      <w:pPr>
        <w:pStyle w:val="Heading4"/>
      </w:pPr>
      <w:r>
        <w:t>It competes – we permit private appropriation of outer space – and better solves the AFF</w:t>
      </w:r>
    </w:p>
    <w:p w14:paraId="5B9B4E48" w14:textId="77777777" w:rsidR="004D3C2B" w:rsidRPr="00870086" w:rsidRDefault="004D3C2B" w:rsidP="004D3C2B">
      <w:pPr>
        <w:rPr>
          <w:rStyle w:val="Style13ptBold"/>
        </w:rPr>
      </w:pPr>
      <w:r>
        <w:rPr>
          <w:rStyle w:val="Style13ptBold"/>
        </w:rPr>
        <w:t>Chouhan 21</w:t>
      </w:r>
    </w:p>
    <w:p w14:paraId="70170F92" w14:textId="77777777" w:rsidR="004D3C2B" w:rsidRPr="000328F3" w:rsidRDefault="004D3C2B" w:rsidP="004D3C2B">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6" w:history="1">
        <w:r w:rsidRPr="000328F3">
          <w:rPr>
            <w:rStyle w:val="Hyperlink"/>
            <w:sz w:val="12"/>
            <w:szCs w:val="12"/>
          </w:rPr>
          <w:t>https://papers.ssrn.com/sol3/papers.cfm?abstract_id=3832673</w:t>
        </w:r>
      </w:hyperlink>
      <w:r w:rsidRPr="000328F3">
        <w:rPr>
          <w:sz w:val="12"/>
          <w:szCs w:val="12"/>
        </w:rPr>
        <w:t xml:space="preserve"> -CAT</w:t>
      </w:r>
    </w:p>
    <w:p w14:paraId="3FBD5810" w14:textId="77777777" w:rsidR="004D3C2B" w:rsidRDefault="004D3C2B" w:rsidP="004D3C2B">
      <w:pPr>
        <w:pStyle w:val="ListParagraph"/>
        <w:numPr>
          <w:ilvl w:val="0"/>
          <w:numId w:val="11"/>
        </w:numPr>
        <w:rPr>
          <w:rStyle w:val="StyleUnderline"/>
        </w:rPr>
      </w:pPr>
      <w:r>
        <w:rPr>
          <w:rStyle w:val="StyleUnderline"/>
        </w:rPr>
        <w:t>ISA = International Seabed Authority</w:t>
      </w:r>
    </w:p>
    <w:p w14:paraId="5DE839BF" w14:textId="77777777" w:rsidR="004D3C2B" w:rsidRDefault="004D3C2B" w:rsidP="004D3C2B">
      <w:pPr>
        <w:pStyle w:val="ListParagraph"/>
        <w:numPr>
          <w:ilvl w:val="0"/>
          <w:numId w:val="11"/>
        </w:numPr>
        <w:rPr>
          <w:rStyle w:val="StyleUnderline"/>
        </w:rPr>
      </w:pPr>
      <w:r>
        <w:rPr>
          <w:rStyle w:val="StyleUnderline"/>
        </w:rPr>
        <w:t>CLOS = Convention on the Law of the Sea</w:t>
      </w:r>
    </w:p>
    <w:p w14:paraId="30FC4FB8" w14:textId="77777777" w:rsidR="004D3C2B" w:rsidRPr="000328F3" w:rsidRDefault="004D3C2B" w:rsidP="004D3C2B">
      <w:pPr>
        <w:pStyle w:val="ListParagraph"/>
        <w:numPr>
          <w:ilvl w:val="0"/>
          <w:numId w:val="11"/>
        </w:numPr>
        <w:rPr>
          <w:rStyle w:val="StyleUnderline"/>
        </w:rPr>
      </w:pPr>
      <w:r w:rsidRPr="000328F3">
        <w:rPr>
          <w:rStyle w:val="StyleUnderline"/>
        </w:rPr>
        <w:t>Bracketed to avoid gendered language</w:t>
      </w:r>
    </w:p>
    <w:p w14:paraId="5A8B1EEF" w14:textId="77777777" w:rsidR="004D3C2B" w:rsidRPr="00AB07E1" w:rsidRDefault="004D3C2B" w:rsidP="004D3C2B">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262E8F8B" w14:textId="77777777" w:rsidR="004D3C2B" w:rsidRPr="007C2DC5" w:rsidRDefault="004D3C2B" w:rsidP="004D3C2B">
      <w:pPr>
        <w:pStyle w:val="Heading4"/>
      </w:pPr>
      <w:r>
        <w:t xml:space="preserve">It's feasible – I-law reaches a </w:t>
      </w:r>
      <w:r>
        <w:rPr>
          <w:u w:val="single"/>
        </w:rPr>
        <w:t>clear and enforceable consensus</w:t>
      </w:r>
    </w:p>
    <w:p w14:paraId="63457D5E" w14:textId="77777777" w:rsidR="004D3C2B" w:rsidRPr="009B6A8A" w:rsidRDefault="004D3C2B" w:rsidP="004D3C2B">
      <w:pPr>
        <w:rPr>
          <w:rStyle w:val="Style13ptBold"/>
        </w:rPr>
      </w:pPr>
      <w:r>
        <w:rPr>
          <w:rStyle w:val="Style13ptBold"/>
        </w:rPr>
        <w:t>O’Brien 19</w:t>
      </w:r>
    </w:p>
    <w:p w14:paraId="7BE76FFD" w14:textId="77777777" w:rsidR="004D3C2B" w:rsidRPr="00282991" w:rsidRDefault="004D3C2B" w:rsidP="004D3C2B">
      <w:pPr>
        <w:rPr>
          <w:sz w:val="12"/>
          <w:szCs w:val="12"/>
        </w:rPr>
      </w:pPr>
      <w:r w:rsidRPr="00282991">
        <w:rPr>
          <w:sz w:val="12"/>
          <w:szCs w:val="12"/>
        </w:rPr>
        <w:t xml:space="preserve">Beyond UNISPACE: It’s time for the Moon Treaty by Dennis C. O’Brien Monday, January 21, 2019 The Space Review. </w:t>
      </w:r>
      <w:hyperlink r:id="rId7" w:history="1">
        <w:r w:rsidRPr="00282991">
          <w:rPr>
            <w:rStyle w:val="Hyperlink"/>
            <w:sz w:val="12"/>
            <w:szCs w:val="12"/>
          </w:rPr>
          <w:t>https://www.thespacereview.com/article/3642/1</w:t>
        </w:r>
      </w:hyperlink>
      <w:r w:rsidRPr="00282991">
        <w:rPr>
          <w:sz w:val="12"/>
          <w:szCs w:val="12"/>
        </w:rPr>
        <w:t xml:space="preserve"> -CAT</w:t>
      </w:r>
    </w:p>
    <w:p w14:paraId="78C02BE0" w14:textId="77777777" w:rsidR="004D3C2B" w:rsidRDefault="004D3C2B" w:rsidP="004D3C2B">
      <w:pPr>
        <w:pStyle w:val="ListParagraph"/>
        <w:numPr>
          <w:ilvl w:val="0"/>
          <w:numId w:val="11"/>
        </w:numPr>
      </w:pPr>
      <w:r>
        <w:t>We’ll also insert the graph of 157 countries in the doc; all light AND dark blue countries have adopted CLOS – that’s Europe, most of Africa and Asia, Australia, Canada, Mexico, and most of South America.</w:t>
      </w:r>
    </w:p>
    <w:p w14:paraId="7F603106" w14:textId="77777777" w:rsidR="004D3C2B" w:rsidRPr="00840E02" w:rsidRDefault="004D3C2B" w:rsidP="004D3C2B">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4D3C2B" w:rsidRPr="009B6A8A" w14:paraId="144D505F" w14:textId="77777777" w:rsidTr="00481F94">
        <w:trPr>
          <w:tblCellSpacing w:w="15" w:type="dxa"/>
          <w:jc w:val="center"/>
        </w:trPr>
        <w:tc>
          <w:tcPr>
            <w:tcW w:w="0" w:type="auto"/>
            <w:shd w:val="clear" w:color="auto" w:fill="FFFFFF"/>
            <w:vAlign w:val="center"/>
            <w:hideMark/>
          </w:tcPr>
          <w:p w14:paraId="2845AEBD" w14:textId="77777777" w:rsidR="004D3C2B" w:rsidRPr="009B6A8A" w:rsidRDefault="004D3C2B" w:rsidP="00481F94">
            <w:r w:rsidRPr="009B6A8A">
              <w:rPr>
                <w:noProof/>
              </w:rPr>
              <w:drawing>
                <wp:inline distT="0" distB="0" distL="0" distR="0" wp14:anchorId="5D65BAD9" wp14:editId="22BDF6BE">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7510F977" w14:textId="77777777" w:rsidR="004D3C2B" w:rsidRPr="00840E02" w:rsidRDefault="004D3C2B" w:rsidP="004D3C2B">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(emphasis added)</w:t>
      </w:r>
      <w:r w:rsidRPr="00840E02">
        <w:rPr>
          <w:sz w:val="12"/>
        </w:rPr>
        <w:t xml:space="preserve"> [9] </w:t>
      </w:r>
    </w:p>
    <w:p w14:paraId="273F49D6" w14:textId="77777777" w:rsidR="004D3C2B" w:rsidRPr="00C52ABF" w:rsidRDefault="004D3C2B" w:rsidP="004D3C2B">
      <w:pPr>
        <w:pStyle w:val="Heading4"/>
        <w:rPr>
          <w:rStyle w:val="Style13ptBold"/>
          <w:b/>
          <w:bCs w:val="0"/>
        </w:rPr>
      </w:pPr>
      <w:r w:rsidRPr="00C52ABF">
        <w:rPr>
          <w:rStyle w:val="Style13ptBold"/>
          <w:b/>
        </w:rPr>
        <w:t>The internal net benefit is that an enforceable consensus avoids the 1AC’s inevitable race to the bottom</w:t>
      </w:r>
    </w:p>
    <w:p w14:paraId="4200571B" w14:textId="77777777" w:rsidR="004D3C2B" w:rsidRPr="00043AAA" w:rsidRDefault="004D3C2B" w:rsidP="004D3C2B">
      <w:pPr>
        <w:rPr>
          <w:rStyle w:val="Style13ptBold"/>
        </w:rPr>
      </w:pPr>
      <w:r>
        <w:rPr>
          <w:rStyle w:val="Style13ptBold"/>
        </w:rPr>
        <w:t>Tjandra 21</w:t>
      </w:r>
    </w:p>
    <w:p w14:paraId="221A81C6" w14:textId="77777777" w:rsidR="004D3C2B" w:rsidRPr="009F102D" w:rsidRDefault="004D3C2B" w:rsidP="004D3C2B">
      <w:pPr>
        <w:rPr>
          <w:sz w:val="12"/>
          <w:szCs w:val="12"/>
        </w:rPr>
      </w:pPr>
      <w:r w:rsidRPr="009F102D">
        <w:rPr>
          <w:sz w:val="12"/>
          <w:szCs w:val="12"/>
        </w:rPr>
        <w:t>Tjandra, Jonathan. ‘The Fragmentation of Property Rights in the Law of Outer Space’. Air &amp; Space Law 46, no. 3 (2021): 373–394. CAT</w:t>
      </w:r>
    </w:p>
    <w:p w14:paraId="6DF15009" w14:textId="77777777" w:rsidR="004D3C2B" w:rsidRPr="001575D0" w:rsidRDefault="004D3C2B" w:rsidP="004D3C2B">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the international community is left with the least best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5D985191" w14:textId="77777777" w:rsidR="004D3C2B" w:rsidRDefault="004D3C2B" w:rsidP="004D3C2B">
      <w:pPr>
        <w:pStyle w:val="Heading4"/>
      </w:pPr>
      <w:bookmarkStart w:id="3" w:name="_Hlk92274716"/>
      <w:r>
        <w:t xml:space="preserve">External NB: I-Law controls the internal link to </w:t>
      </w:r>
      <w:r>
        <w:rPr>
          <w:u w:val="single"/>
        </w:rPr>
        <w:t>every existential threat</w:t>
      </w:r>
      <w:r>
        <w:t>.</w:t>
      </w:r>
    </w:p>
    <w:p w14:paraId="377E21E2" w14:textId="77777777" w:rsidR="004D3C2B" w:rsidRPr="00BA634A" w:rsidRDefault="004D3C2B" w:rsidP="004D3C2B">
      <w:pPr>
        <w:rPr>
          <w:rStyle w:val="Style13ptBold"/>
        </w:rPr>
      </w:pPr>
      <w:r w:rsidRPr="00BA634A">
        <w:rPr>
          <w:rStyle w:val="Style13ptBold"/>
        </w:rPr>
        <w:t>Mecklin 21</w:t>
      </w:r>
    </w:p>
    <w:p w14:paraId="7CE6BEC1" w14:textId="77777777" w:rsidR="004D3C2B" w:rsidRPr="00BA634A" w:rsidRDefault="004D3C2B" w:rsidP="004D3C2B">
      <w:pPr>
        <w:rPr>
          <w:sz w:val="12"/>
          <w:szCs w:val="12"/>
        </w:rPr>
      </w:pPr>
      <w:r w:rsidRPr="00BA634A">
        <w:rPr>
          <w:sz w:val="12"/>
          <w:szCs w:val="12"/>
        </w:rPr>
        <w:t xml:space="preserve">John Mecklin,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BA634A">
          <w:rPr>
            <w:rStyle w:val="Hyperlink"/>
            <w:sz w:val="12"/>
            <w:szCs w:val="12"/>
          </w:rPr>
          <w:t>https://thebulletin.org/doomsday-clock/current-time/</w:t>
        </w:r>
      </w:hyperlink>
      <w:r w:rsidRPr="00BA634A">
        <w:rPr>
          <w:sz w:val="12"/>
          <w:szCs w:val="12"/>
        </w:rPr>
        <w:t xml:space="preserve"> -CAT</w:t>
      </w:r>
    </w:p>
    <w:p w14:paraId="3B30E248" w14:textId="77777777" w:rsidR="004D3C2B" w:rsidRDefault="004D3C2B" w:rsidP="004D3C2B">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0"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bookmarkEnd w:id="2"/>
    <w:bookmarkEnd w:id="3"/>
    <w:p w14:paraId="68937E74" w14:textId="7D671575" w:rsidR="00CA7325" w:rsidRDefault="00CA7325" w:rsidP="00CA7325">
      <w:pPr>
        <w:pStyle w:val="Heading2"/>
      </w:pPr>
      <w:r>
        <w:t>3</w:t>
      </w:r>
    </w:p>
    <w:p w14:paraId="4B8E3B45" w14:textId="6C1479DA" w:rsidR="004D3C2B" w:rsidRDefault="004D3C2B" w:rsidP="004D3C2B">
      <w:pPr>
        <w:pStyle w:val="Heading3"/>
      </w:pPr>
      <w:r>
        <w:t>China/He-3 DA</w:t>
      </w:r>
    </w:p>
    <w:p w14:paraId="2A84AC6C" w14:textId="77777777" w:rsidR="004D3C2B" w:rsidRPr="004736C9" w:rsidRDefault="004D3C2B" w:rsidP="004D3C2B">
      <w:pPr>
        <w:pStyle w:val="Heading4"/>
      </w:pPr>
      <w:r>
        <w:t xml:space="preserve">The private space industry is the only thing preventing Chinese dominance of outer space – they’ve </w:t>
      </w:r>
      <w:r>
        <w:rPr>
          <w:u w:val="single"/>
        </w:rPr>
        <w:t>already copied</w:t>
      </w:r>
      <w:r>
        <w:t xml:space="preserve"> SpaceX’s innovations</w:t>
      </w:r>
    </w:p>
    <w:p w14:paraId="3ED7635B" w14:textId="77777777" w:rsidR="004D3C2B" w:rsidRPr="004736C9" w:rsidRDefault="004D3C2B" w:rsidP="004D3C2B">
      <w:pPr>
        <w:rPr>
          <w:rStyle w:val="Style13ptBold"/>
        </w:rPr>
      </w:pPr>
      <w:r w:rsidRPr="004736C9">
        <w:rPr>
          <w:rStyle w:val="Style13ptBold"/>
        </w:rPr>
        <w:t>Berger 21</w:t>
      </w:r>
    </w:p>
    <w:p w14:paraId="680B75C5" w14:textId="77777777" w:rsidR="004D3C2B" w:rsidRPr="00841933" w:rsidRDefault="004D3C2B" w:rsidP="004D3C2B">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1" w:tgtFrame="_blank" w:history="1">
        <w:r w:rsidRPr="00841933">
          <w:rPr>
            <w:rStyle w:val="Hyperlink"/>
            <w:sz w:val="12"/>
            <w:szCs w:val="12"/>
          </w:rPr>
          <w:t>"LIFTOFF: Elon Musk and the Desperate Early Days that Launched SpaceX."</w:t>
        </w:r>
      </w:hyperlink>
      <w:r w:rsidRPr="00841933">
        <w:rPr>
          <w:sz w:val="12"/>
          <w:szCs w:val="12"/>
        </w:rPr>
        <w:t> After a long career at the Houston Chronicle, he joined Ars Technica in 2015 as the site's senior space editor, covering SpaceX, NASA and everything beyond. He was a Pulitzer Prize finalist for his coverage of Hurricane Ike in the Houston Chronicle in 2008. </w:t>
      </w:r>
      <w:hyperlink r:id="rId12" w:history="1">
        <w:r w:rsidRPr="00841933">
          <w:rPr>
            <w:rStyle w:val="Hyperlink"/>
            <w:sz w:val="12"/>
            <w:szCs w:val="12"/>
          </w:rPr>
          <w:t>https://www.cnn.com/2021/04/01/opinions/china-space-race-us-spacex-berger/index.html</w:t>
        </w:r>
      </w:hyperlink>
      <w:r w:rsidRPr="00841933">
        <w:rPr>
          <w:sz w:val="12"/>
          <w:szCs w:val="12"/>
        </w:rPr>
        <w:t xml:space="preserve"> -CAT</w:t>
      </w:r>
    </w:p>
    <w:p w14:paraId="1AB1ECFF" w14:textId="77777777" w:rsidR="004D3C2B" w:rsidRPr="008C6965" w:rsidRDefault="004D3C2B" w:rsidP="004D3C2B">
      <w:pPr>
        <w:rPr>
          <w:sz w:val="8"/>
        </w:rPr>
      </w:pPr>
      <w:r w:rsidRPr="00924E14">
        <w:rPr>
          <w:rStyle w:val="StyleUnderline"/>
          <w:highlight w:val="green"/>
        </w:rPr>
        <w:t xml:space="preserve">China has a good chance of </w:t>
      </w:r>
      <w:r w:rsidRPr="004D3C2B">
        <w:rPr>
          <w:rStyle w:val="StyleUnderline"/>
          <w:highlight w:val="green"/>
        </w:rPr>
        <w:t>becoming the dominant space power</w:t>
      </w:r>
      <w:r w:rsidRPr="00165349">
        <w:rPr>
          <w:rStyle w:val="StyleUnderline"/>
        </w:rPr>
        <w:t xml:space="preserve">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LinkSpace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36DDB1BA" w14:textId="77777777" w:rsidR="004D3C2B" w:rsidRDefault="004D3C2B" w:rsidP="004D3C2B">
      <w:pPr>
        <w:pStyle w:val="Heading4"/>
      </w:pPr>
      <w:r>
        <w:t>Chinese dominance would allow them to monopolize lunar Helium-3 and control the world’s economy.</w:t>
      </w:r>
    </w:p>
    <w:p w14:paraId="71F80429" w14:textId="77777777" w:rsidR="004D3C2B" w:rsidRPr="003D79DF" w:rsidRDefault="004D3C2B" w:rsidP="004D3C2B">
      <w:pPr>
        <w:rPr>
          <w:rStyle w:val="Style13ptBold"/>
        </w:rPr>
      </w:pPr>
      <w:r w:rsidRPr="003D79DF">
        <w:rPr>
          <w:rStyle w:val="Style13ptBold"/>
        </w:rPr>
        <w:t>Bilder 10</w:t>
      </w:r>
    </w:p>
    <w:p w14:paraId="52C47FB2" w14:textId="77777777" w:rsidR="004D3C2B" w:rsidRPr="003D79DF" w:rsidRDefault="004D3C2B" w:rsidP="004D3C2B">
      <w:pPr>
        <w:rPr>
          <w:sz w:val="12"/>
          <w:szCs w:val="12"/>
        </w:rPr>
      </w:pPr>
      <w:r w:rsidRPr="003D79DF">
        <w:rPr>
          <w:sz w:val="12"/>
          <w:szCs w:val="12"/>
        </w:rPr>
        <w:t>Richard B. Bilder, Foley &amp; Lardner-Bascom Emeritus Professor of Law, University of Wisconsin Law School A LEGAL REGIME FOR THE MINING OF HELIUM-3 ON THE MOON: U.S. POLICY OPTIONS 33 Fordham Int’l L.J. 243 Fordham International Law Journal January, 2010 -CAT</w:t>
      </w:r>
    </w:p>
    <w:p w14:paraId="5763B198" w14:textId="77777777" w:rsidR="004D3C2B" w:rsidRDefault="004D3C2B" w:rsidP="004D3C2B">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Cadarache,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r w:rsidRPr="005C69A8">
        <w:rPr>
          <w:rStyle w:val="StyleUnderline"/>
          <w:highlight w:val="green"/>
        </w:rPr>
        <w:t>an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an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.27 In particular, an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26A0FD92" w14:textId="77777777" w:rsidR="004D3C2B" w:rsidRDefault="004D3C2B" w:rsidP="004D3C2B">
      <w:pPr>
        <w:pStyle w:val="Heading4"/>
      </w:pPr>
      <w:r>
        <w:t xml:space="preserve">That dominance becomes self-reinforcing and controls the I/L to </w:t>
      </w:r>
      <w:r w:rsidRPr="008829D8">
        <w:rPr>
          <w:u w:val="single"/>
        </w:rPr>
        <w:t>every</w:t>
      </w:r>
      <w:r>
        <w:t xml:space="preserve"> claimed existential threat</w:t>
      </w:r>
    </w:p>
    <w:p w14:paraId="092C8C5B" w14:textId="77777777" w:rsidR="004D3C2B" w:rsidRDefault="004D3C2B" w:rsidP="004D3C2B">
      <w:pPr>
        <w:pStyle w:val="ListParagraph"/>
        <w:numPr>
          <w:ilvl w:val="0"/>
          <w:numId w:val="12"/>
        </w:numPr>
      </w:pPr>
      <w:r>
        <w:t xml:space="preserve">Including </w:t>
      </w:r>
      <w:r w:rsidRPr="00C067CB">
        <w:t xml:space="preserve">climate change, </w:t>
      </w:r>
      <w:r>
        <w:t xml:space="preserve">asteroids, </w:t>
      </w:r>
      <w:r w:rsidRPr="00C067CB">
        <w:t>space colonization, nuclear war, and global warming.</w:t>
      </w:r>
    </w:p>
    <w:p w14:paraId="0D112906" w14:textId="77777777" w:rsidR="004D3C2B" w:rsidRPr="00BF0440" w:rsidRDefault="004D3C2B" w:rsidP="004D3C2B">
      <w:pPr>
        <w:pStyle w:val="ListParagraph"/>
        <w:numPr>
          <w:ilvl w:val="0"/>
          <w:numId w:val="12"/>
        </w:numPr>
      </w:pPr>
      <w:r>
        <w:t>Private sector key – free market innovation is a key advantage the US has over China</w:t>
      </w:r>
    </w:p>
    <w:p w14:paraId="665F73DD" w14:textId="77777777" w:rsidR="004D3C2B" w:rsidRPr="00E30D68" w:rsidRDefault="004D3C2B" w:rsidP="004D3C2B">
      <w:pPr>
        <w:rPr>
          <w:rStyle w:val="Style13ptBold"/>
        </w:rPr>
      </w:pPr>
      <w:r>
        <w:rPr>
          <w:rStyle w:val="Style13ptBold"/>
        </w:rPr>
        <w:t>Kwast 19</w:t>
      </w:r>
    </w:p>
    <w:p w14:paraId="76ECD753" w14:textId="77777777" w:rsidR="004D3C2B" w:rsidRPr="008829D8" w:rsidRDefault="004D3C2B" w:rsidP="004D3C2B">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770D7686" w14:textId="77777777" w:rsidR="004D3C2B" w:rsidRPr="00E30D68" w:rsidRDefault="004D3C2B" w:rsidP="004D3C2B">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Fortunately, there is a way out, but only if we wake up now. Most Americans are completely unaware that China has a plan to build manned labs both on the moon and on Mars. Nor are they aware that China has publicly announced its plans to build a nuclear powered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hypersonics,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5A88D7C2" w14:textId="77777777" w:rsidR="004D3C2B" w:rsidRDefault="004D3C2B" w:rsidP="004D3C2B">
      <w:pPr>
        <w:pStyle w:val="Heading4"/>
      </w:pPr>
      <w:r>
        <w:t>Chinese dominance would be a recipe for an authoritarian hellscape of global war</w:t>
      </w:r>
    </w:p>
    <w:p w14:paraId="4ECA08AA" w14:textId="77777777" w:rsidR="004D3C2B" w:rsidRPr="007C2398" w:rsidRDefault="004D3C2B" w:rsidP="004D3C2B">
      <w:pPr>
        <w:rPr>
          <w:rStyle w:val="Style13ptBold"/>
        </w:rPr>
      </w:pPr>
      <w:r w:rsidRPr="007C2398">
        <w:rPr>
          <w:rStyle w:val="Style13ptBold"/>
        </w:rPr>
        <w:t>Schuman 20</w:t>
      </w:r>
    </w:p>
    <w:p w14:paraId="37BB3DC5" w14:textId="77777777" w:rsidR="004D3C2B" w:rsidRPr="00ED408F" w:rsidRDefault="004D3C2B" w:rsidP="004D3C2B">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3"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253D8A81" w14:textId="77777777" w:rsidR="004D3C2B" w:rsidRPr="00D74B05" w:rsidRDefault="004D3C2B" w:rsidP="004D3C2B">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In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The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Koguryo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r w:rsidRPr="00C35F51">
        <w:rPr>
          <w:rStyle w:val="StyleUnderline"/>
        </w:rPr>
        <w:t xml:space="preserve">So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Xi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China’s historic statesmen didn’t really expect the world to “go Chinese,” but they did promote their civilization. Ceremonies for visiting ambassadors at the imperial court were designed to awe. Tang officials built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bowed and all said: ‘How fortunate we are that the civilizing influences of the Chinese sages should reach us.’” The Chinese also understood the link between culture and power. Other peoples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sectPr w:rsidR="004D3C2B" w:rsidRPr="00D74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50F642FA"/>
    <w:multiLevelType w:val="hybridMultilevel"/>
    <w:tmpl w:val="D97E4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29532411984"/>
    <w:docVar w:name="VerbatimVersion" w:val="5.1"/>
  </w:docVars>
  <w:rsids>
    <w:rsidRoot w:val="00480E79"/>
    <w:rsid w:val="000139A3"/>
    <w:rsid w:val="000875C8"/>
    <w:rsid w:val="00100833"/>
    <w:rsid w:val="00104529"/>
    <w:rsid w:val="00105942"/>
    <w:rsid w:val="00107396"/>
    <w:rsid w:val="00141BE3"/>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80E79"/>
    <w:rsid w:val="004C60E8"/>
    <w:rsid w:val="004D3C2B"/>
    <w:rsid w:val="004E3579"/>
    <w:rsid w:val="004E728B"/>
    <w:rsid w:val="004F39E0"/>
    <w:rsid w:val="00537BD5"/>
    <w:rsid w:val="0057268A"/>
    <w:rsid w:val="005A5F01"/>
    <w:rsid w:val="005D2912"/>
    <w:rsid w:val="006065BD"/>
    <w:rsid w:val="00645FA9"/>
    <w:rsid w:val="00647866"/>
    <w:rsid w:val="00665003"/>
    <w:rsid w:val="006A2AD0"/>
    <w:rsid w:val="006C2375"/>
    <w:rsid w:val="006D4ECC"/>
    <w:rsid w:val="006E1B19"/>
    <w:rsid w:val="00715EBF"/>
    <w:rsid w:val="00722258"/>
    <w:rsid w:val="007243E5"/>
    <w:rsid w:val="00766EA0"/>
    <w:rsid w:val="0077437C"/>
    <w:rsid w:val="007A2226"/>
    <w:rsid w:val="007F5B66"/>
    <w:rsid w:val="00823A1C"/>
    <w:rsid w:val="00845B9D"/>
    <w:rsid w:val="00860984"/>
    <w:rsid w:val="008B3ECB"/>
    <w:rsid w:val="008B4E85"/>
    <w:rsid w:val="008B5D40"/>
    <w:rsid w:val="008C1B2E"/>
    <w:rsid w:val="0091627E"/>
    <w:rsid w:val="0097032B"/>
    <w:rsid w:val="009A5CAC"/>
    <w:rsid w:val="009D2EAD"/>
    <w:rsid w:val="009D54B2"/>
    <w:rsid w:val="009E1922"/>
    <w:rsid w:val="009F7ED2"/>
    <w:rsid w:val="00A93661"/>
    <w:rsid w:val="00A95652"/>
    <w:rsid w:val="00AC0AB8"/>
    <w:rsid w:val="00B33C6D"/>
    <w:rsid w:val="00B4508F"/>
    <w:rsid w:val="00B55AD5"/>
    <w:rsid w:val="00B8057C"/>
    <w:rsid w:val="00BB5267"/>
    <w:rsid w:val="00BD6238"/>
    <w:rsid w:val="00BF593B"/>
    <w:rsid w:val="00BF773A"/>
    <w:rsid w:val="00BF7E81"/>
    <w:rsid w:val="00C13773"/>
    <w:rsid w:val="00C17CC8"/>
    <w:rsid w:val="00C83417"/>
    <w:rsid w:val="00C9604F"/>
    <w:rsid w:val="00CA19AA"/>
    <w:rsid w:val="00CA7325"/>
    <w:rsid w:val="00CC218F"/>
    <w:rsid w:val="00CC5298"/>
    <w:rsid w:val="00CD736E"/>
    <w:rsid w:val="00CD798D"/>
    <w:rsid w:val="00CE161E"/>
    <w:rsid w:val="00CE4347"/>
    <w:rsid w:val="00CF59A8"/>
    <w:rsid w:val="00D066A6"/>
    <w:rsid w:val="00D325A9"/>
    <w:rsid w:val="00D36A8A"/>
    <w:rsid w:val="00D61409"/>
    <w:rsid w:val="00D6691E"/>
    <w:rsid w:val="00D71170"/>
    <w:rsid w:val="00DA1C92"/>
    <w:rsid w:val="00DA25D4"/>
    <w:rsid w:val="00DA6538"/>
    <w:rsid w:val="00E15E75"/>
    <w:rsid w:val="00E5262C"/>
    <w:rsid w:val="00EA4F5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449AA"/>
  <w15:chartTrackingRefBased/>
  <w15:docId w15:val="{608989F9-C8C3-43A4-AC8E-D47C4AAF9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1B19"/>
    <w:rPr>
      <w:rFonts w:ascii="Calibri" w:hAnsi="Calibri"/>
    </w:rPr>
  </w:style>
  <w:style w:type="paragraph" w:styleId="Heading1">
    <w:name w:val="heading 1"/>
    <w:aliases w:val="Pocket"/>
    <w:basedOn w:val="Normal"/>
    <w:next w:val="Normal"/>
    <w:link w:val="Heading1Char"/>
    <w:qFormat/>
    <w:rsid w:val="006E1B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1B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6E1B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6E1B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1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B19"/>
  </w:style>
  <w:style w:type="character" w:customStyle="1" w:styleId="Heading1Char">
    <w:name w:val="Heading 1 Char"/>
    <w:aliases w:val="Pocket Char"/>
    <w:basedOn w:val="DefaultParagraphFont"/>
    <w:link w:val="Heading1"/>
    <w:rsid w:val="006E1B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1B1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6E1B1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E1B1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6E1B1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E1B1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E1B1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E1B19"/>
    <w:rPr>
      <w:color w:val="auto"/>
      <w:u w:val="none"/>
    </w:rPr>
  </w:style>
  <w:style w:type="character" w:styleId="FollowedHyperlink">
    <w:name w:val="FollowedHyperlink"/>
    <w:basedOn w:val="DefaultParagraphFont"/>
    <w:uiPriority w:val="99"/>
    <w:semiHidden/>
    <w:unhideWhenUsed/>
    <w:rsid w:val="006E1B19"/>
    <w:rPr>
      <w:color w:val="auto"/>
      <w:u w:val="none"/>
    </w:rPr>
  </w:style>
  <w:style w:type="paragraph" w:customStyle="1" w:styleId="textbold">
    <w:name w:val="text bold"/>
    <w:basedOn w:val="Normal"/>
    <w:link w:val="Emphasis"/>
    <w:uiPriority w:val="7"/>
    <w:qFormat/>
    <w:rsid w:val="009A5CA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9A5CAC"/>
    <w:pPr>
      <w:widowControl w:val="0"/>
      <w:suppressAutoHyphens/>
      <w:spacing w:after="200"/>
      <w:contextualSpacing/>
    </w:pPr>
    <w:rPr>
      <w:rFonts w:asciiTheme="minorHAnsi" w:hAnsiTheme="minorHAnsi"/>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D3C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4D3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atlantic.com/international/archive/2020/10/what-kind-superpower-will-china-be/616580/" TargetMode="External"/><Relationship Id="rId3" Type="http://schemas.openxmlformats.org/officeDocument/2006/relationships/styles" Target="styles.xml"/><Relationship Id="rId7" Type="http://schemas.openxmlformats.org/officeDocument/2006/relationships/hyperlink" Target="https://www.thespacereview.com/article/3642/1" TargetMode="External"/><Relationship Id="rId12" Type="http://schemas.openxmlformats.org/officeDocument/2006/relationships/hyperlink" Target="https://www.cnn.com/2021/04/01/opinions/china-space-race-us-spacex-berger/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3832673" TargetMode="External"/><Relationship Id="rId11" Type="http://schemas.openxmlformats.org/officeDocument/2006/relationships/hyperlink" Target="https://www.harpercollins.com/products/liftoff-eric-berger?variant=32126620205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9246</Words>
  <Characters>52706</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13</cp:revision>
  <dcterms:created xsi:type="dcterms:W3CDTF">2022-02-18T20:37:00Z</dcterms:created>
  <dcterms:modified xsi:type="dcterms:W3CDTF">2022-02-18T21:45:00Z</dcterms:modified>
</cp:coreProperties>
</file>