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D96AC" w14:textId="0BFB976A" w:rsidR="00A95652" w:rsidRDefault="004B7883" w:rsidP="004B7883">
      <w:pPr>
        <w:pStyle w:val="Heading1"/>
      </w:pPr>
      <w:r>
        <w:t>NEG</w:t>
      </w:r>
    </w:p>
    <w:p w14:paraId="778724C1" w14:textId="1699E7AB" w:rsidR="004B7883" w:rsidRDefault="004B7883" w:rsidP="004B7883"/>
    <w:p w14:paraId="29593FCC" w14:textId="5222511E" w:rsidR="004B7883" w:rsidRDefault="00910554" w:rsidP="00910554">
      <w:pPr>
        <w:pStyle w:val="Heading2"/>
      </w:pPr>
      <w:r>
        <w:t>1 - DA</w:t>
      </w:r>
    </w:p>
    <w:p w14:paraId="0E5216A9" w14:textId="77777777" w:rsidR="006E1461" w:rsidRDefault="006E1461" w:rsidP="006E1461">
      <w:pPr>
        <w:pStyle w:val="Heading3"/>
      </w:pPr>
      <w:r>
        <w:t>China/He-3 DA</w:t>
      </w:r>
    </w:p>
    <w:p w14:paraId="7E3C0C0F" w14:textId="77777777" w:rsidR="006E1461" w:rsidRPr="004736C9" w:rsidRDefault="006E1461" w:rsidP="006E1461">
      <w:pPr>
        <w:pStyle w:val="Heading4"/>
      </w:pPr>
      <w:r>
        <w:t xml:space="preserve">The private space industry is the only thing preventing Chinese dominance of outer space – they’ve </w:t>
      </w:r>
      <w:r>
        <w:rPr>
          <w:u w:val="single"/>
        </w:rPr>
        <w:t>already copied</w:t>
      </w:r>
      <w:r>
        <w:t xml:space="preserve"> SpaceX’s innovations</w:t>
      </w:r>
    </w:p>
    <w:p w14:paraId="60A7A444" w14:textId="77777777" w:rsidR="006E1461" w:rsidRPr="004736C9" w:rsidRDefault="006E1461" w:rsidP="006E1461">
      <w:pPr>
        <w:rPr>
          <w:rStyle w:val="Style13ptBold"/>
        </w:rPr>
      </w:pPr>
      <w:r w:rsidRPr="004736C9">
        <w:rPr>
          <w:rStyle w:val="Style13ptBold"/>
        </w:rPr>
        <w:t>Berger 21</w:t>
      </w:r>
    </w:p>
    <w:p w14:paraId="1A55B89F" w14:textId="77777777" w:rsidR="006E1461" w:rsidRPr="00841933" w:rsidRDefault="006E1461" w:rsidP="006E1461">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6"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7" w:history="1">
        <w:r w:rsidRPr="00841933">
          <w:rPr>
            <w:rStyle w:val="Hyperlink"/>
            <w:sz w:val="12"/>
            <w:szCs w:val="12"/>
          </w:rPr>
          <w:t>https://www.cnn.com/2021/04/01/opinions/china-space-race-us-spacex-berger/index.html</w:t>
        </w:r>
      </w:hyperlink>
      <w:r w:rsidRPr="00841933">
        <w:rPr>
          <w:sz w:val="12"/>
          <w:szCs w:val="12"/>
        </w:rPr>
        <w:t xml:space="preserve"> -CAT</w:t>
      </w:r>
    </w:p>
    <w:p w14:paraId="65985F29" w14:textId="77777777" w:rsidR="006E1461" w:rsidRPr="008C6965" w:rsidRDefault="006E1461" w:rsidP="006E1461">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218798F7" w14:textId="77777777" w:rsidR="006E1461" w:rsidRDefault="006E1461" w:rsidP="006E1461">
      <w:pPr>
        <w:pStyle w:val="Heading4"/>
      </w:pPr>
      <w:r>
        <w:t>Chinese dominance would allow them to monopolize lunar Helium-3 and control the world’s economy.</w:t>
      </w:r>
    </w:p>
    <w:p w14:paraId="6A03F2E0" w14:textId="77777777" w:rsidR="006E1461" w:rsidRPr="003D79DF" w:rsidRDefault="006E1461" w:rsidP="006E1461">
      <w:pPr>
        <w:rPr>
          <w:rStyle w:val="Style13ptBold"/>
        </w:rPr>
      </w:pPr>
      <w:proofErr w:type="spellStart"/>
      <w:r w:rsidRPr="003D79DF">
        <w:rPr>
          <w:rStyle w:val="Style13ptBold"/>
        </w:rPr>
        <w:t>Bilder</w:t>
      </w:r>
      <w:proofErr w:type="spellEnd"/>
      <w:r w:rsidRPr="003D79DF">
        <w:rPr>
          <w:rStyle w:val="Style13ptBold"/>
        </w:rPr>
        <w:t xml:space="preserve"> 10</w:t>
      </w:r>
    </w:p>
    <w:p w14:paraId="34896F97" w14:textId="77777777" w:rsidR="006E1461" w:rsidRPr="003D79DF" w:rsidRDefault="006E1461" w:rsidP="006E1461">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178AC322" w14:textId="77777777" w:rsidR="006E1461" w:rsidRDefault="006E1461" w:rsidP="006E1461">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416CA992" w14:textId="77777777" w:rsidR="006E1461" w:rsidRDefault="006E1461" w:rsidP="006E1461">
      <w:pPr>
        <w:pStyle w:val="Heading4"/>
      </w:pPr>
      <w:r>
        <w:t xml:space="preserve">That dominance becomes self-reinforcing and controls the I/L to </w:t>
      </w:r>
      <w:r w:rsidRPr="008829D8">
        <w:rPr>
          <w:u w:val="single"/>
        </w:rPr>
        <w:t>every</w:t>
      </w:r>
      <w:r>
        <w:t xml:space="preserve"> claimed existential threat</w:t>
      </w:r>
    </w:p>
    <w:p w14:paraId="00B2250D" w14:textId="77777777" w:rsidR="006E1461" w:rsidRDefault="006E1461" w:rsidP="006E1461">
      <w:pPr>
        <w:pStyle w:val="ListParagraph"/>
        <w:numPr>
          <w:ilvl w:val="0"/>
          <w:numId w:val="11"/>
        </w:numPr>
      </w:pPr>
      <w:r>
        <w:t xml:space="preserve">Including </w:t>
      </w:r>
      <w:r w:rsidRPr="00C067CB">
        <w:t xml:space="preserve">climate change, </w:t>
      </w:r>
      <w:r>
        <w:t xml:space="preserve">asteroids, </w:t>
      </w:r>
      <w:r w:rsidRPr="00C067CB">
        <w:t>space colonization, nuclear war, and global warming.</w:t>
      </w:r>
    </w:p>
    <w:p w14:paraId="4D44237C" w14:textId="77777777" w:rsidR="006E1461" w:rsidRPr="00BF0440" w:rsidRDefault="006E1461" w:rsidP="006E1461">
      <w:pPr>
        <w:pStyle w:val="ListParagraph"/>
        <w:numPr>
          <w:ilvl w:val="0"/>
          <w:numId w:val="11"/>
        </w:numPr>
      </w:pPr>
      <w:r>
        <w:t>Private sector key – free market innovation is a key advantage the US has over China</w:t>
      </w:r>
    </w:p>
    <w:p w14:paraId="4A123BFE" w14:textId="77777777" w:rsidR="006E1461" w:rsidRPr="00E30D68" w:rsidRDefault="006E1461" w:rsidP="006E1461">
      <w:pPr>
        <w:rPr>
          <w:rStyle w:val="Style13ptBold"/>
        </w:rPr>
      </w:pPr>
      <w:r>
        <w:rPr>
          <w:rStyle w:val="Style13ptBold"/>
        </w:rPr>
        <w:t>Kwast 19</w:t>
      </w:r>
    </w:p>
    <w:p w14:paraId="38944C73" w14:textId="77777777" w:rsidR="006E1461" w:rsidRPr="008829D8" w:rsidRDefault="006E1461" w:rsidP="006E1461">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2C45B511" w14:textId="77777777" w:rsidR="006E1461" w:rsidRPr="00E30D68" w:rsidRDefault="006E1461" w:rsidP="006E1461">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w:t>
      </w:r>
      <w:proofErr w:type="gramStart"/>
      <w:r w:rsidRPr="00245287">
        <w:rPr>
          <w:sz w:val="10"/>
        </w:rPr>
        <w:t>nuclear powered</w:t>
      </w:r>
      <w:proofErr w:type="gramEnd"/>
      <w:r w:rsidRPr="00245287">
        <w:rPr>
          <w:sz w:val="10"/>
        </w:rPr>
        <w:t xml:space="preserve">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09400620" w14:textId="77777777" w:rsidR="006E1461" w:rsidRDefault="006E1461" w:rsidP="006E1461">
      <w:pPr>
        <w:pStyle w:val="Heading4"/>
      </w:pPr>
      <w:r>
        <w:t>Chinese dominance would be a recipe for an authoritarian hellscape of global war</w:t>
      </w:r>
    </w:p>
    <w:p w14:paraId="7837AEE5" w14:textId="77777777" w:rsidR="006E1461" w:rsidRPr="007C2398" w:rsidRDefault="006E1461" w:rsidP="006E1461">
      <w:pPr>
        <w:rPr>
          <w:rStyle w:val="Style13ptBold"/>
        </w:rPr>
      </w:pPr>
      <w:r w:rsidRPr="007C2398">
        <w:rPr>
          <w:rStyle w:val="Style13ptBold"/>
        </w:rPr>
        <w:t>Schuman 20</w:t>
      </w:r>
    </w:p>
    <w:p w14:paraId="0B3D8D04" w14:textId="77777777" w:rsidR="006E1461" w:rsidRPr="00ED408F" w:rsidRDefault="006E1461" w:rsidP="006E1461">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8"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535795D0" w14:textId="77777777" w:rsidR="006E1461" w:rsidRPr="00D74B05" w:rsidRDefault="006E1461" w:rsidP="006E1461">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w:t>
      </w:r>
      <w:proofErr w:type="gramStart"/>
      <w:r w:rsidRPr="00603E9F">
        <w:rPr>
          <w:sz w:val="10"/>
        </w:rPr>
        <w:t>In</w:t>
      </w:r>
      <w:proofErr w:type="gramEnd"/>
      <w:r w:rsidRPr="00603E9F">
        <w:rPr>
          <w:sz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603E9F">
        <w:rPr>
          <w:sz w:val="10"/>
        </w:rPr>
        <w:t>The</w:t>
      </w:r>
      <w:proofErr w:type="gramEnd"/>
      <w:r w:rsidRPr="00603E9F">
        <w:rPr>
          <w:sz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C35F51">
        <w:rPr>
          <w:rStyle w:val="StyleUnderline"/>
        </w:rPr>
        <w:t>So</w:t>
      </w:r>
      <w:proofErr w:type="gramEnd"/>
      <w:r w:rsidRPr="00C35F51">
        <w:rPr>
          <w:rStyle w:val="StyleUnderline"/>
        </w:rPr>
        <w:t xml:space="preserve">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w:t>
      </w:r>
      <w:proofErr w:type="gramStart"/>
      <w:r w:rsidRPr="00603E9F">
        <w:rPr>
          <w:sz w:val="10"/>
        </w:rPr>
        <w:t>Xi</w:t>
      </w:r>
      <w:proofErr w:type="gramEnd"/>
      <w:r w:rsidRPr="00603E9F">
        <w:rPr>
          <w:sz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w:t>
      </w:r>
      <w:proofErr w:type="gramStart"/>
      <w:r w:rsidRPr="00603E9F">
        <w:rPr>
          <w:sz w:val="10"/>
        </w:rPr>
        <w:t>officials built</w:t>
      </w:r>
      <w:proofErr w:type="gramEnd"/>
      <w:r w:rsidRPr="00603E9F">
        <w:rPr>
          <w:sz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w:t>
      </w:r>
      <w:proofErr w:type="gramStart"/>
      <w:r w:rsidRPr="00603E9F">
        <w:rPr>
          <w:sz w:val="10"/>
        </w:rPr>
        <w:t>bowed</w:t>
      </w:r>
      <w:proofErr w:type="gramEnd"/>
      <w:r w:rsidRPr="00603E9F">
        <w:rPr>
          <w:sz w:val="10"/>
        </w:rPr>
        <w:t xml:space="preserve">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p w14:paraId="45F9CD2F" w14:textId="4E074711" w:rsidR="00910554" w:rsidRDefault="00910554" w:rsidP="00910554">
      <w:pPr>
        <w:pStyle w:val="Heading2"/>
      </w:pPr>
      <w:bookmarkStart w:id="0" w:name="_Hlk92474553"/>
      <w:r>
        <w:t>2 - CP</w:t>
      </w:r>
    </w:p>
    <w:p w14:paraId="646478C5" w14:textId="098ECA76" w:rsidR="006E1461" w:rsidRDefault="006E1461" w:rsidP="006E1461">
      <w:pPr>
        <w:pStyle w:val="Heading3"/>
      </w:pPr>
      <w:r>
        <w:t>ISA Regulation</w:t>
      </w:r>
    </w:p>
    <w:p w14:paraId="7D7A0A0F" w14:textId="77777777" w:rsidR="006E1461" w:rsidRDefault="006E1461" w:rsidP="006E1461">
      <w:pPr>
        <w:pStyle w:val="Heading4"/>
      </w:pPr>
      <w:r>
        <w:t>Text: States should create a binding international regulatory framework under the ISA for property rights in outer space – standards as per the Chouhan card.</w:t>
      </w:r>
    </w:p>
    <w:p w14:paraId="4DE0E240" w14:textId="654559ED" w:rsidR="006E1461" w:rsidRPr="009B6A8A" w:rsidRDefault="006E1461" w:rsidP="006E1461">
      <w:pPr>
        <w:pStyle w:val="Heading4"/>
      </w:pPr>
      <w:r>
        <w:t>It competes – we permit private appropriation of outer space</w:t>
      </w:r>
      <w:r w:rsidR="007F7BB9">
        <w:t>.</w:t>
      </w:r>
    </w:p>
    <w:p w14:paraId="47549461" w14:textId="77777777" w:rsidR="006E1461" w:rsidRPr="00870086" w:rsidRDefault="006E1461" w:rsidP="006E1461">
      <w:pPr>
        <w:rPr>
          <w:rStyle w:val="Style13ptBold"/>
        </w:rPr>
      </w:pPr>
      <w:r>
        <w:rPr>
          <w:rStyle w:val="Style13ptBold"/>
        </w:rPr>
        <w:t>Chouhan 21</w:t>
      </w:r>
    </w:p>
    <w:p w14:paraId="12CD32FE" w14:textId="77777777" w:rsidR="006E1461" w:rsidRPr="000328F3" w:rsidRDefault="006E1461" w:rsidP="006E1461">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9" w:history="1">
        <w:r w:rsidRPr="000328F3">
          <w:rPr>
            <w:rStyle w:val="Hyperlink"/>
            <w:sz w:val="12"/>
            <w:szCs w:val="12"/>
          </w:rPr>
          <w:t>https://papers.ssrn.com/sol3/papers.cfm?abstract_id=3832673</w:t>
        </w:r>
      </w:hyperlink>
      <w:r w:rsidRPr="000328F3">
        <w:rPr>
          <w:sz w:val="12"/>
          <w:szCs w:val="12"/>
        </w:rPr>
        <w:t xml:space="preserve"> -CAT</w:t>
      </w:r>
    </w:p>
    <w:p w14:paraId="652A075F" w14:textId="77777777" w:rsidR="006E1461" w:rsidRDefault="006E1461" w:rsidP="006E1461">
      <w:pPr>
        <w:pStyle w:val="ListParagraph"/>
        <w:numPr>
          <w:ilvl w:val="0"/>
          <w:numId w:val="12"/>
        </w:numPr>
        <w:rPr>
          <w:rStyle w:val="StyleUnderline"/>
        </w:rPr>
      </w:pPr>
      <w:r>
        <w:rPr>
          <w:rStyle w:val="StyleUnderline"/>
        </w:rPr>
        <w:t>ISA = International Seabed Authority</w:t>
      </w:r>
    </w:p>
    <w:p w14:paraId="1869C432" w14:textId="77777777" w:rsidR="006E1461" w:rsidRDefault="006E1461" w:rsidP="006E1461">
      <w:pPr>
        <w:pStyle w:val="ListParagraph"/>
        <w:numPr>
          <w:ilvl w:val="0"/>
          <w:numId w:val="12"/>
        </w:numPr>
        <w:rPr>
          <w:rStyle w:val="StyleUnderline"/>
        </w:rPr>
      </w:pPr>
      <w:r>
        <w:rPr>
          <w:rStyle w:val="StyleUnderline"/>
        </w:rPr>
        <w:t>CLOS = Convention on the Law of the Sea</w:t>
      </w:r>
    </w:p>
    <w:p w14:paraId="2C986F3B" w14:textId="77777777" w:rsidR="006E1461" w:rsidRPr="000328F3" w:rsidRDefault="006E1461" w:rsidP="006E1461">
      <w:pPr>
        <w:pStyle w:val="ListParagraph"/>
        <w:numPr>
          <w:ilvl w:val="0"/>
          <w:numId w:val="12"/>
        </w:numPr>
        <w:rPr>
          <w:rStyle w:val="StyleUnderline"/>
        </w:rPr>
      </w:pPr>
      <w:r w:rsidRPr="000328F3">
        <w:rPr>
          <w:rStyle w:val="StyleUnderline"/>
        </w:rPr>
        <w:t>Bracketed to avoid gendered language</w:t>
      </w:r>
    </w:p>
    <w:p w14:paraId="6EF005B2" w14:textId="77777777" w:rsidR="006E1461" w:rsidRPr="00AB07E1" w:rsidRDefault="006E1461" w:rsidP="006E1461">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AB07E1">
        <w:rPr>
          <w:sz w:val="12"/>
        </w:rPr>
        <w:t>Open ocean</w:t>
      </w:r>
      <w:proofErr w:type="gramEnd"/>
      <w:r w:rsidRPr="00AB07E1">
        <w:rPr>
          <w:sz w:val="12"/>
        </w:rPr>
        <w:t xml:space="preserve">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w:t>
      </w:r>
      <w:proofErr w:type="gramStart"/>
      <w:r w:rsidRPr="00AB07E1">
        <w:rPr>
          <w:sz w:val="12"/>
        </w:rPr>
        <w:t>era</w:t>
      </w:r>
      <w:proofErr w:type="gramEnd"/>
      <w:r w:rsidRPr="00AB07E1">
        <w:rPr>
          <w:sz w:val="12"/>
        </w:rPr>
        <w:t xml:space="preserve">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xml:space="preserve">.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w:t>
      </w:r>
      <w:proofErr w:type="gramStart"/>
      <w:r w:rsidRPr="00AB07E1">
        <w:rPr>
          <w:sz w:val="12"/>
        </w:rPr>
        <w:t>exploitation</w:t>
      </w:r>
      <w:proofErr w:type="gramEnd"/>
      <w:r w:rsidRPr="00AB07E1">
        <w:rPr>
          <w:sz w:val="12"/>
        </w:rPr>
        <w:t xml:space="preserve">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w:t>
      </w:r>
      <w:proofErr w:type="gramStart"/>
      <w:r w:rsidRPr="00AB07E1">
        <w:rPr>
          <w:sz w:val="12"/>
        </w:rPr>
        <w:t>the all</w:t>
      </w:r>
      <w:proofErr w:type="gramEnd"/>
      <w:r w:rsidRPr="00AB07E1">
        <w:rPr>
          <w:sz w:val="12"/>
        </w:rPr>
        <w:t xml:space="preserve">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w:t>
      </w:r>
      <w:proofErr w:type="gramStart"/>
      <w:r w:rsidRPr="00AB07E1">
        <w:rPr>
          <w:sz w:val="12"/>
        </w:rPr>
        <w:t>International</w:t>
      </w:r>
      <w:proofErr w:type="gramEnd"/>
      <w:r w:rsidRPr="00AB07E1">
        <w:rPr>
          <w:sz w:val="12"/>
        </w:rPr>
        <w:t xml:space="preserve"> peace, prosperity and demilitarization of space.</w:t>
      </w:r>
    </w:p>
    <w:p w14:paraId="091760A6" w14:textId="77777777" w:rsidR="006E1461" w:rsidRPr="007C2DC5" w:rsidRDefault="006E1461" w:rsidP="006E1461">
      <w:pPr>
        <w:pStyle w:val="Heading4"/>
      </w:pPr>
      <w:r>
        <w:t xml:space="preserve">It's feasible – I-law reaches a </w:t>
      </w:r>
      <w:r>
        <w:rPr>
          <w:u w:val="single"/>
        </w:rPr>
        <w:t>clear and enforceable consensus</w:t>
      </w:r>
    </w:p>
    <w:p w14:paraId="60E371D5" w14:textId="77777777" w:rsidR="006E1461" w:rsidRPr="009B6A8A" w:rsidRDefault="006E1461" w:rsidP="006E1461">
      <w:pPr>
        <w:rPr>
          <w:rStyle w:val="Style13ptBold"/>
        </w:rPr>
      </w:pPr>
      <w:r>
        <w:rPr>
          <w:rStyle w:val="Style13ptBold"/>
        </w:rPr>
        <w:t>O’Brien 19</w:t>
      </w:r>
    </w:p>
    <w:p w14:paraId="1092D4B2" w14:textId="77777777" w:rsidR="006E1461" w:rsidRPr="00282991" w:rsidRDefault="006E1461" w:rsidP="006E1461">
      <w:pPr>
        <w:rPr>
          <w:sz w:val="12"/>
          <w:szCs w:val="12"/>
        </w:rPr>
      </w:pPr>
      <w:r w:rsidRPr="00282991">
        <w:rPr>
          <w:sz w:val="12"/>
          <w:szCs w:val="12"/>
        </w:rPr>
        <w:t xml:space="preserve">Beyond UNISPACE: It’s time for the Moon Treaty by Dennis C. O’Brien Monday, January 21, </w:t>
      </w:r>
      <w:proofErr w:type="gramStart"/>
      <w:r w:rsidRPr="00282991">
        <w:rPr>
          <w:sz w:val="12"/>
          <w:szCs w:val="12"/>
        </w:rPr>
        <w:t>2019</w:t>
      </w:r>
      <w:proofErr w:type="gramEnd"/>
      <w:r w:rsidRPr="00282991">
        <w:rPr>
          <w:sz w:val="12"/>
          <w:szCs w:val="12"/>
        </w:rPr>
        <w:t xml:space="preserve"> The Space Review. </w:t>
      </w:r>
      <w:hyperlink r:id="rId10" w:history="1">
        <w:r w:rsidRPr="00282991">
          <w:rPr>
            <w:rStyle w:val="Hyperlink"/>
            <w:sz w:val="12"/>
            <w:szCs w:val="12"/>
          </w:rPr>
          <w:t>https://www.thespacereview.com/article/3642/1</w:t>
        </w:r>
      </w:hyperlink>
      <w:r w:rsidRPr="00282991">
        <w:rPr>
          <w:sz w:val="12"/>
          <w:szCs w:val="12"/>
        </w:rPr>
        <w:t xml:space="preserve"> -CAT</w:t>
      </w:r>
    </w:p>
    <w:p w14:paraId="6BF65BBF" w14:textId="77777777" w:rsidR="006E1461" w:rsidRDefault="006E1461" w:rsidP="006E1461">
      <w:pPr>
        <w:pStyle w:val="ListParagraph"/>
        <w:numPr>
          <w:ilvl w:val="0"/>
          <w:numId w:val="12"/>
        </w:numPr>
      </w:pPr>
      <w:r>
        <w:t>We’ll also insert the graph of 157 countries in the doc; all light AND dark blue countries have adopted CLOS – that’s Europe, most of Africa and Asia, Australia, Canada, Mexico, and most of South America.</w:t>
      </w:r>
    </w:p>
    <w:p w14:paraId="652A993C" w14:textId="77777777" w:rsidR="006E1461" w:rsidRPr="00840E02" w:rsidRDefault="006E1461" w:rsidP="006E1461">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proofErr w:type="gramStart"/>
      <w:r w:rsidRPr="00282991">
        <w:rPr>
          <w:rStyle w:val="StyleUnderline"/>
        </w:rPr>
        <w:t>newly-created</w:t>
      </w:r>
      <w:proofErr w:type="gramEnd"/>
      <w:r w:rsidRPr="00282991">
        <w:rPr>
          <w:rStyle w:val="StyleUnderline"/>
        </w:rPr>
        <w:t xml:space="preserve">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6E1461" w:rsidRPr="009B6A8A" w14:paraId="3887F956" w14:textId="77777777" w:rsidTr="001A4FC5">
        <w:trPr>
          <w:tblCellSpacing w:w="15" w:type="dxa"/>
          <w:jc w:val="center"/>
        </w:trPr>
        <w:tc>
          <w:tcPr>
            <w:tcW w:w="0" w:type="auto"/>
            <w:shd w:val="clear" w:color="auto" w:fill="FFFFFF"/>
            <w:vAlign w:val="center"/>
            <w:hideMark/>
          </w:tcPr>
          <w:p w14:paraId="2E456D89" w14:textId="77777777" w:rsidR="006E1461" w:rsidRPr="009B6A8A" w:rsidRDefault="006E1461" w:rsidP="001A4FC5">
            <w:r w:rsidRPr="009B6A8A">
              <w:rPr>
                <w:noProof/>
              </w:rPr>
              <w:drawing>
                <wp:inline distT="0" distB="0" distL="0" distR="0" wp14:anchorId="55823FB7" wp14:editId="00D33982">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5375268B" w14:textId="77777777" w:rsidR="006E1461" w:rsidRPr="00840E02" w:rsidRDefault="006E1461" w:rsidP="006E1461">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w:t>
      </w:r>
      <w:proofErr w:type="gramStart"/>
      <w:r w:rsidRPr="00282991">
        <w:rPr>
          <w:rStyle w:val="StyleUnderline"/>
        </w:rPr>
        <w:t>emphasis</w:t>
      </w:r>
      <w:proofErr w:type="gramEnd"/>
      <w:r w:rsidRPr="00282991">
        <w:rPr>
          <w:rStyle w:val="StyleUnderline"/>
        </w:rPr>
        <w:t xml:space="preserve"> added)</w:t>
      </w:r>
      <w:r w:rsidRPr="00840E02">
        <w:rPr>
          <w:sz w:val="12"/>
        </w:rPr>
        <w:t xml:space="preserve"> [9] </w:t>
      </w:r>
    </w:p>
    <w:p w14:paraId="50547537" w14:textId="77777777" w:rsidR="006E1461" w:rsidRPr="00C52ABF" w:rsidRDefault="006E1461" w:rsidP="006E1461">
      <w:pPr>
        <w:pStyle w:val="Heading4"/>
        <w:rPr>
          <w:rStyle w:val="Style13ptBold"/>
          <w:b/>
          <w:bCs w:val="0"/>
        </w:rPr>
      </w:pPr>
      <w:r w:rsidRPr="00C52ABF">
        <w:rPr>
          <w:rStyle w:val="Style13ptBold"/>
          <w:b/>
        </w:rPr>
        <w:t>The internal net benefit is that an enforceable consensus avoids the 1AC’s inevitable race to the bottom</w:t>
      </w:r>
    </w:p>
    <w:p w14:paraId="5321AD33" w14:textId="77777777" w:rsidR="006E1461" w:rsidRPr="00043AAA" w:rsidRDefault="006E1461" w:rsidP="006E1461">
      <w:pPr>
        <w:rPr>
          <w:rStyle w:val="Style13ptBold"/>
        </w:rPr>
      </w:pPr>
      <w:proofErr w:type="spellStart"/>
      <w:r>
        <w:rPr>
          <w:rStyle w:val="Style13ptBold"/>
        </w:rPr>
        <w:t>Tjandra</w:t>
      </w:r>
      <w:proofErr w:type="spellEnd"/>
      <w:r>
        <w:rPr>
          <w:rStyle w:val="Style13ptBold"/>
        </w:rPr>
        <w:t xml:space="preserve"> 21</w:t>
      </w:r>
    </w:p>
    <w:p w14:paraId="4DFE5EC9" w14:textId="77777777" w:rsidR="006E1461" w:rsidRPr="009F102D" w:rsidRDefault="006E1461" w:rsidP="006E1461">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32871605" w14:textId="77777777" w:rsidR="006E1461" w:rsidRPr="001575D0" w:rsidRDefault="006E1461" w:rsidP="006E1461">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 xml:space="preserve">the international community is left with the </w:t>
      </w:r>
      <w:proofErr w:type="gramStart"/>
      <w:r w:rsidRPr="00F9755C">
        <w:rPr>
          <w:highlight w:val="green"/>
          <w:u w:val="single"/>
        </w:rPr>
        <w:t>least best</w:t>
      </w:r>
      <w:proofErr w:type="gramEnd"/>
      <w:r w:rsidRPr="00F9755C">
        <w:rPr>
          <w:highlight w:val="green"/>
          <w:u w:val="single"/>
        </w:rPr>
        <w:t xml:space="preserve">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03647EDC" w14:textId="77777777" w:rsidR="006E1461" w:rsidRDefault="006E1461" w:rsidP="006E1461">
      <w:pPr>
        <w:pStyle w:val="Heading4"/>
      </w:pPr>
      <w:bookmarkStart w:id="1" w:name="_Hlk92274716"/>
      <w:r>
        <w:t xml:space="preserve">External NB: I-Law controls the internal link to </w:t>
      </w:r>
      <w:r>
        <w:rPr>
          <w:u w:val="single"/>
        </w:rPr>
        <w:t>every existential threat</w:t>
      </w:r>
      <w:r>
        <w:t>.</w:t>
      </w:r>
    </w:p>
    <w:p w14:paraId="41636483" w14:textId="77777777" w:rsidR="006E1461" w:rsidRPr="00BA634A" w:rsidRDefault="006E1461" w:rsidP="006E1461">
      <w:pPr>
        <w:rPr>
          <w:rStyle w:val="Style13ptBold"/>
        </w:rPr>
      </w:pPr>
      <w:proofErr w:type="spellStart"/>
      <w:r w:rsidRPr="00BA634A">
        <w:rPr>
          <w:rStyle w:val="Style13ptBold"/>
        </w:rPr>
        <w:t>Mecklin</w:t>
      </w:r>
      <w:proofErr w:type="spellEnd"/>
      <w:r w:rsidRPr="00BA634A">
        <w:rPr>
          <w:rStyle w:val="Style13ptBold"/>
        </w:rPr>
        <w:t xml:space="preserve"> 21</w:t>
      </w:r>
    </w:p>
    <w:p w14:paraId="1D13BDF9" w14:textId="77777777" w:rsidR="006E1461" w:rsidRPr="00BA634A" w:rsidRDefault="006E1461" w:rsidP="006E1461">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2" w:history="1">
        <w:r w:rsidRPr="00BA634A">
          <w:rPr>
            <w:rStyle w:val="Hyperlink"/>
            <w:sz w:val="12"/>
            <w:szCs w:val="12"/>
          </w:rPr>
          <w:t>https://thebulletin.org/doomsday-clock/current-time/</w:t>
        </w:r>
      </w:hyperlink>
      <w:r w:rsidRPr="00BA634A">
        <w:rPr>
          <w:sz w:val="12"/>
          <w:szCs w:val="12"/>
        </w:rPr>
        <w:t xml:space="preserve"> -CAT</w:t>
      </w:r>
    </w:p>
    <w:p w14:paraId="196BBEC5" w14:textId="77777777" w:rsidR="006E1461" w:rsidRDefault="006E1461" w:rsidP="006E1461">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 xml:space="preserve">In this time of genuine crisis, governments too often abdicated responsibility, ignored scientific advice, did not </w:t>
      </w:r>
      <w:proofErr w:type="gramStart"/>
      <w:r w:rsidRPr="00BA634A">
        <w:rPr>
          <w:rStyle w:val="StyleUnderline"/>
        </w:rPr>
        <w:t>cooperate</w:t>
      </w:r>
      <w:proofErr w:type="gramEnd"/>
      <w:r w:rsidRPr="00BA634A">
        <w:rPr>
          <w:rStyle w:val="StyleUnderline"/>
        </w:rPr>
        <w:t xml:space="preserv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3"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bookmarkEnd w:id="0"/>
    <w:bookmarkEnd w:id="1"/>
    <w:p w14:paraId="45AB4641" w14:textId="4DEC84FD" w:rsidR="004B7883" w:rsidRDefault="004B7883" w:rsidP="004B7883"/>
    <w:p w14:paraId="05B6C2B1" w14:textId="4F57BF8A" w:rsidR="004B7883" w:rsidRDefault="004B7883" w:rsidP="004B7883"/>
    <w:p w14:paraId="745BF6A8" w14:textId="07128FF5" w:rsidR="004B7883" w:rsidRDefault="004B7883" w:rsidP="004B7883"/>
    <w:p w14:paraId="40FA1FED" w14:textId="77777777" w:rsidR="00D9141A" w:rsidRDefault="00D9141A" w:rsidP="00AE3798">
      <w:pPr>
        <w:pStyle w:val="Heading2"/>
      </w:pPr>
      <w:r>
        <w:t>3 – 1AR theory hedge</w:t>
      </w:r>
    </w:p>
    <w:p w14:paraId="392FB7E9" w14:textId="351807C6" w:rsidR="00AE3798" w:rsidRPr="00AE3798" w:rsidRDefault="00AE3798" w:rsidP="00AE3798">
      <w:pPr>
        <w:pStyle w:val="Heading3"/>
      </w:pPr>
      <w:r>
        <w:t>No 1ar theory</w:t>
      </w:r>
    </w:p>
    <w:p w14:paraId="1EDFA6B7" w14:textId="77777777" w:rsidR="00AE3798" w:rsidRPr="000875A4" w:rsidRDefault="00AE3798" w:rsidP="00AE3798">
      <w:pPr>
        <w:pStyle w:val="Heading4"/>
      </w:pPr>
      <w:r w:rsidRPr="000875A4">
        <w:t xml:space="preserve">1] No 1ar theory: [a] I only have one speech to respond which outweighs on infinite abuse because they can read any number of shells [b] aff frames the round means they pick neg ground and if the 1ar is hard, they should just write a better aff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050B7FDE" w14:textId="77777777" w:rsidR="00AE3798" w:rsidRDefault="00AE3798" w:rsidP="00AE3798">
      <w:pPr>
        <w:pStyle w:val="Heading4"/>
      </w:pPr>
      <w:r w:rsidRPr="000875A4">
        <w:t xml:space="preserve">2] Use reasonability on 1ar theory – [a] Competing </w:t>
      </w:r>
      <w:proofErr w:type="spellStart"/>
      <w:r w:rsidRPr="000875A4">
        <w:t>interps</w:t>
      </w:r>
      <w:proofErr w:type="spellEnd"/>
      <w:r w:rsidRPr="000875A4">
        <w:t xml:space="preserve"> moots 7 mins of NC offense which </w:t>
      </w:r>
      <w:r>
        <w:t>o/</w:t>
      </w:r>
      <w:proofErr w:type="spellStart"/>
      <w:r>
        <w:t>ws</w:t>
      </w:r>
      <w:proofErr w:type="spellEnd"/>
      <w:r w:rsidRPr="000875A4">
        <w:t xml:space="preserve"> minimal neg abuse. [b] </w:t>
      </w:r>
      <w:r>
        <w:t xml:space="preserve">the 2AR gets to line-by-line every 2NR standard with new answers that </w:t>
      </w:r>
      <w:r w:rsidRPr="00F50DD9">
        <w:rPr>
          <w:u w:val="single"/>
        </w:rPr>
        <w:t>never get responded to</w:t>
      </w:r>
      <w:r>
        <w:t xml:space="preserve"> – reasonability checks 2AR sandbagging by preventing super abusive 1NCs while still giving the 2N a chance.</w:t>
      </w:r>
    </w:p>
    <w:p w14:paraId="253522C5" w14:textId="77777777" w:rsidR="00AE3798" w:rsidRPr="000875A4" w:rsidRDefault="00AE3798" w:rsidP="00AE3798">
      <w:pPr>
        <w:pStyle w:val="Heading4"/>
      </w:pPr>
      <w:r w:rsidRPr="000875A4">
        <w:t>3] neg theory highest layer of the round a) framing of the round b) if the aff was abusive the neg is justified in responding</w:t>
      </w:r>
    </w:p>
    <w:p w14:paraId="02839F1C" w14:textId="77777777" w:rsidR="00AE3798" w:rsidRPr="000875A4" w:rsidRDefault="00AE3798" w:rsidP="00AE3798">
      <w:pPr>
        <w:pStyle w:val="Heading4"/>
      </w:pPr>
      <w:r w:rsidRPr="000875A4">
        <w:t>4] Accept neg paradigm issues – otherwise they can put infinite spin on 1nc contextualization which means we never have good theory debates if we are disagreeing on the rules of the game. Leads to infinite theory debates, which kills the point of theory.</w:t>
      </w:r>
    </w:p>
    <w:sectPr w:rsidR="00AE3798" w:rsidRPr="00087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6243"/>
    <w:rsid w:val="000139A3"/>
    <w:rsid w:val="00021438"/>
    <w:rsid w:val="0003585A"/>
    <w:rsid w:val="0003691A"/>
    <w:rsid w:val="000875C8"/>
    <w:rsid w:val="000B18EC"/>
    <w:rsid w:val="00100833"/>
    <w:rsid w:val="00104529"/>
    <w:rsid w:val="00105942"/>
    <w:rsid w:val="00106F99"/>
    <w:rsid w:val="00107396"/>
    <w:rsid w:val="001207B4"/>
    <w:rsid w:val="00144A4C"/>
    <w:rsid w:val="00176AB0"/>
    <w:rsid w:val="00177B7D"/>
    <w:rsid w:val="0018322D"/>
    <w:rsid w:val="0018500C"/>
    <w:rsid w:val="001B5776"/>
    <w:rsid w:val="001E527A"/>
    <w:rsid w:val="001F78CE"/>
    <w:rsid w:val="002070DA"/>
    <w:rsid w:val="00236FA6"/>
    <w:rsid w:val="00251FC7"/>
    <w:rsid w:val="00271C1D"/>
    <w:rsid w:val="002855A7"/>
    <w:rsid w:val="002A7DA2"/>
    <w:rsid w:val="002B146A"/>
    <w:rsid w:val="002B5E17"/>
    <w:rsid w:val="002E5113"/>
    <w:rsid w:val="00315690"/>
    <w:rsid w:val="00316B75"/>
    <w:rsid w:val="00325646"/>
    <w:rsid w:val="00341F13"/>
    <w:rsid w:val="003460F2"/>
    <w:rsid w:val="0038158C"/>
    <w:rsid w:val="003902BA"/>
    <w:rsid w:val="003A09E2"/>
    <w:rsid w:val="003A345E"/>
    <w:rsid w:val="003B68FF"/>
    <w:rsid w:val="003D72C9"/>
    <w:rsid w:val="00407037"/>
    <w:rsid w:val="004605D6"/>
    <w:rsid w:val="004B2FEB"/>
    <w:rsid w:val="004B7883"/>
    <w:rsid w:val="004C60E8"/>
    <w:rsid w:val="004E3579"/>
    <w:rsid w:val="004E44C9"/>
    <w:rsid w:val="004E728B"/>
    <w:rsid w:val="004F39E0"/>
    <w:rsid w:val="00537BD5"/>
    <w:rsid w:val="0057268A"/>
    <w:rsid w:val="005A5F01"/>
    <w:rsid w:val="005D2912"/>
    <w:rsid w:val="006065BD"/>
    <w:rsid w:val="00645FA9"/>
    <w:rsid w:val="00647866"/>
    <w:rsid w:val="00652B6F"/>
    <w:rsid w:val="00665003"/>
    <w:rsid w:val="006A2AD0"/>
    <w:rsid w:val="006B0106"/>
    <w:rsid w:val="006C1063"/>
    <w:rsid w:val="006C2375"/>
    <w:rsid w:val="006D4ECC"/>
    <w:rsid w:val="006E1461"/>
    <w:rsid w:val="00722258"/>
    <w:rsid w:val="007243E5"/>
    <w:rsid w:val="00766EA0"/>
    <w:rsid w:val="007A13C2"/>
    <w:rsid w:val="007A2226"/>
    <w:rsid w:val="007E32AB"/>
    <w:rsid w:val="007F5B66"/>
    <w:rsid w:val="007F7BB9"/>
    <w:rsid w:val="00805B96"/>
    <w:rsid w:val="00823A1C"/>
    <w:rsid w:val="00845B9D"/>
    <w:rsid w:val="00860984"/>
    <w:rsid w:val="008B3ECB"/>
    <w:rsid w:val="008B4E85"/>
    <w:rsid w:val="008B5D40"/>
    <w:rsid w:val="008C1B2E"/>
    <w:rsid w:val="00910554"/>
    <w:rsid w:val="0091627E"/>
    <w:rsid w:val="0097032B"/>
    <w:rsid w:val="009B02B1"/>
    <w:rsid w:val="009D2EAD"/>
    <w:rsid w:val="009D54B2"/>
    <w:rsid w:val="009E1922"/>
    <w:rsid w:val="009F6243"/>
    <w:rsid w:val="009F7ED2"/>
    <w:rsid w:val="00A93366"/>
    <w:rsid w:val="00A93661"/>
    <w:rsid w:val="00A95652"/>
    <w:rsid w:val="00AC0AB8"/>
    <w:rsid w:val="00AE3798"/>
    <w:rsid w:val="00B33C6D"/>
    <w:rsid w:val="00B4508F"/>
    <w:rsid w:val="00B55AD5"/>
    <w:rsid w:val="00B8057C"/>
    <w:rsid w:val="00BC7C57"/>
    <w:rsid w:val="00BD6238"/>
    <w:rsid w:val="00BE3125"/>
    <w:rsid w:val="00BE3248"/>
    <w:rsid w:val="00BE335E"/>
    <w:rsid w:val="00BF593B"/>
    <w:rsid w:val="00BF773A"/>
    <w:rsid w:val="00BF7E81"/>
    <w:rsid w:val="00C13773"/>
    <w:rsid w:val="00C14472"/>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9141A"/>
    <w:rsid w:val="00DA1C92"/>
    <w:rsid w:val="00DA25D4"/>
    <w:rsid w:val="00DA6538"/>
    <w:rsid w:val="00DC5AF9"/>
    <w:rsid w:val="00E15E75"/>
    <w:rsid w:val="00E5262C"/>
    <w:rsid w:val="00EC7DC4"/>
    <w:rsid w:val="00ED30CF"/>
    <w:rsid w:val="00F176EF"/>
    <w:rsid w:val="00F45E10"/>
    <w:rsid w:val="00F6364A"/>
    <w:rsid w:val="00F9113A"/>
    <w:rsid w:val="00FE2546"/>
    <w:rsid w:val="00FE7F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B5C7"/>
  <w15:chartTrackingRefBased/>
  <w15:docId w15:val="{457D3070-6265-4825-94B7-F754F678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41A"/>
    <w:pPr>
      <w:spacing w:after="0" w:line="240" w:lineRule="auto"/>
    </w:pPr>
    <w:rPr>
      <w:rFonts w:ascii="Calibri" w:hAnsi="Calibri" w:cs="Calibri"/>
    </w:rPr>
  </w:style>
  <w:style w:type="paragraph" w:styleId="Heading1">
    <w:name w:val="heading 1"/>
    <w:aliases w:val="Pocket"/>
    <w:basedOn w:val="Normal"/>
    <w:next w:val="Normal"/>
    <w:link w:val="Heading1Char"/>
    <w:qFormat/>
    <w:rsid w:val="00D9141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141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D9141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D9141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914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41A"/>
  </w:style>
  <w:style w:type="character" w:customStyle="1" w:styleId="Heading1Char">
    <w:name w:val="Heading 1 Char"/>
    <w:aliases w:val="Pocket Char"/>
    <w:basedOn w:val="DefaultParagraphFont"/>
    <w:link w:val="Heading1"/>
    <w:rsid w:val="00D914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141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D9141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D9141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D9141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9141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D9141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9141A"/>
    <w:rPr>
      <w:color w:val="auto"/>
      <w:u w:val="none"/>
    </w:rPr>
  </w:style>
  <w:style w:type="character" w:styleId="FollowedHyperlink">
    <w:name w:val="FollowedHyperlink"/>
    <w:basedOn w:val="DefaultParagraphFont"/>
    <w:uiPriority w:val="99"/>
    <w:semiHidden/>
    <w:unhideWhenUsed/>
    <w:rsid w:val="00D9141A"/>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6E14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E146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6E1461"/>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99"/>
    <w:qFormat/>
    <w:rsid w:val="006E14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international/archive/2020/10/what-kind-superpower-will-china-be/616580/" TargetMode="External"/><Relationship Id="rId13" Type="http://schemas.openxmlformats.org/officeDocument/2006/relationships/hyperlink" Target="https://thebulletin.org/doomsday-clock/current-time/" TargetMode="External"/><Relationship Id="rId3" Type="http://schemas.openxmlformats.org/officeDocument/2006/relationships/styles" Target="styles.xml"/><Relationship Id="rId7" Type="http://schemas.openxmlformats.org/officeDocument/2006/relationships/hyperlink" Target="https://www.cnn.com/2021/04/01/opinions/china-space-race-us-spacex-berger/index.html" TargetMode="External"/><Relationship Id="rId12" Type="http://schemas.openxmlformats.org/officeDocument/2006/relationships/hyperlink" Target="https://thebulletin.org/doomsday-clock/current-ti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arpercollins.com/products/liftoff-eric-berger?variant=32126620205090"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spacereview.com/article/3642/1" TargetMode="External"/><Relationship Id="rId4" Type="http://schemas.openxmlformats.org/officeDocument/2006/relationships/settings" Target="settings.xml"/><Relationship Id="rId9" Type="http://schemas.openxmlformats.org/officeDocument/2006/relationships/hyperlink" Target="https://papers.ssrn.com/sol3/papers.cfm?abstract_id=383267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8969</Words>
  <Characters>51128</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37</cp:revision>
  <dcterms:created xsi:type="dcterms:W3CDTF">2022-02-05T16:29:00Z</dcterms:created>
  <dcterms:modified xsi:type="dcterms:W3CDTF">2022-02-05T19:48:00Z</dcterms:modified>
</cp:coreProperties>
</file>