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2B198" w14:textId="0F5A2853" w:rsidR="00D97F1B" w:rsidRDefault="0074255A" w:rsidP="00D97F1B">
      <w:pPr>
        <w:pStyle w:val="Heading2"/>
      </w:pPr>
      <w:r>
        <w:t>3</w:t>
      </w:r>
      <w:r w:rsidR="00D97F1B">
        <w:t xml:space="preserve"> </w:t>
      </w:r>
      <w:proofErr w:type="gramStart"/>
      <w:r w:rsidR="00D97F1B">
        <w:t>off</w:t>
      </w:r>
      <w:proofErr w:type="gramEnd"/>
    </w:p>
    <w:p w14:paraId="22B33DB5" w14:textId="77777777" w:rsidR="0074255A" w:rsidRDefault="0074255A" w:rsidP="0074255A">
      <w:pPr>
        <w:pStyle w:val="Heading3"/>
      </w:pPr>
      <w:r>
        <w:t>Disclosure</w:t>
      </w:r>
    </w:p>
    <w:p w14:paraId="51530BE4" w14:textId="77777777" w:rsidR="0074255A" w:rsidRDefault="0074255A" w:rsidP="0074255A">
      <w:pPr>
        <w:pStyle w:val="Heading4"/>
      </w:pPr>
      <w:proofErr w:type="spellStart"/>
      <w:r w:rsidRPr="004670E7">
        <w:t>Interp</w:t>
      </w:r>
      <w:proofErr w:type="spellEnd"/>
      <w:r w:rsidRPr="004670E7">
        <w:t xml:space="preserve">: </w:t>
      </w:r>
      <w:r>
        <w:t>When asked, d</w:t>
      </w:r>
      <w:r w:rsidRPr="004670E7">
        <w:t xml:space="preserve">ebaters must disclose </w:t>
      </w:r>
      <w:r>
        <w:t xml:space="preserve">the 1AC </w:t>
      </w:r>
      <w:r w:rsidRPr="004670E7">
        <w:t>at least 30 minutes before the round</w:t>
      </w:r>
      <w:r>
        <w:t xml:space="preserve"> via email or comparable method</w:t>
      </w:r>
    </w:p>
    <w:p w14:paraId="79FBFA13" w14:textId="7ECB0F82" w:rsidR="0074255A" w:rsidRDefault="0074255A" w:rsidP="0074255A">
      <w:pPr>
        <w:pStyle w:val="Heading4"/>
        <w:rPr>
          <w:rFonts w:asciiTheme="minorHAnsi" w:hAnsiTheme="minorHAnsi" w:cstheme="minorHAnsi"/>
        </w:rPr>
      </w:pPr>
      <w:r w:rsidRPr="004670E7">
        <w:rPr>
          <w:rFonts w:asciiTheme="minorHAnsi" w:hAnsiTheme="minorHAnsi" w:cstheme="minorHAnsi"/>
        </w:rPr>
        <w:t xml:space="preserve">Violation – </w:t>
      </w:r>
      <w:r>
        <w:rPr>
          <w:rFonts w:asciiTheme="minorHAnsi" w:hAnsiTheme="minorHAnsi" w:cstheme="minorHAnsi"/>
        </w:rPr>
        <w:t xml:space="preserve">You sent a different AFF </w:t>
      </w:r>
      <w:r>
        <w:rPr>
          <w:rFonts w:asciiTheme="minorHAnsi" w:hAnsiTheme="minorHAnsi" w:cstheme="minorHAnsi"/>
          <w:u w:val="single"/>
        </w:rPr>
        <w:t>twice</w:t>
      </w:r>
      <w:r>
        <w:rPr>
          <w:rFonts w:asciiTheme="minorHAnsi" w:hAnsiTheme="minorHAnsi" w:cstheme="minorHAnsi"/>
        </w:rPr>
        <w:t xml:space="preserve"> via email – </w:t>
      </w:r>
      <w:r>
        <w:rPr>
          <w:rFonts w:asciiTheme="minorHAnsi" w:hAnsiTheme="minorHAnsi" w:cstheme="minorHAnsi"/>
          <w:u w:val="single"/>
        </w:rPr>
        <w:t xml:space="preserve">AFTER having already </w:t>
      </w:r>
      <w:proofErr w:type="spellStart"/>
      <w:r>
        <w:rPr>
          <w:rFonts w:asciiTheme="minorHAnsi" w:hAnsiTheme="minorHAnsi" w:cstheme="minorHAnsi"/>
          <w:u w:val="single"/>
        </w:rPr>
        <w:t>misdisclosed</w:t>
      </w:r>
      <w:proofErr w:type="spellEnd"/>
      <w:r>
        <w:rPr>
          <w:rFonts w:asciiTheme="minorHAnsi" w:hAnsiTheme="minorHAnsi" w:cstheme="minorHAnsi"/>
          <w:u w:val="single"/>
        </w:rPr>
        <w:t xml:space="preserve"> on the wiki</w:t>
      </w:r>
      <w:r>
        <w:rPr>
          <w:rFonts w:asciiTheme="minorHAnsi" w:hAnsiTheme="minorHAnsi" w:cstheme="minorHAnsi"/>
        </w:rPr>
        <w:t>.</w:t>
      </w:r>
    </w:p>
    <w:p w14:paraId="4F1EE357" w14:textId="2595E1EC" w:rsidR="00120DCE" w:rsidRDefault="00120DCE" w:rsidP="00120DCE"/>
    <w:p w14:paraId="0208F195" w14:textId="5514F2D3" w:rsidR="00F17E8C" w:rsidRDefault="00F17E8C" w:rsidP="00120DCE">
      <w:r w:rsidRPr="00F17E8C">
        <w:rPr>
          <w:noProof/>
        </w:rPr>
        <w:drawing>
          <wp:inline distT="0" distB="0" distL="0" distR="0" wp14:anchorId="1FB46989" wp14:editId="6C9EF945">
            <wp:extent cx="6304053" cy="5528498"/>
            <wp:effectExtent l="0" t="0" r="1905"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6"/>
                    <a:stretch>
                      <a:fillRect/>
                    </a:stretch>
                  </pic:blipFill>
                  <pic:spPr>
                    <a:xfrm>
                      <a:off x="0" y="0"/>
                      <a:ext cx="6306198" cy="5530379"/>
                    </a:xfrm>
                    <a:prstGeom prst="rect">
                      <a:avLst/>
                    </a:prstGeom>
                  </pic:spPr>
                </pic:pic>
              </a:graphicData>
            </a:graphic>
          </wp:inline>
        </w:drawing>
      </w:r>
    </w:p>
    <w:p w14:paraId="14849F4C" w14:textId="28EE7F4B" w:rsidR="00120DCE" w:rsidRDefault="00120DCE" w:rsidP="00120DCE">
      <w:proofErr w:type="spellStart"/>
      <w:r>
        <w:t>Heres</w:t>
      </w:r>
      <w:proofErr w:type="spellEnd"/>
      <w:r>
        <w:t xml:space="preserve"> the </w:t>
      </w:r>
      <w:proofErr w:type="spellStart"/>
      <w:r>
        <w:t>misdisclosure</w:t>
      </w:r>
      <w:proofErr w:type="spellEnd"/>
    </w:p>
    <w:p w14:paraId="609619DD" w14:textId="77777777" w:rsidR="00120DCE" w:rsidRPr="00120DCE" w:rsidRDefault="00120DCE" w:rsidP="00120DCE"/>
    <w:p w14:paraId="71D7604B" w14:textId="7ADB1170" w:rsidR="0074255A" w:rsidRDefault="00120DCE" w:rsidP="0074255A">
      <w:r w:rsidRPr="00B27D3B">
        <w:rPr>
          <w:noProof/>
        </w:rPr>
        <w:drawing>
          <wp:inline distT="0" distB="0" distL="0" distR="0" wp14:anchorId="4138E147" wp14:editId="3E272534">
            <wp:extent cx="5864819" cy="6027268"/>
            <wp:effectExtent l="0" t="0" r="3175" b="0"/>
            <wp:docPr id="2" name="Picture 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7"/>
                    <a:stretch>
                      <a:fillRect/>
                    </a:stretch>
                  </pic:blipFill>
                  <pic:spPr>
                    <a:xfrm>
                      <a:off x="0" y="0"/>
                      <a:ext cx="5885926" cy="6048960"/>
                    </a:xfrm>
                    <a:prstGeom prst="rect">
                      <a:avLst/>
                    </a:prstGeom>
                  </pic:spPr>
                </pic:pic>
              </a:graphicData>
            </a:graphic>
          </wp:inline>
        </w:drawing>
      </w:r>
    </w:p>
    <w:p w14:paraId="0C3481B9" w14:textId="2C7E4A0B" w:rsidR="0074255A" w:rsidRDefault="0074255A" w:rsidP="0074255A">
      <w:pPr>
        <w:pStyle w:val="Heading4"/>
      </w:pPr>
      <w:proofErr w:type="spellStart"/>
      <w:r>
        <w:t>Interp</w:t>
      </w:r>
      <w:proofErr w:type="spellEnd"/>
      <w:r>
        <w:t xml:space="preserve"> isn’t a typo – “the 1AC” implies the correct 1AC – hold the line, </w:t>
      </w:r>
      <w:r w:rsidRPr="0074255A">
        <w:rPr>
          <w:u w:val="single"/>
        </w:rPr>
        <w:t>repeated abuse is actual abuse</w:t>
      </w:r>
      <w:r>
        <w:t>.</w:t>
      </w:r>
    </w:p>
    <w:p w14:paraId="47D61F5D" w14:textId="77777777" w:rsidR="0074255A" w:rsidRPr="0074255A" w:rsidRDefault="0074255A" w:rsidP="0074255A"/>
    <w:p w14:paraId="52B59959" w14:textId="77777777" w:rsidR="0074255A" w:rsidRPr="004670E7" w:rsidRDefault="0074255A" w:rsidP="0074255A">
      <w:pPr>
        <w:pStyle w:val="Heading4"/>
      </w:pPr>
      <w:r w:rsidRPr="004670E7">
        <w:t>Standards:</w:t>
      </w:r>
    </w:p>
    <w:p w14:paraId="1BC8BB48" w14:textId="77777777" w:rsidR="0074255A" w:rsidRPr="00465AFB" w:rsidRDefault="0074255A" w:rsidP="0074255A">
      <w:pPr>
        <w:pStyle w:val="Heading4"/>
      </w:pPr>
      <w:bookmarkStart w:id="0" w:name="_Hlk81175895"/>
      <w:r>
        <w:t xml:space="preserve">1] Reciprocity – I disclose everything on my wiki </w:t>
      </w:r>
      <w:r>
        <w:rPr>
          <w:u w:val="single"/>
        </w:rPr>
        <w:t>and</w:t>
      </w:r>
      <w:r>
        <w:t xml:space="preserve"> when asked, I email the 1AC 30 minutes before the round</w:t>
      </w:r>
    </w:p>
    <w:p w14:paraId="7EC58BB9" w14:textId="77777777" w:rsidR="0074255A" w:rsidRPr="007C262C" w:rsidRDefault="0074255A" w:rsidP="0074255A">
      <w:pPr>
        <w:pStyle w:val="Heading4"/>
      </w:pPr>
      <w:bookmarkStart w:id="1" w:name="_Hlk81176729"/>
      <w:r>
        <w:t xml:space="preserve">2] Engagement – disclosure incentivizes good arguments and motivates </w:t>
      </w:r>
      <w:r>
        <w:rPr>
          <w:u w:val="single"/>
        </w:rPr>
        <w:t>depth of research</w:t>
      </w:r>
      <w:r>
        <w:t>; that o/</w:t>
      </w:r>
      <w:proofErr w:type="spellStart"/>
      <w:r>
        <w:t>ws</w:t>
      </w:r>
      <w:proofErr w:type="spellEnd"/>
    </w:p>
    <w:p w14:paraId="7B8E3EDA" w14:textId="77777777" w:rsidR="0074255A" w:rsidRDefault="0074255A" w:rsidP="0074255A">
      <w:pPr>
        <w:rPr>
          <w:rFonts w:eastAsiaTheme="majorEastAsia" w:cstheme="majorBidi"/>
          <w:b/>
          <w:bCs/>
          <w:sz w:val="26"/>
          <w:szCs w:val="26"/>
        </w:rPr>
      </w:pPr>
      <w:r w:rsidRPr="004670E7">
        <w:rPr>
          <w:rFonts w:eastAsiaTheme="majorEastAsia" w:cstheme="majorBidi"/>
          <w:b/>
          <w:bCs/>
          <w:sz w:val="26"/>
          <w:szCs w:val="26"/>
        </w:rPr>
        <w:t>Nails 13</w:t>
      </w:r>
    </w:p>
    <w:p w14:paraId="1B0E1AC6" w14:textId="77777777" w:rsidR="0074255A" w:rsidRPr="003E57E3" w:rsidRDefault="0074255A" w:rsidP="0074255A">
      <w:pPr>
        <w:rPr>
          <w:sz w:val="12"/>
          <w:szCs w:val="12"/>
        </w:rPr>
      </w:pPr>
      <w:r w:rsidRPr="003E57E3">
        <w:rPr>
          <w:sz w:val="12"/>
          <w:szCs w:val="12"/>
        </w:rPr>
        <w:t xml:space="preserve">Jacob Nails (Debate Coach, Sacred Heart HS). “A Defense of Disclosure (Including Third-Party Disclosure).” </w:t>
      </w:r>
      <w:proofErr w:type="spellStart"/>
      <w:r w:rsidRPr="003E57E3">
        <w:rPr>
          <w:sz w:val="12"/>
          <w:szCs w:val="12"/>
        </w:rPr>
        <w:t>NSDUpdate</w:t>
      </w:r>
      <w:proofErr w:type="spellEnd"/>
      <w:r w:rsidRPr="003E57E3">
        <w:rPr>
          <w:sz w:val="12"/>
          <w:szCs w:val="12"/>
        </w:rPr>
        <w:t>. October 10th, 2013. http://nsdupdate.com/2013/a-defense-of-disclosure-including-third-party-disclosure-by-jacob-nails/</w:t>
      </w:r>
    </w:p>
    <w:p w14:paraId="0725CEDD" w14:textId="77777777" w:rsidR="0074255A" w:rsidRDefault="0074255A" w:rsidP="0074255A">
      <w:pPr>
        <w:rPr>
          <w:rStyle w:val="Style13ptBold"/>
          <w:sz w:val="16"/>
        </w:rPr>
      </w:pPr>
      <w:r w:rsidRPr="007C262C">
        <w:rPr>
          <w:rStyle w:val="StyleUnderline"/>
        </w:rPr>
        <w:t xml:space="preserve">I find that </w:t>
      </w:r>
      <w:r w:rsidRPr="00BA4EFB">
        <w:rPr>
          <w:rStyle w:val="StyleUnderline"/>
          <w:highlight w:val="green"/>
        </w:rPr>
        <w:t>the largest advantage of</w:t>
      </w:r>
      <w:r w:rsidRPr="007C262C">
        <w:rPr>
          <w:rStyle w:val="StyleUnderline"/>
        </w:rPr>
        <w:t xml:space="preserve"> widespread </w:t>
      </w:r>
      <w:r w:rsidRPr="00BA4EFB">
        <w:rPr>
          <w:rStyle w:val="StyleUnderline"/>
          <w:highlight w:val="green"/>
        </w:rPr>
        <w:t>disclosure is</w:t>
      </w:r>
      <w:r w:rsidRPr="007C262C">
        <w:rPr>
          <w:rStyle w:val="StyleUnderline"/>
        </w:rPr>
        <w:t xml:space="preserve"> </w:t>
      </w:r>
      <w:r w:rsidRPr="007C262C">
        <w:rPr>
          <w:rStyle w:val="Emphasis"/>
        </w:rPr>
        <w:t xml:space="preserve">the </w:t>
      </w:r>
      <w:r w:rsidRPr="00BA4EFB">
        <w:rPr>
          <w:rStyle w:val="Emphasis"/>
          <w:highlight w:val="green"/>
        </w:rPr>
        <w:t xml:space="preserve">educational </w:t>
      </w:r>
      <w:r w:rsidRPr="007C262C">
        <w:rPr>
          <w:rStyle w:val="Emphasis"/>
        </w:rPr>
        <w:t>value it provides</w:t>
      </w:r>
      <w:r w:rsidRPr="007C262C">
        <w:rPr>
          <w:rStyle w:val="StyleUnderline"/>
        </w:rPr>
        <w:t xml:space="preserve">. First, disclosure streamlines research. Rather than every team and every lone wolf researching completely in the dark, the wiki provides a public body of knowledge that everyone can contribute to and build </w:t>
      </w:r>
      <w:proofErr w:type="gramStart"/>
      <w:r w:rsidRPr="007C262C">
        <w:rPr>
          <w:rStyle w:val="StyleUnderline"/>
        </w:rPr>
        <w:t>off of</w:t>
      </w:r>
      <w:proofErr w:type="gramEnd"/>
      <w:r w:rsidRPr="007C262C">
        <w:rPr>
          <w:rStyle w:val="StyleUnderline"/>
        </w:rPr>
        <w:t xml:space="preserve">. Students can look through the different studies on the topic and choose the best ones on an informed basis without the prohibitively large burden of personally surveying </w:t>
      </w:r>
      <w:proofErr w:type="gramStart"/>
      <w:r w:rsidRPr="007C262C">
        <w:rPr>
          <w:rStyle w:val="StyleUnderline"/>
        </w:rPr>
        <w:t>all of</w:t>
      </w:r>
      <w:proofErr w:type="gramEnd"/>
      <w:r w:rsidRPr="007C262C">
        <w:rPr>
          <w:rStyle w:val="StyleUnderline"/>
        </w:rPr>
        <w:t xml:space="preserve"> the literature. The </w:t>
      </w:r>
      <w:r w:rsidRPr="00BA4EFB">
        <w:rPr>
          <w:rStyle w:val="StyleUnderline"/>
          <w:highlight w:val="green"/>
        </w:rPr>
        <w:t>best arguments are identified and replicated</w:t>
      </w:r>
      <w:r w:rsidRPr="007C262C">
        <w:rPr>
          <w:rStyle w:val="StyleUnderline"/>
        </w:rPr>
        <w:t xml:space="preserve">, </w:t>
      </w:r>
      <w:r w:rsidRPr="00BA4EFB">
        <w:rPr>
          <w:rStyle w:val="StyleUnderline"/>
          <w:highlight w:val="green"/>
        </w:rPr>
        <w:t>which</w:t>
      </w:r>
      <w:r w:rsidRPr="007C262C">
        <w:rPr>
          <w:rStyle w:val="StyleUnderline"/>
        </w:rPr>
        <w:t xml:space="preserve"> is a natural result of an open marketplace of ideas. Quality of evidence increases across the board</w:t>
      </w:r>
      <w:proofErr w:type="gramStart"/>
      <w:r w:rsidRPr="007C262C">
        <w:rPr>
          <w:rStyle w:val="Style13ptBold"/>
          <w:sz w:val="16"/>
        </w:rPr>
        <w:t xml:space="preserve">.  </w:t>
      </w:r>
      <w:proofErr w:type="gramEnd"/>
      <w:r w:rsidRPr="007C262C">
        <w:rPr>
          <w:rStyle w:val="StyleUnderline"/>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disclosure is that it </w:t>
      </w:r>
      <w:r w:rsidRPr="00BA4EFB">
        <w:rPr>
          <w:rStyle w:val="StyleUnderline"/>
          <w:highlight w:val="green"/>
        </w:rPr>
        <w:t>motivates research</w:t>
      </w:r>
      <w:r w:rsidRPr="007C262C">
        <w:rPr>
          <w:rStyle w:val="StyleUnderline"/>
        </w:rPr>
        <w:t xml:space="preserve">. Debaters cannot expect to make it a whole topic with the same stock AC – that is, unless they are continually updating and </w:t>
      </w:r>
      <w:proofErr w:type="spellStart"/>
      <w:r w:rsidRPr="007C262C">
        <w:rPr>
          <w:rStyle w:val="StyleUnderline"/>
        </w:rPr>
        <w:t>frontlining</w:t>
      </w:r>
      <w:proofErr w:type="spellEnd"/>
      <w:r w:rsidRPr="007C262C">
        <w:rPr>
          <w:rStyle w:val="StyleUnderline"/>
        </w:rPr>
        <w:t xml:space="preserve"> it. Likewise, </w:t>
      </w:r>
      <w:r w:rsidRPr="00BA4EFB">
        <w:rPr>
          <w:rStyle w:val="StyleUnderline"/>
          <w:highlight w:val="green"/>
        </w:rPr>
        <w:t>debaters</w:t>
      </w:r>
      <w:r w:rsidRPr="007C262C">
        <w:rPr>
          <w:rStyle w:val="StyleUnderline"/>
        </w:rPr>
        <w:t xml:space="preserve"> </w:t>
      </w:r>
      <w:r w:rsidRPr="00BA4EFB">
        <w:rPr>
          <w:rStyle w:val="StyleUnderline"/>
          <w:highlight w:val="green"/>
        </w:rPr>
        <w:t>with access to their opponents’ cases</w:t>
      </w:r>
      <w:r w:rsidRPr="007C262C">
        <w:rPr>
          <w:rStyle w:val="StyleUnderline"/>
        </w:rPr>
        <w:t xml:space="preserve"> can do more targeted and specific research. Students can </w:t>
      </w:r>
      <w:r w:rsidRPr="00BA4EFB">
        <w:rPr>
          <w:rStyle w:val="StyleUnderline"/>
          <w:highlight w:val="green"/>
        </w:rPr>
        <w:t>go to a new level of depth</w:t>
      </w:r>
      <w:r w:rsidRPr="007C262C">
        <w:rPr>
          <w:rStyle w:val="StyleUnderline"/>
        </w:rPr>
        <w:t xml:space="preserve">, </w:t>
      </w:r>
      <w:r w:rsidRPr="00BA4EFB">
        <w:rPr>
          <w:rStyle w:val="StyleUnderline"/>
          <w:highlight w:val="green"/>
        </w:rPr>
        <w:t>researching</w:t>
      </w:r>
      <w:r w:rsidRPr="007C262C">
        <w:rPr>
          <w:rStyle w:val="StyleUnderline"/>
        </w:rPr>
        <w:t xml:space="preserve"> </w:t>
      </w:r>
      <w:r w:rsidRPr="00BA4EFB">
        <w:rPr>
          <w:rStyle w:val="StyleUnderline"/>
          <w:highlight w:val="green"/>
        </w:rPr>
        <w:t xml:space="preserve">not just the pros and cons of the topic but </w:t>
      </w:r>
      <w:r w:rsidRPr="007C262C">
        <w:rPr>
          <w:rStyle w:val="StyleUnderline"/>
        </w:rPr>
        <w:t xml:space="preserve">the </w:t>
      </w:r>
      <w:r w:rsidRPr="00BA4EFB">
        <w:rPr>
          <w:rStyle w:val="StyleUnderline"/>
          <w:highlight w:val="green"/>
        </w:rPr>
        <w:t xml:space="preserve">specific authors, arguments, and advocacies </w:t>
      </w:r>
      <w:r w:rsidRPr="007C262C">
        <w:rPr>
          <w:rStyle w:val="StyleUnderline"/>
        </w:rPr>
        <w:t xml:space="preserve">employed by other debaters. The incentive to </w:t>
      </w:r>
      <w:r w:rsidRPr="00BA4EFB">
        <w:rPr>
          <w:rStyle w:val="StyleUnderline"/>
          <w:highlight w:val="green"/>
        </w:rPr>
        <w:t>cut author-specific indicts</w:t>
      </w:r>
      <w:r w:rsidRPr="007C262C">
        <w:rPr>
          <w:rStyle w:val="StyleUnderline"/>
        </w:rPr>
        <w:t xml:space="preserve"> is low if there’s little guarantee that the author will ever be cited in a round but high if one knows that specific schools are using that author in rounds. In this way, disclosure increases incentive to research by altering a student’s cost-benefit analysis so that </w:t>
      </w:r>
      <w:r w:rsidRPr="00BA4EFB">
        <w:rPr>
          <w:rStyle w:val="StyleUnderline"/>
          <w:highlight w:val="green"/>
        </w:rPr>
        <w:t xml:space="preserve">the time spent researching is </w:t>
      </w:r>
      <w:r w:rsidRPr="007C262C">
        <w:rPr>
          <w:rStyle w:val="StyleUnderline"/>
        </w:rPr>
        <w:t xml:space="preserve">more valuable, </w:t>
      </w:r>
      <w:proofErr w:type="gramStart"/>
      <w:r w:rsidRPr="007C262C">
        <w:rPr>
          <w:rStyle w:val="StyleUnderline"/>
        </w:rPr>
        <w:t>i.e.</w:t>
      </w:r>
      <w:proofErr w:type="gramEnd"/>
      <w:r w:rsidRPr="007C262C">
        <w:rPr>
          <w:rStyle w:val="StyleUnderline"/>
        </w:rPr>
        <w:t xml:space="preserve"> </w:t>
      </w:r>
      <w:r w:rsidRPr="00BA4EFB">
        <w:rPr>
          <w:rStyle w:val="StyleUnderline"/>
          <w:highlight w:val="green"/>
        </w:rPr>
        <w:t>more likely to produce useful evidence</w:t>
      </w:r>
      <w:r w:rsidRPr="007C262C">
        <w:rPr>
          <w:rStyle w:val="StyleUnderline"/>
        </w:rPr>
        <w:t xml:space="preserve"> because it is more directed. In any case, if publicly accessible evidence jeopardized research, backfiles and briefs would have done LD in a long time ago</w:t>
      </w:r>
      <w:r w:rsidRPr="007C262C">
        <w:rPr>
          <w:rStyle w:val="Style13ptBold"/>
          <w:sz w:val="16"/>
        </w:rPr>
        <w:t>.</w:t>
      </w:r>
    </w:p>
    <w:bookmarkEnd w:id="1"/>
    <w:p w14:paraId="507D98D9" w14:textId="77777777" w:rsidR="0074255A" w:rsidRPr="009A0BAF" w:rsidRDefault="0074255A" w:rsidP="0074255A">
      <w:pPr>
        <w:pStyle w:val="Heading4"/>
        <w:rPr>
          <w:rFonts w:cs="Calibri"/>
        </w:rPr>
      </w:pPr>
      <w:r>
        <w:rPr>
          <w:rFonts w:cs="Calibri"/>
        </w:rPr>
        <w:t>3</w:t>
      </w:r>
      <w:r w:rsidRPr="47CB8AD5">
        <w:rPr>
          <w:rFonts w:cs="Calibri"/>
        </w:rPr>
        <w:t xml:space="preserve">] Evidence ethics – open source is the only way to verify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w:t>
      </w:r>
      <w:r>
        <w:rPr>
          <w:rFonts w:cs="Calibri"/>
        </w:rPr>
        <w:t>cheat</w:t>
      </w:r>
    </w:p>
    <w:p w14:paraId="7D5DAF3E" w14:textId="77777777" w:rsidR="0074255A" w:rsidRPr="00EA2DE4" w:rsidRDefault="0074255A" w:rsidP="0074255A">
      <w:pPr>
        <w:pStyle w:val="Heading4"/>
      </w:pPr>
      <w:r w:rsidRPr="00EA2DE4">
        <w:t>4] Inclusion—</w:t>
      </w:r>
      <w:r>
        <w:t xml:space="preserve"> </w:t>
      </w:r>
      <w:r w:rsidRPr="00EA2DE4">
        <w:t>big schools have more coaches</w:t>
      </w:r>
      <w:r>
        <w:t xml:space="preserve"> and </w:t>
      </w:r>
      <w:r w:rsidRPr="00EA2DE4">
        <w:t>debaters</w:t>
      </w:r>
      <w:r>
        <w:t xml:space="preserve"> </w:t>
      </w:r>
      <w:r w:rsidRPr="00EA2DE4">
        <w:t xml:space="preserve">to scout and generate prep—disclosure </w:t>
      </w:r>
      <w:r>
        <w:t>levels the</w:t>
      </w:r>
      <w:r w:rsidRPr="00EA2DE4">
        <w:t xml:space="preserve"> </w:t>
      </w:r>
      <w:r>
        <w:t xml:space="preserve">playing field for scouting that </w:t>
      </w:r>
      <w:r>
        <w:rPr>
          <w:u w:val="single"/>
        </w:rPr>
        <w:t>shuts out</w:t>
      </w:r>
      <w:r>
        <w:t xml:space="preserve"> small schools and lone wolves. </w:t>
      </w:r>
      <w:r w:rsidRPr="00EA2DE4">
        <w:t>Inclusion o/</w:t>
      </w:r>
      <w:proofErr w:type="spellStart"/>
      <w:r w:rsidRPr="00EA2DE4">
        <w:t>w</w:t>
      </w:r>
      <w:r>
        <w:t>s</w:t>
      </w:r>
      <w:proofErr w:type="spellEnd"/>
      <w:r w:rsidRPr="00EA2DE4">
        <w:t xml:space="preserve"> since your </w:t>
      </w:r>
      <w:proofErr w:type="spellStart"/>
      <w:r w:rsidRPr="00EA2DE4">
        <w:t>args</w:t>
      </w:r>
      <w:proofErr w:type="spellEnd"/>
      <w:r w:rsidRPr="00EA2DE4">
        <w:t xml:space="preserve"> assume you can access the space</w:t>
      </w:r>
    </w:p>
    <w:p w14:paraId="0E18EBBE" w14:textId="77777777" w:rsidR="0074255A" w:rsidRPr="00427B84" w:rsidRDefault="0074255A" w:rsidP="0074255A">
      <w:pPr>
        <w:pStyle w:val="Heading4"/>
      </w:pPr>
      <w:r>
        <w:rPr>
          <w:rFonts w:cs="Calibri"/>
        </w:rPr>
        <w:t>5]</w:t>
      </w:r>
      <w:r w:rsidRPr="009A0BAF">
        <w:rPr>
          <w:rFonts w:cs="Calibri"/>
        </w:rPr>
        <w:t xml:space="preserve"> </w:t>
      </w:r>
      <w:r>
        <w:t>Ableism – I have extreme ADHD and dysgraphia, so I can’t read when someone is talking, I read very slowly, and I can’t really flow</w:t>
      </w:r>
      <w:proofErr w:type="gramStart"/>
      <w:r>
        <w:t xml:space="preserve">.  </w:t>
      </w:r>
      <w:proofErr w:type="gramEnd"/>
      <w:r>
        <w:t xml:space="preserve">That means I need </w:t>
      </w:r>
      <w:proofErr w:type="gramStart"/>
      <w:r>
        <w:t>all of</w:t>
      </w:r>
      <w:proofErr w:type="gramEnd"/>
      <w:r>
        <w:t xml:space="preserve"> my prep and then some just to organize your arguments so expecting me to also read dense cards, author quals, etc. is super ableist to me</w:t>
      </w:r>
    </w:p>
    <w:p w14:paraId="6D188235" w14:textId="77777777" w:rsidR="0074255A" w:rsidRDefault="0074255A" w:rsidP="0074255A">
      <w:pPr>
        <w:pStyle w:val="Heading4"/>
      </w:pPr>
      <w:r w:rsidRPr="004670E7">
        <w:t>Voter</w:t>
      </w:r>
      <w:r>
        <w:t>s</w:t>
      </w:r>
      <w:r w:rsidRPr="004670E7">
        <w:t xml:space="preserve"> </w:t>
      </w:r>
      <w:r>
        <w:t>are</w:t>
      </w:r>
      <w:r w:rsidRPr="004670E7">
        <w:t xml:space="preserve"> education – it’s why schools fund debate</w:t>
      </w:r>
      <w:r>
        <w:t xml:space="preserve"> – and fairness – that’s a threshold issue because otherwise you have no obligation to fairly evaluate their arguments</w:t>
      </w:r>
    </w:p>
    <w:p w14:paraId="60480F35" w14:textId="77777777" w:rsidR="0074255A" w:rsidRPr="00865E80" w:rsidRDefault="0074255A" w:rsidP="0074255A">
      <w:pPr>
        <w:pStyle w:val="Heading4"/>
      </w:pPr>
      <w:r w:rsidRPr="00865E80">
        <w:t>Paradigm issues</w:t>
      </w:r>
    </w:p>
    <w:p w14:paraId="477C4A15" w14:textId="3801C0DB" w:rsidR="0074255A" w:rsidRPr="00865E80" w:rsidRDefault="0074255A" w:rsidP="0074255A">
      <w:pPr>
        <w:pStyle w:val="Heading4"/>
      </w:pPr>
      <w:r w:rsidRPr="00865E80">
        <w:t>DT</w:t>
      </w:r>
      <w:r>
        <w:t>A</w:t>
      </w:r>
    </w:p>
    <w:p w14:paraId="0632DBB4" w14:textId="387C458A" w:rsidR="0074255A" w:rsidRDefault="0074255A" w:rsidP="0074255A">
      <w:pPr>
        <w:pStyle w:val="Heading4"/>
      </w:pPr>
      <w:r w:rsidRPr="00865E80">
        <w:t xml:space="preserve">1] </w:t>
      </w:r>
      <w:r>
        <w:t xml:space="preserve">Drop the </w:t>
      </w:r>
      <w:r>
        <w:rPr>
          <w:u w:val="single"/>
        </w:rPr>
        <w:t>second advantage</w:t>
      </w:r>
      <w:r>
        <w:t xml:space="preserve">. It wasn’t disclosed </w:t>
      </w:r>
      <w:r>
        <w:rPr>
          <w:u w:val="single"/>
        </w:rPr>
        <w:t>at all</w:t>
      </w:r>
      <w:r>
        <w:t>.</w:t>
      </w:r>
    </w:p>
    <w:p w14:paraId="4A16D836" w14:textId="57254013" w:rsidR="0074255A" w:rsidRPr="0074255A" w:rsidRDefault="0074255A" w:rsidP="0074255A">
      <w:r w:rsidRPr="0074255A">
        <w:rPr>
          <w:highlight w:val="yellow"/>
        </w:rPr>
        <w:t>To clarify, that means drop everything from “Scenario 2 is Right Wing Populism.” – “Solvency” (the header)</w:t>
      </w:r>
    </w:p>
    <w:p w14:paraId="68233439" w14:textId="77777777" w:rsidR="0074255A" w:rsidRDefault="0074255A" w:rsidP="0074255A">
      <w:pPr>
        <w:pStyle w:val="Heading4"/>
      </w:pPr>
      <w:r>
        <w:rPr>
          <w:rStyle w:val="Style13ptBold"/>
          <w:b/>
          <w:bCs w:val="0"/>
        </w:rPr>
        <w:t>2] At minimum if we’re winning any part of the shell they can’t we</w:t>
      </w:r>
      <w:r w:rsidRPr="00462FEB">
        <w:rPr>
          <w:rStyle w:val="Style13ptBold"/>
          <w:b/>
          <w:bCs w:val="0"/>
        </w:rPr>
        <w:t xml:space="preserve">igh case; A] </w:t>
      </w:r>
      <w:r w:rsidRPr="00F201A4">
        <w:t>lack</w:t>
      </w:r>
      <w:r w:rsidRPr="00427B84">
        <w:t xml:space="preserve"> of preround prep means their truth claims are </w:t>
      </w:r>
      <w:r w:rsidRPr="009834C1">
        <w:t>untested which you should presume</w:t>
      </w:r>
      <w:r>
        <w:t xml:space="preserve"> them</w:t>
      </w:r>
      <w:r w:rsidRPr="009834C1">
        <w:t xml:space="preserve"> false</w:t>
      </w:r>
      <w:r>
        <w:t xml:space="preserve">; B] 1AR extensions look stronger than they really are b/c they kept me from cutting specific evidence to challenge their link chain – that’s a reason </w:t>
      </w:r>
      <w:r w:rsidRPr="00462FEB">
        <w:rPr>
          <w:u w:val="single"/>
        </w:rPr>
        <w:t xml:space="preserve">why </w:t>
      </w:r>
      <w:r>
        <w:rPr>
          <w:u w:val="single"/>
        </w:rPr>
        <w:t xml:space="preserve">not disclosing the </w:t>
      </w:r>
      <w:proofErr w:type="spellStart"/>
      <w:r>
        <w:rPr>
          <w:u w:val="single"/>
        </w:rPr>
        <w:t>Aff</w:t>
      </w:r>
      <w:proofErr w:type="spellEnd"/>
      <w:r>
        <w:rPr>
          <w:u w:val="single"/>
        </w:rPr>
        <w:t xml:space="preserve"> is </w:t>
      </w:r>
      <w:r w:rsidRPr="00462FEB">
        <w:rPr>
          <w:u w:val="single"/>
        </w:rPr>
        <w:t>bad</w:t>
      </w:r>
      <w:r>
        <w:t>, not why the 1AC is true –no “try or die” 2AR</w:t>
      </w:r>
    </w:p>
    <w:p w14:paraId="29975283" w14:textId="77777777" w:rsidR="0074255A" w:rsidRDefault="0074255A" w:rsidP="0074255A">
      <w:pPr>
        <w:pStyle w:val="Heading4"/>
        <w:rPr>
          <w:rFonts w:asciiTheme="minorHAnsi" w:hAnsiTheme="minorHAnsi" w:cstheme="minorHAnsi"/>
          <w:szCs w:val="26"/>
        </w:rPr>
      </w:pPr>
      <w:bookmarkStart w:id="2" w:name="_Hlk86830506"/>
      <w:r w:rsidRPr="004670E7">
        <w:rPr>
          <w:rFonts w:asciiTheme="minorHAnsi" w:hAnsiTheme="minorHAnsi" w:cstheme="minorHAnsi"/>
        </w:rPr>
        <w:t xml:space="preserve">Competing </w:t>
      </w:r>
      <w:proofErr w:type="spellStart"/>
      <w:r w:rsidRPr="004670E7">
        <w:rPr>
          <w:rFonts w:asciiTheme="minorHAnsi" w:hAnsiTheme="minorHAnsi" w:cstheme="minorHAnsi"/>
        </w:rPr>
        <w:t>interps</w:t>
      </w:r>
      <w:proofErr w:type="spellEnd"/>
      <w:r>
        <w:rPr>
          <w:rFonts w:asciiTheme="minorHAnsi" w:hAnsiTheme="minorHAnsi" w:cstheme="minorHAnsi"/>
        </w:rPr>
        <w:t xml:space="preserve">: 1] </w:t>
      </w:r>
      <w:proofErr w:type="spellStart"/>
      <w:r>
        <w:rPr>
          <w:rFonts w:asciiTheme="minorHAnsi" w:hAnsiTheme="minorHAnsi" w:cstheme="minorHAnsi"/>
        </w:rPr>
        <w:t>b</w:t>
      </w:r>
      <w:r w:rsidRPr="004670E7">
        <w:rPr>
          <w:rFonts w:asciiTheme="minorHAnsi" w:hAnsiTheme="minorHAnsi" w:cstheme="minorHAnsi"/>
        </w:rPr>
        <w:t>rightline</w:t>
      </w:r>
      <w:proofErr w:type="spellEnd"/>
      <w:r>
        <w:rPr>
          <w:rFonts w:asciiTheme="minorHAnsi" w:hAnsiTheme="minorHAnsi" w:cstheme="minorHAnsi"/>
        </w:rPr>
        <w:t>; 2] ra</w:t>
      </w:r>
      <w:r w:rsidRPr="00DB56F3">
        <w:rPr>
          <w:rFonts w:asciiTheme="minorHAnsi" w:hAnsiTheme="minorHAnsi" w:cstheme="minorHAnsi"/>
          <w:szCs w:val="26"/>
        </w:rPr>
        <w:t>ce to the top – forces us to find the best possible norm</w:t>
      </w:r>
    </w:p>
    <w:bookmarkEnd w:id="2"/>
    <w:p w14:paraId="2D454355" w14:textId="77777777" w:rsidR="0074255A" w:rsidRDefault="0074255A" w:rsidP="0074255A">
      <w:pPr>
        <w:pStyle w:val="Heading4"/>
      </w:pPr>
      <w:r w:rsidRPr="00DB56F3">
        <w:t>No RVIs</w:t>
      </w:r>
      <w:r>
        <w:t>; yo</w:t>
      </w:r>
      <w:r w:rsidRPr="004670E7">
        <w:t xml:space="preserve">u don’t win by meeting </w:t>
      </w:r>
      <w:r>
        <w:t xml:space="preserve">a </w:t>
      </w:r>
      <w:r w:rsidRPr="004670E7">
        <w:t>prima facie burden</w:t>
      </w:r>
    </w:p>
    <w:bookmarkEnd w:id="0"/>
    <w:p w14:paraId="10C9A45D" w14:textId="77777777" w:rsidR="0074255A" w:rsidRPr="0074255A" w:rsidRDefault="0074255A" w:rsidP="0074255A"/>
    <w:p w14:paraId="4B02C895" w14:textId="77777777" w:rsidR="00D97F1B" w:rsidRDefault="00D97F1B" w:rsidP="00D97F1B">
      <w:pPr>
        <w:pStyle w:val="Heading3"/>
        <w:rPr>
          <w:rFonts w:eastAsia="MS Gothic"/>
        </w:rPr>
      </w:pPr>
      <w:r>
        <w:rPr>
          <w:rFonts w:eastAsia="MS Gothic"/>
        </w:rPr>
        <w:t>Terrorism - Infrastructure</w:t>
      </w:r>
    </w:p>
    <w:p w14:paraId="44D5E720" w14:textId="77777777" w:rsidR="00D97F1B" w:rsidRPr="00DA0EC3" w:rsidRDefault="00D97F1B" w:rsidP="00D97F1B">
      <w:pPr>
        <w:pStyle w:val="Heading4"/>
      </w:pPr>
      <w:r w:rsidRPr="00DA0EC3">
        <w:t>Link is linear - increased strikes send a clear signal to terrorists that critical infrastructure is vulnerable by weakening organizations.</w:t>
      </w:r>
    </w:p>
    <w:p w14:paraId="5D109F26" w14:textId="77777777" w:rsidR="00D97F1B" w:rsidRPr="00DA0EC3" w:rsidRDefault="00D97F1B" w:rsidP="00D97F1B">
      <w:pPr>
        <w:rPr>
          <w:rStyle w:val="Style13ptBold"/>
        </w:rPr>
      </w:pPr>
      <w:r w:rsidRPr="00DA0EC3">
        <w:rPr>
          <w:rStyle w:val="Style13ptBold"/>
        </w:rPr>
        <w:t xml:space="preserve">Davies 6 </w:t>
      </w:r>
    </w:p>
    <w:p w14:paraId="61B65D8D" w14:textId="77777777" w:rsidR="00D97F1B" w:rsidRPr="004244A6" w:rsidRDefault="00D97F1B" w:rsidP="00D97F1B">
      <w:pPr>
        <w:rPr>
          <w:rFonts w:asciiTheme="majorHAnsi" w:hAnsiTheme="majorHAnsi" w:cstheme="majorHAnsi"/>
        </w:rPr>
      </w:pPr>
      <w:r w:rsidRPr="004244A6">
        <w:rPr>
          <w:rFonts w:asciiTheme="majorHAnsi" w:hAnsiTheme="majorHAnsi" w:cstheme="majorHAnsi"/>
        </w:rPr>
        <w:t xml:space="preserve">[Ross; George Mason University - Antonin Scalia Law School, Faculty, The Green Bag; “Strike Season: Protecting Labor-Management Conflict in the Age of Terror,” SSRN; 4/12/06; </w:t>
      </w:r>
      <w:hyperlink r:id="rId8" w:history="1">
        <w:r w:rsidRPr="00C76676">
          <w:rPr>
            <w:rStyle w:val="Hyperlink"/>
            <w:rFonts w:asciiTheme="majorHAnsi" w:hAnsiTheme="majorHAnsi" w:cstheme="majorHAnsi"/>
          </w:rPr>
          <w:t>https://papers.ssrn.com/sol3/papers.cfm?abstract_id=896185]//SJWen</w:t>
        </w:r>
      </w:hyperlink>
      <w:r>
        <w:rPr>
          <w:rFonts w:asciiTheme="majorHAnsi" w:hAnsiTheme="majorHAnsi" w:cstheme="majorHAnsi"/>
        </w:rPr>
        <w:t xml:space="preserve"> -recut CAT</w:t>
      </w:r>
    </w:p>
    <w:p w14:paraId="2C2FE7E1" w14:textId="77777777" w:rsidR="00D97F1B" w:rsidRPr="004F30EC" w:rsidRDefault="00D97F1B" w:rsidP="00D97F1B">
      <w:pPr>
        <w:rPr>
          <w:sz w:val="12"/>
        </w:rPr>
      </w:pPr>
      <w:r w:rsidRPr="004F30EC">
        <w:rPr>
          <w:sz w:val="12"/>
        </w:rPr>
        <w:t xml:space="preserve">Strikes (and, to a lesser extent, lockouts) are painful but necessary parts of private-sector American labor-management relations. Even if they weren't - even if sound public policy called for their eradication - we couldn't stop them. They are an inevitable byproduct of the conflicting interests and limited resources of organized workers and their employers. History shows that this is true even in times of warfare overseas or crisis at home: labor-management strife lessens at the beginning of a conflict and then bounces back. </w:t>
      </w:r>
      <w:r w:rsidRPr="004F30EC">
        <w:rPr>
          <w:rStyle w:val="StyleUnderline"/>
        </w:rPr>
        <w:t xml:space="preserve">Now, however, we are </w:t>
      </w:r>
      <w:r w:rsidRPr="004F30EC">
        <w:rPr>
          <w:rStyle w:val="StyleUnderline"/>
          <w:highlight w:val="green"/>
        </w:rPr>
        <w:t>confronted with warfare at home</w:t>
      </w:r>
      <w:r w:rsidRPr="004F30EC">
        <w:rPr>
          <w:rStyle w:val="StyleUnderline"/>
        </w:rPr>
        <w:t xml:space="preserve">, a phenomenon that the United States has not had to deal with since the Civil War - before the rise of today's unprecedentedly large, complex, and interdependent economy and government. And history is repeating itself again. After a lull at the beginning of the war with terrorists, work stoppages have returned to their pre-war levels. </w:t>
      </w:r>
      <w:r w:rsidRPr="004F30EC">
        <w:rPr>
          <w:rStyle w:val="StyleUnderline"/>
          <w:highlight w:val="green"/>
        </w:rPr>
        <w:t>The</w:t>
      </w:r>
      <w:r w:rsidRPr="004F30EC">
        <w:rPr>
          <w:rStyle w:val="StyleUnderline"/>
        </w:rPr>
        <w:t xml:space="preserve"> </w:t>
      </w:r>
      <w:r w:rsidRPr="004F30EC">
        <w:rPr>
          <w:rStyle w:val="StyleUnderline"/>
          <w:highlight w:val="green"/>
        </w:rPr>
        <w:t>overall rate of strike</w:t>
      </w:r>
      <w:r w:rsidRPr="004F30EC">
        <w:rPr>
          <w:rStyle w:val="StyleUnderline"/>
        </w:rPr>
        <w:t xml:space="preserve"> activity </w:t>
      </w:r>
      <w:r w:rsidRPr="004F30EC">
        <w:rPr>
          <w:rStyle w:val="StyleUnderline"/>
          <w:highlight w:val="green"/>
        </w:rPr>
        <w:t>is substantially lower</w:t>
      </w:r>
      <w:r w:rsidRPr="004F30EC">
        <w:rPr>
          <w:rStyle w:val="StyleUnderline"/>
        </w:rPr>
        <w:t xml:space="preserve"> than it was during previous wars (it has been slowly declining, along with overall union membership in the private sector, for decades)</w:t>
      </w:r>
      <w:r w:rsidRPr="004F30EC">
        <w:rPr>
          <w:sz w:val="12"/>
        </w:rPr>
        <w:t xml:space="preserve">. Today's war, however, is being fought in part on American soil, and against enemies who operate worldwide, but whose attacks tend to be small and local, seeking advantage from the unpredictability and brutality of the damage they inflict rather than from its scale. </w:t>
      </w:r>
      <w:r w:rsidRPr="004F30EC">
        <w:rPr>
          <w:rStyle w:val="StyleUnderline"/>
        </w:rPr>
        <w:t xml:space="preserve">Thus, </w:t>
      </w:r>
      <w:r w:rsidRPr="004F30EC">
        <w:rPr>
          <w:rStyle w:val="StyleUnderline"/>
          <w:highlight w:val="green"/>
        </w:rPr>
        <w:t>even small, localized, and occasional work stoppages</w:t>
      </w:r>
      <w:r w:rsidRPr="004F30EC">
        <w:rPr>
          <w:rStyle w:val="StyleUnderline"/>
        </w:rPr>
        <w:t xml:space="preserve"> - not just the large-scale strikes that arguably affected the military-industrial complex and thus the war efforts in the past - </w:t>
      </w:r>
      <w:r w:rsidRPr="004F30EC">
        <w:rPr>
          <w:rStyle w:val="StyleUnderline"/>
          <w:highlight w:val="green"/>
        </w:rPr>
        <w:t>have the potential to increase risks to critical infrastructure and</w:t>
      </w:r>
      <w:r w:rsidRPr="004F30EC">
        <w:rPr>
          <w:rStyle w:val="StyleUnderline"/>
        </w:rPr>
        <w:t xml:space="preserve"> public </w:t>
      </w:r>
      <w:r w:rsidRPr="004F30EC">
        <w:rPr>
          <w:rStyle w:val="StyleUnderline"/>
          <w:highlight w:val="green"/>
        </w:rPr>
        <w:t>safety</w:t>
      </w:r>
      <w:r w:rsidRPr="004F30EC">
        <w:rPr>
          <w:rStyle w:val="StyleUnderline"/>
        </w:rPr>
        <w:t xml:space="preserve"> during the war on terror. In other words, </w:t>
      </w:r>
      <w:r w:rsidRPr="004F30EC">
        <w:rPr>
          <w:rStyle w:val="StyleUnderline"/>
          <w:highlight w:val="green"/>
        </w:rPr>
        <w:t>persistent strike activity</w:t>
      </w:r>
      <w:r w:rsidRPr="004F30EC">
        <w:rPr>
          <w:rStyle w:val="StyleUnderline"/>
        </w:rPr>
        <w:t xml:space="preserve"> at current levels </w:t>
      </w:r>
      <w:r w:rsidRPr="004F30EC">
        <w:rPr>
          <w:rStyle w:val="Emphasis"/>
          <w:highlight w:val="green"/>
        </w:rPr>
        <w:t>poses risks of public harm</w:t>
      </w:r>
      <w:r w:rsidRPr="004F30EC">
        <w:rPr>
          <w:rStyle w:val="StyleUnderline"/>
        </w:rPr>
        <w:t xml:space="preserve">, albeit risks </w:t>
      </w:r>
      <w:r w:rsidRPr="004F30EC">
        <w:rPr>
          <w:rStyle w:val="Emphasis"/>
          <w:highlight w:val="green"/>
        </w:rPr>
        <w:t>that are difficult to anticipate</w:t>
      </w:r>
      <w:r w:rsidRPr="004F30EC">
        <w:rPr>
          <w:rStyle w:val="StyleUnderline"/>
        </w:rPr>
        <w:t xml:space="preserve"> with specificity in the absence of much experience or available data</w:t>
      </w:r>
      <w:r w:rsidRPr="004F30EC">
        <w:rPr>
          <w:sz w:val="12"/>
        </w:rPr>
        <w:t xml:space="preserve">. This justifies taking some reasonable precautions, including the proposal made in this Article. </w:t>
      </w:r>
      <w:r w:rsidRPr="004F30EC">
        <w:rPr>
          <w:rStyle w:val="StyleUnderline"/>
        </w:rPr>
        <w:t xml:space="preserve">By its very nature, </w:t>
      </w:r>
      <w:r w:rsidRPr="004F30EC">
        <w:rPr>
          <w:rStyle w:val="StyleUnderline"/>
          <w:highlight w:val="green"/>
        </w:rPr>
        <w:t>a</w:t>
      </w:r>
      <w:r w:rsidRPr="004F30EC">
        <w:rPr>
          <w:rStyle w:val="StyleUnderline"/>
        </w:rPr>
        <w:t xml:space="preserve"> </w:t>
      </w:r>
      <w:r w:rsidRPr="004F30EC">
        <w:rPr>
          <w:rStyle w:val="StyleUnderline"/>
          <w:highlight w:val="green"/>
        </w:rPr>
        <w:t>labor strike increases</w:t>
      </w:r>
      <w:r w:rsidRPr="004F30EC">
        <w:rPr>
          <w:rStyle w:val="StyleUnderline"/>
        </w:rPr>
        <w:t xml:space="preserve"> the </w:t>
      </w:r>
      <w:r w:rsidRPr="004F30EC">
        <w:rPr>
          <w:rStyle w:val="StyleUnderline"/>
          <w:highlight w:val="green"/>
        </w:rPr>
        <w:t>vulnerability of</w:t>
      </w:r>
      <w:r w:rsidRPr="004F30EC">
        <w:rPr>
          <w:rStyle w:val="StyleUnderline"/>
        </w:rPr>
        <w:t xml:space="preserve"> that employer's </w:t>
      </w:r>
      <w:r w:rsidRPr="004F30EC">
        <w:rPr>
          <w:rStyle w:val="StyleUnderline"/>
          <w:highlight w:val="green"/>
        </w:rPr>
        <w:t xml:space="preserve">operations to a terrorist attack. </w:t>
      </w:r>
      <w:r w:rsidRPr="004F30EC">
        <w:rPr>
          <w:rStyle w:val="StyleUnderline"/>
        </w:rPr>
        <w:t xml:space="preserve">A strike is an act specifically designed to disrupt and weaken an employer's operations, for the (usually) perfectly lawful purpose of pressing for resolution of a dispute with management. </w:t>
      </w:r>
      <w:r w:rsidRPr="004F30EC">
        <w:rPr>
          <w:rStyle w:val="StyleUnderline"/>
          <w:highlight w:val="green"/>
        </w:rPr>
        <w:t>A</w:t>
      </w:r>
      <w:r w:rsidRPr="004F30EC">
        <w:rPr>
          <w:rStyle w:val="StyleUnderline"/>
        </w:rPr>
        <w:t xml:space="preserve"> </w:t>
      </w:r>
      <w:r w:rsidRPr="004F30EC">
        <w:rPr>
          <w:rStyle w:val="StyleUnderline"/>
          <w:highlight w:val="green"/>
        </w:rPr>
        <w:t>weakened organization</w:t>
      </w:r>
      <w:r w:rsidRPr="004F30EC">
        <w:rPr>
          <w:rStyle w:val="StyleUnderline"/>
        </w:rPr>
        <w:t xml:space="preserve"> or other entity </w:t>
      </w:r>
      <w:r w:rsidRPr="004F30EC">
        <w:rPr>
          <w:rStyle w:val="StyleUnderline"/>
          <w:highlight w:val="green"/>
        </w:rPr>
        <w:t>is</w:t>
      </w:r>
      <w:r w:rsidRPr="004F30EC">
        <w:rPr>
          <w:rStyle w:val="StyleUnderline"/>
        </w:rPr>
        <w:t xml:space="preserve">, of course, </w:t>
      </w:r>
      <w:r w:rsidRPr="004F30EC">
        <w:rPr>
          <w:rStyle w:val="StyleUnderline"/>
          <w:highlight w:val="green"/>
        </w:rPr>
        <w:t>less capable of resisting</w:t>
      </w:r>
      <w:r w:rsidRPr="004F30EC">
        <w:rPr>
          <w:rStyle w:val="StyleUnderline"/>
        </w:rPr>
        <w:t xml:space="preserve"> and surviving exogenous shocks, whether they be commercial competition </w:t>
      </w:r>
      <w:r w:rsidRPr="004F30EC">
        <w:rPr>
          <w:rStyle w:val="StyleUnderline"/>
          <w:highlight w:val="green"/>
        </w:rPr>
        <w:t>or terrorist attacks.</w:t>
      </w:r>
      <w:r w:rsidRPr="004F30EC">
        <w:rPr>
          <w:rStyle w:val="StyleUnderline"/>
        </w:rPr>
        <w:t xml:space="preserve"> In the United States, </w:t>
      </w:r>
      <w:r w:rsidRPr="004F30EC">
        <w:rPr>
          <w:rStyle w:val="StyleUnderline"/>
          <w:highlight w:val="green"/>
        </w:rPr>
        <w:t>with</w:t>
      </w:r>
      <w:r w:rsidRPr="004F30EC">
        <w:rPr>
          <w:rStyle w:val="StyleUnderline"/>
        </w:rPr>
        <w:t xml:space="preserve"> its fully extended and </w:t>
      </w:r>
      <w:r w:rsidRPr="004F30EC">
        <w:rPr>
          <w:rStyle w:val="StyleUnderline"/>
          <w:highlight w:val="green"/>
        </w:rPr>
        <w:t>endlessly interconnected critical infrastructure</w:t>
      </w:r>
      <w:r w:rsidRPr="004F30EC">
        <w:rPr>
          <w:rStyle w:val="StyleUnderline"/>
        </w:rPr>
        <w:t xml:space="preserve"> that touches everything from food processing to energy distribution to water quality, a strike in the wrong place at the wrong time that disrupts and weakens some part of that infrastructure could be decisive in the success or failure of a terrorist attack of the small, local sort described above, on such a weakened link in some infrastructural chain</w:t>
      </w:r>
      <w:r w:rsidRPr="004F30EC">
        <w:rPr>
          <w:sz w:val="12"/>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w:t>
      </w:r>
      <w:r w:rsidRPr="004F30EC">
        <w:rPr>
          <w:rStyle w:val="StyleUnderline"/>
        </w:rPr>
        <w:t xml:space="preserve">The concern addressed here is, rather, that innocent instigators or perpetuators of </w:t>
      </w:r>
      <w:r w:rsidRPr="004F30EC">
        <w:rPr>
          <w:rStyle w:val="Emphasis"/>
          <w:highlight w:val="green"/>
        </w:rPr>
        <w:t>a work stoppage might unwittingly facilitate a successful terrorist attack or aggravate its effects</w:t>
      </w:r>
      <w:r w:rsidRPr="004F30EC">
        <w:rPr>
          <w:sz w:val="12"/>
        </w:rPr>
        <w:t>.</w:t>
      </w:r>
    </w:p>
    <w:p w14:paraId="44DF6DAB" w14:textId="77777777" w:rsidR="00D97F1B" w:rsidRPr="004244A6" w:rsidRDefault="00D97F1B" w:rsidP="00D97F1B">
      <w:pPr>
        <w:rPr>
          <w:rFonts w:asciiTheme="majorHAnsi" w:hAnsiTheme="majorHAnsi" w:cstheme="majorHAnsi"/>
          <w:u w:val="single"/>
        </w:rPr>
      </w:pPr>
    </w:p>
    <w:p w14:paraId="4A7F052C" w14:textId="77777777" w:rsidR="00D97F1B" w:rsidRPr="00DA0EC3" w:rsidRDefault="00D97F1B" w:rsidP="00D97F1B">
      <w:pPr>
        <w:pStyle w:val="Heading4"/>
      </w:pPr>
      <w:r w:rsidRPr="004F30EC">
        <w:rPr>
          <w:u w:val="single"/>
        </w:rPr>
        <w:t>Any</w:t>
      </w:r>
      <w:r>
        <w:t xml:space="preserve"> successful a</w:t>
      </w:r>
      <w:r w:rsidRPr="00DA0EC3">
        <w:t xml:space="preserve">ttack on critical infrastructure </w:t>
      </w:r>
      <w:r>
        <w:t xml:space="preserve">risks </w:t>
      </w:r>
      <w:r w:rsidRPr="00DA0EC3">
        <w:t>collaps</w:t>
      </w:r>
      <w:r>
        <w:t xml:space="preserve">ing </w:t>
      </w:r>
      <w:r w:rsidRPr="00DA0EC3">
        <w:t>the economy through multiple avenues.</w:t>
      </w:r>
    </w:p>
    <w:p w14:paraId="05F650D7" w14:textId="77777777" w:rsidR="00D97F1B" w:rsidRPr="00DA0EC3" w:rsidRDefault="00D97F1B" w:rsidP="00D97F1B">
      <w:pPr>
        <w:rPr>
          <w:rStyle w:val="Style13ptBold"/>
        </w:rPr>
      </w:pPr>
      <w:r w:rsidRPr="00DA0EC3">
        <w:rPr>
          <w:rStyle w:val="Style13ptBold"/>
        </w:rPr>
        <w:t>FAS 6</w:t>
      </w:r>
    </w:p>
    <w:p w14:paraId="5587F224" w14:textId="77777777" w:rsidR="00D97F1B" w:rsidRPr="00DA0EC3" w:rsidRDefault="00D97F1B" w:rsidP="00D97F1B">
      <w:pPr>
        <w:rPr>
          <w:sz w:val="12"/>
          <w:szCs w:val="12"/>
        </w:rPr>
      </w:pPr>
      <w:r w:rsidRPr="00DA0EC3">
        <w:rPr>
          <w:sz w:val="12"/>
          <w:szCs w:val="12"/>
        </w:rPr>
        <w:t xml:space="preserve">[DCSINT Handbook  No. 1.02; Info directly from US army and Deputy Chief of Staff for Intelligence; “Critical Infrastructure Threats and Terrorism,” DCSINT/FAS; 8/10/06; </w:t>
      </w:r>
      <w:hyperlink r:id="rId9" w:history="1">
        <w:r w:rsidRPr="00DA0EC3">
          <w:rPr>
            <w:rStyle w:val="Hyperlink"/>
            <w:sz w:val="12"/>
            <w:szCs w:val="12"/>
          </w:rPr>
          <w:t>https://fas.org/irp/threat/terrorism/sup2.pdf]//SJWen</w:t>
        </w:r>
      </w:hyperlink>
      <w:r w:rsidRPr="00DA0EC3">
        <w:rPr>
          <w:sz w:val="12"/>
          <w:szCs w:val="12"/>
        </w:rPr>
        <w:t xml:space="preserve"> -recut CAT</w:t>
      </w:r>
    </w:p>
    <w:p w14:paraId="5B612518" w14:textId="77777777" w:rsidR="00D97F1B" w:rsidRPr="0026742F" w:rsidRDefault="00D97F1B" w:rsidP="00D97F1B">
      <w:pPr>
        <w:rPr>
          <w:rFonts w:asciiTheme="majorHAnsi" w:hAnsiTheme="majorHAnsi" w:cstheme="majorHAnsi"/>
          <w:sz w:val="8"/>
        </w:rPr>
      </w:pPr>
      <w:r w:rsidRPr="004F30EC">
        <w:rPr>
          <w:rStyle w:val="StyleUnderline"/>
        </w:rPr>
        <w:t xml:space="preserve">Agriculture In 1984, a cult group poisoned salad bars at several Oregon restaurants with Salmonella bacteria as the first recorded event of </w:t>
      </w:r>
      <w:r w:rsidRPr="004F30EC">
        <w:rPr>
          <w:rStyle w:val="StyleUnderline"/>
          <w:highlight w:val="green"/>
        </w:rPr>
        <w:t>[1]</w:t>
      </w:r>
      <w:r>
        <w:rPr>
          <w:rStyle w:val="StyleUnderline"/>
        </w:rPr>
        <w:t xml:space="preserve"> </w:t>
      </w:r>
      <w:r w:rsidRPr="004F30EC">
        <w:rPr>
          <w:rStyle w:val="StyleUnderline"/>
          <w:highlight w:val="green"/>
        </w:rPr>
        <w:t>bioterrorism</w:t>
      </w:r>
      <w:r w:rsidRPr="004F30EC">
        <w:rPr>
          <w:rStyle w:val="StyleUnderline"/>
        </w:rPr>
        <w:t xml:space="preserve"> in the United States</w:t>
      </w:r>
      <w:r w:rsidRPr="0026742F">
        <w:rPr>
          <w:sz w:val="8"/>
        </w:rPr>
        <w:t xml:space="preserve">. This resulted in 750 people becoming sick.24 </w:t>
      </w:r>
      <w:r w:rsidRPr="004F30EC">
        <w:rPr>
          <w:rStyle w:val="StyleUnderline"/>
        </w:rPr>
        <w:t xml:space="preserve">A review of the </w:t>
      </w:r>
      <w:r w:rsidRPr="004F30EC">
        <w:rPr>
          <w:rStyle w:val="StyleUnderline"/>
          <w:highlight w:val="green"/>
        </w:rPr>
        <w:t>agriculture infrastructure</w:t>
      </w:r>
      <w:r w:rsidRPr="004F30EC">
        <w:rPr>
          <w:rStyle w:val="StyleUnderline"/>
        </w:rPr>
        <w:t xml:space="preserve"> results in </w:t>
      </w:r>
      <w:r w:rsidRPr="004F30EC">
        <w:rPr>
          <w:rStyle w:val="StyleUnderline"/>
          <w:highlight w:val="green"/>
        </w:rPr>
        <w:t xml:space="preserve">vulnerable areas </w:t>
      </w:r>
      <w:r w:rsidRPr="004F30EC">
        <w:rPr>
          <w:rStyle w:val="StyleUnderline"/>
        </w:rPr>
        <w:t xml:space="preserve">such as the high concentration of the livestock industry and the centralized nature of the food processing industry. The farm-to table chain contains various points into which an attack could be launched. </w:t>
      </w:r>
      <w:r w:rsidRPr="004F30EC">
        <w:rPr>
          <w:rStyle w:val="StyleUnderline"/>
          <w:highlight w:val="green"/>
        </w:rPr>
        <w:t>The</w:t>
      </w:r>
      <w:r w:rsidRPr="004F30EC">
        <w:rPr>
          <w:rStyle w:val="StyleUnderline"/>
        </w:rPr>
        <w:t xml:space="preserve"> </w:t>
      </w:r>
      <w:r w:rsidRPr="004F30EC">
        <w:rPr>
          <w:rStyle w:val="StyleUnderline"/>
          <w:highlight w:val="green"/>
        </w:rPr>
        <w:t>threat of attack would</w:t>
      </w:r>
      <w:r w:rsidRPr="004F30EC">
        <w:rPr>
          <w:rStyle w:val="StyleUnderline"/>
        </w:rPr>
        <w:t xml:space="preserve"> seriously </w:t>
      </w:r>
      <w:r w:rsidRPr="004F30EC">
        <w:rPr>
          <w:rStyle w:val="StyleUnderline"/>
          <w:highlight w:val="green"/>
        </w:rPr>
        <w:t>damage consumer confidence and undermine export markets</w:t>
      </w:r>
      <w:r w:rsidRPr="0026742F">
        <w:rPr>
          <w:sz w:val="8"/>
        </w:rPr>
        <w:t xml:space="preserve">. Understanding the goal of the threat points to the area most likely attacked. If the intent was economic disruption the target would be livestock and crops, but if the intent was mass casualties the point of attack would be contamination of finished food products. Damage to livestock could be very swift, the USDA calculated that foot-and mouth disease could spread to 25 states in 5 days.25 CDC is presently tracking and developing scenarios for the arrival of Avian Flu. </w:t>
      </w:r>
      <w:r w:rsidRPr="004F30EC">
        <w:rPr>
          <w:rStyle w:val="StyleUnderline"/>
          <w:highlight w:val="green"/>
        </w:rPr>
        <w:t>[2] Banking</w:t>
      </w:r>
      <w:r w:rsidRPr="004F30EC">
        <w:rPr>
          <w:rStyle w:val="StyleUnderline"/>
        </w:rPr>
        <w:t xml:space="preserve"> Prior to the destruction of the Twin Towers, </w:t>
      </w:r>
      <w:r w:rsidRPr="004F30EC">
        <w:rPr>
          <w:rStyle w:val="StyleUnderline"/>
          <w:highlight w:val="green"/>
        </w:rPr>
        <w:t>physical attacks against</w:t>
      </w:r>
      <w:r w:rsidRPr="004F30EC">
        <w:rPr>
          <w:rStyle w:val="StyleUnderline"/>
        </w:rPr>
        <w:t xml:space="preserve"> the </w:t>
      </w:r>
      <w:r w:rsidRPr="004F30EC">
        <w:rPr>
          <w:rStyle w:val="StyleUnderline"/>
          <w:highlight w:val="green"/>
        </w:rPr>
        <w:t>banking</w:t>
      </w:r>
      <w:r w:rsidRPr="004F30EC">
        <w:rPr>
          <w:rStyle w:val="StyleUnderline"/>
        </w:rPr>
        <w:t xml:space="preserve"> industry, such as the </w:t>
      </w:r>
      <w:r w:rsidRPr="004F30EC">
        <w:rPr>
          <w:rStyle w:val="StyleUnderline"/>
          <w:highlight w:val="green"/>
        </w:rPr>
        <w:t>destruction of facilities</w:t>
      </w:r>
      <w:r w:rsidRPr="004F30EC">
        <w:rPr>
          <w:rStyle w:val="StyleUnderline"/>
        </w:rPr>
        <w:t xml:space="preserve">, were rare. Unfortunately, evidence indicates that may change, in March 2005 three British </w:t>
      </w:r>
      <w:r w:rsidRPr="004F30EC">
        <w:rPr>
          <w:rStyle w:val="StyleUnderline"/>
          <w:highlight w:val="green"/>
        </w:rPr>
        <w:t>al-</w:t>
      </w:r>
      <w:proofErr w:type="spellStart"/>
      <w:r w:rsidRPr="004F30EC">
        <w:rPr>
          <w:rStyle w:val="StyleUnderline"/>
          <w:highlight w:val="green"/>
        </w:rPr>
        <w:t>Qa’ida</w:t>
      </w:r>
      <w:proofErr w:type="spellEnd"/>
      <w:r w:rsidRPr="004F30EC">
        <w:rPr>
          <w:rStyle w:val="StyleUnderline"/>
        </w:rPr>
        <w:t xml:space="preserve"> operatives were indicted by a U.S. federal court on charges of conducting detailed reconnaissance of </w:t>
      </w:r>
      <w:r w:rsidRPr="004F30EC">
        <w:rPr>
          <w:rStyle w:val="StyleUnderline"/>
          <w:highlight w:val="green"/>
        </w:rPr>
        <w:t>financial targets</w:t>
      </w:r>
      <w:r w:rsidRPr="004F30EC">
        <w:rPr>
          <w:rStyle w:val="StyleUnderline"/>
        </w:rPr>
        <w:t xml:space="preserve"> in lower Manhattan, Newark, New Jersey, and Washington, D.C. In addition to </w:t>
      </w:r>
      <w:proofErr w:type="spellStart"/>
      <w:r w:rsidRPr="004F30EC">
        <w:rPr>
          <w:rStyle w:val="StyleUnderline"/>
        </w:rPr>
        <w:t>video taping</w:t>
      </w:r>
      <w:proofErr w:type="spellEnd"/>
      <w:r w:rsidRPr="004F30EC">
        <w:rPr>
          <w:rStyle w:val="StyleUnderline"/>
        </w:rPr>
        <w:t xml:space="preserve"> the </w:t>
      </w:r>
      <w:r w:rsidRPr="004F30EC">
        <w:rPr>
          <w:rStyle w:val="StyleUnderline"/>
          <w:highlight w:val="green"/>
        </w:rPr>
        <w:t>Citigroup Center</w:t>
      </w:r>
      <w:r w:rsidRPr="004F30EC">
        <w:rPr>
          <w:rStyle w:val="StyleUnderline"/>
        </w:rPr>
        <w:t xml:space="preserve"> and </w:t>
      </w:r>
      <w:r w:rsidRPr="004F30EC">
        <w:rPr>
          <w:rStyle w:val="StyleUnderline"/>
          <w:highlight w:val="green"/>
        </w:rPr>
        <w:t>the New York Stock Exchange</w:t>
      </w:r>
      <w:r w:rsidRPr="004F30EC">
        <w:rPr>
          <w:rStyle w:val="StyleUnderline"/>
        </w:rPr>
        <w:t xml:space="preserve"> in New York City, </w:t>
      </w:r>
      <w:r w:rsidRPr="004F30EC">
        <w:rPr>
          <w:rStyle w:val="StyleUnderline"/>
          <w:highlight w:val="green"/>
        </w:rPr>
        <w:t>the Prudential Financial building</w:t>
      </w:r>
      <w:r w:rsidRPr="004F30EC">
        <w:rPr>
          <w:rStyle w:val="StyleUnderline"/>
        </w:rPr>
        <w:t xml:space="preserve"> in Newark, </w:t>
      </w:r>
      <w:r w:rsidRPr="004F30EC">
        <w:rPr>
          <w:rStyle w:val="StyleUnderline"/>
          <w:highlight w:val="green"/>
        </w:rPr>
        <w:t xml:space="preserve">and </w:t>
      </w:r>
      <w:r w:rsidRPr="004F30EC">
        <w:rPr>
          <w:rStyle w:val="StyleUnderline"/>
        </w:rPr>
        <w:t xml:space="preserve">the headquarters of the </w:t>
      </w:r>
      <w:r w:rsidRPr="004F30EC">
        <w:rPr>
          <w:rStyle w:val="StyleUnderline"/>
          <w:highlight w:val="green"/>
        </w:rPr>
        <w:t>I</w:t>
      </w:r>
      <w:r w:rsidRPr="004F30EC">
        <w:rPr>
          <w:rStyle w:val="StyleUnderline"/>
        </w:rPr>
        <w:t>nternational</w:t>
      </w:r>
      <w:r w:rsidRPr="004F30EC">
        <w:rPr>
          <w:rStyle w:val="StyleUnderline"/>
          <w:highlight w:val="green"/>
        </w:rPr>
        <w:t xml:space="preserve"> M</w:t>
      </w:r>
      <w:r w:rsidRPr="004F30EC">
        <w:rPr>
          <w:rStyle w:val="StyleUnderline"/>
        </w:rPr>
        <w:t>onetary</w:t>
      </w:r>
      <w:r w:rsidRPr="004F30EC">
        <w:rPr>
          <w:rStyle w:val="StyleUnderline"/>
          <w:highlight w:val="green"/>
        </w:rPr>
        <w:t xml:space="preserve"> F</w:t>
      </w:r>
      <w:r w:rsidRPr="004F30EC">
        <w:rPr>
          <w:rStyle w:val="StyleUnderline"/>
        </w:rPr>
        <w:t xml:space="preserve">und </w:t>
      </w:r>
      <w:r w:rsidRPr="004F30EC">
        <w:rPr>
          <w:rStyle w:val="StyleUnderline"/>
          <w:highlight w:val="green"/>
        </w:rPr>
        <w:t>and</w:t>
      </w:r>
      <w:r w:rsidRPr="004F30EC">
        <w:rPr>
          <w:rStyle w:val="StyleUnderline"/>
        </w:rPr>
        <w:t xml:space="preserve"> the </w:t>
      </w:r>
      <w:r w:rsidRPr="004F30EC">
        <w:rPr>
          <w:rStyle w:val="StyleUnderline"/>
          <w:highlight w:val="green"/>
        </w:rPr>
        <w:t xml:space="preserve">World Bank </w:t>
      </w:r>
      <w:r w:rsidRPr="004F30EC">
        <w:rPr>
          <w:rStyle w:val="StyleUnderline"/>
        </w:rPr>
        <w:t xml:space="preserve">in Washington D.C., the men amassed more than 500 photographs of the sites.26 The Banking infrastructures primary </w:t>
      </w:r>
      <w:r w:rsidRPr="004F30EC">
        <w:rPr>
          <w:rStyle w:val="StyleUnderline"/>
          <w:highlight w:val="green"/>
        </w:rPr>
        <w:t>weakness is along</w:t>
      </w:r>
      <w:r w:rsidRPr="004F30EC">
        <w:rPr>
          <w:rStyle w:val="StyleUnderline"/>
        </w:rPr>
        <w:t xml:space="preserve"> its </w:t>
      </w:r>
      <w:r w:rsidRPr="004F30EC">
        <w:rPr>
          <w:rStyle w:val="StyleUnderline"/>
          <w:highlight w:val="green"/>
        </w:rPr>
        <w:t>cyber axis</w:t>
      </w:r>
      <w:r w:rsidRPr="004F30EC">
        <w:rPr>
          <w:rStyle w:val="StyleUnderline"/>
        </w:rPr>
        <w:t xml:space="preserve"> of attack</w:t>
      </w:r>
      <w:r w:rsidRPr="0026742F">
        <w:rPr>
          <w:sz w:val="8"/>
        </w:rPr>
        <w:t xml:space="preserve">. Through phishing and banking Trojan targeting specific financial institutions, attackers reduce confidence among consumers. Recently American Express posted an alert online, including a screenshot of a pop-up that appeared when users log in to its secure site.27 The attack not only attempts to obtain personal information that can be used for various operations, but also launches a virus into the user’s computer. </w:t>
      </w:r>
      <w:proofErr w:type="spellStart"/>
      <w:r w:rsidRPr="0026742F">
        <w:rPr>
          <w:sz w:val="8"/>
        </w:rPr>
        <w:t>CitiBank</w:t>
      </w:r>
      <w:proofErr w:type="spellEnd"/>
      <w:r w:rsidRPr="0026742F">
        <w:rPr>
          <w:sz w:val="8"/>
        </w:rPr>
        <w:t xml:space="preserve">, and Chase Manhattan Bank have both been victim during 2005 and 2006 to phishing schemes misrepresenting their services to their clients. </w:t>
      </w:r>
      <w:r w:rsidRPr="004F30EC">
        <w:rPr>
          <w:rStyle w:val="StyleUnderline"/>
          <w:highlight w:val="green"/>
        </w:rPr>
        <w:t>[3] Energy</w:t>
      </w:r>
      <w:r w:rsidRPr="004F30EC">
        <w:rPr>
          <w:rStyle w:val="StyleUnderline"/>
        </w:rPr>
        <w:t xml:space="preserve"> Recently the oil industry occupied the headlines, and the </w:t>
      </w:r>
      <w:r w:rsidRPr="004F30EC">
        <w:rPr>
          <w:rStyle w:val="StyleUnderline"/>
          <w:highlight w:val="green"/>
        </w:rPr>
        <w:t>critical</w:t>
      </w:r>
      <w:r w:rsidRPr="004F30EC">
        <w:rPr>
          <w:rStyle w:val="StyleUnderline"/>
        </w:rPr>
        <w:t xml:space="preserve">ity of this </w:t>
      </w:r>
      <w:r w:rsidRPr="004F30EC">
        <w:rPr>
          <w:rStyle w:val="StyleUnderline"/>
          <w:highlight w:val="green"/>
        </w:rPr>
        <w:t>infrastructure</w:t>
      </w:r>
      <w:r w:rsidRPr="004F30EC">
        <w:rPr>
          <w:rStyle w:val="StyleUnderline"/>
        </w:rPr>
        <w:t xml:space="preserve"> is not lost on terrorists. In mid-December 2004, Arab television aired an alleged audiotape message by Usama bin Laden in which he called upon his followers to wreak havoc on the U.S. and world economy by </w:t>
      </w:r>
      <w:r w:rsidRPr="004F30EC">
        <w:rPr>
          <w:rStyle w:val="StyleUnderline"/>
          <w:highlight w:val="green"/>
        </w:rPr>
        <w:t>disrupting oil supplies</w:t>
      </w:r>
      <w:r w:rsidRPr="004F30EC">
        <w:rPr>
          <w:rStyle w:val="StyleUnderline"/>
        </w:rPr>
        <w:t xml:space="preserve"> from the Persian Gulf to the United States.28 </w:t>
      </w:r>
      <w:r w:rsidRPr="004F30EC">
        <w:rPr>
          <w:rStyle w:val="StyleUnderline"/>
          <w:highlight w:val="green"/>
        </w:rPr>
        <w:t>The U.S. uses over 20.7 million barrels a day</w:t>
      </w:r>
      <w:r w:rsidRPr="004F30EC">
        <w:rPr>
          <w:rStyle w:val="StyleUnderline"/>
        </w:rPr>
        <w:t xml:space="preserve"> of crude oil and products and imports 58.4% of that requirement</w:t>
      </w:r>
      <w:r w:rsidRPr="0026742F">
        <w:rPr>
          <w:sz w:val="8"/>
        </w:rPr>
        <w:t xml:space="preserve">.29 On 19 January 2006 al-Qaeda leader Osama bin Laden announced in a video release that, “The war against America and its allies will not be confined to Iraq…..”, and since June of 2003 there have been 298 recorded attacks against Iraqi oil facilities.30 Terrorists conduct research as to the easiest point to damage the flow of oil or to the point where the most damage can be done. Scenarios involving the oil fields themselves, a jetliner crashing into the Ras Tanura facility in Saudi Arabia could remove 10 percent of the world’s energy imports in one act.31 Maritime attacks are also option for terrorists; on October 6, </w:t>
      </w:r>
      <w:proofErr w:type="gramStart"/>
      <w:r w:rsidRPr="0026742F">
        <w:rPr>
          <w:sz w:val="8"/>
        </w:rPr>
        <w:t>2002</w:t>
      </w:r>
      <w:proofErr w:type="gramEnd"/>
      <w:r w:rsidRPr="0026742F">
        <w:rPr>
          <w:sz w:val="8"/>
        </w:rPr>
        <w:t xml:space="preserve"> a French tanker carrying 397,000 barrels of crude oil from Iran to Malaysia was rammed by an explosive laden boat off of the port of Ash </w:t>
      </w:r>
      <w:proofErr w:type="spellStart"/>
      <w:r w:rsidRPr="0026742F">
        <w:rPr>
          <w:sz w:val="8"/>
        </w:rPr>
        <w:t>Shihr</w:t>
      </w:r>
      <w:proofErr w:type="spellEnd"/>
      <w:r w:rsidRPr="0026742F">
        <w:rPr>
          <w:sz w:val="8"/>
        </w:rPr>
        <w:t xml:space="preserve">,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 Economy The U.S. economy is the end-state target of several terrorist groups as identified in the introduction quote. </w:t>
      </w:r>
      <w:r w:rsidRPr="0026742F">
        <w:rPr>
          <w:rStyle w:val="StyleUnderline"/>
        </w:rPr>
        <w:t xml:space="preserve">The means by which </w:t>
      </w:r>
      <w:r w:rsidRPr="0026742F">
        <w:rPr>
          <w:rStyle w:val="StyleUnderline"/>
          <w:highlight w:val="green"/>
        </w:rPr>
        <w:t>terrorists</w:t>
      </w:r>
      <w:r w:rsidRPr="0026742F">
        <w:rPr>
          <w:rStyle w:val="StyleUnderline"/>
        </w:rPr>
        <w:t xml:space="preserve"> and other threats </w:t>
      </w:r>
      <w:r w:rsidRPr="0026742F">
        <w:rPr>
          <w:rStyle w:val="StyleUnderline"/>
          <w:highlight w:val="green"/>
        </w:rPr>
        <w:t>attempt to impact</w:t>
      </w:r>
      <w:r w:rsidRPr="0026742F">
        <w:rPr>
          <w:rStyle w:val="StyleUnderline"/>
        </w:rPr>
        <w:t xml:space="preserve"> the </w:t>
      </w:r>
      <w:r w:rsidRPr="0026742F">
        <w:rPr>
          <w:rStyle w:val="StyleUnderline"/>
          <w:highlight w:val="green"/>
        </w:rPr>
        <w:t>economic infrastructure</w:t>
      </w:r>
      <w:r w:rsidRPr="0026742F">
        <w:rPr>
          <w:rStyle w:val="StyleUnderline"/>
        </w:rPr>
        <w:t xml:space="preserve"> is through </w:t>
      </w:r>
      <w:proofErr w:type="spellStart"/>
      <w:proofErr w:type="gramStart"/>
      <w:r w:rsidRPr="0026742F">
        <w:rPr>
          <w:rStyle w:val="StyleUnderline"/>
        </w:rPr>
        <w:t>it’s</w:t>
      </w:r>
      <w:proofErr w:type="spellEnd"/>
      <w:proofErr w:type="gramEnd"/>
      <w:r w:rsidRPr="0026742F">
        <w:rPr>
          <w:rStyle w:val="StyleUnderline"/>
        </w:rPr>
        <w:t xml:space="preserve"> linkage to the other infrastructures. </w:t>
      </w:r>
      <w:r w:rsidRPr="0026742F">
        <w:rPr>
          <w:rStyle w:val="StyleUnderline"/>
          <w:highlight w:val="green"/>
        </w:rPr>
        <w:t>Attacks</w:t>
      </w:r>
      <w:r w:rsidRPr="0026742F">
        <w:rPr>
          <w:rStyle w:val="StyleUnderline"/>
        </w:rPr>
        <w:t xml:space="preserve"> are launched at other infrastructures, such as energy or the Defense Industrial Base </w:t>
      </w:r>
      <w:proofErr w:type="gramStart"/>
      <w:r w:rsidRPr="0026742F">
        <w:rPr>
          <w:rStyle w:val="StyleUnderline"/>
        </w:rPr>
        <w:t>in an effort to</w:t>
      </w:r>
      <w:proofErr w:type="gramEnd"/>
      <w:r w:rsidRPr="0026742F">
        <w:rPr>
          <w:rStyle w:val="StyleUnderline"/>
        </w:rPr>
        <w:t xml:space="preserve"> </w:t>
      </w:r>
      <w:r w:rsidRPr="0026742F">
        <w:rPr>
          <w:rStyle w:val="StyleUnderline"/>
          <w:highlight w:val="green"/>
        </w:rPr>
        <w:t>achieve a “cascading” result</w:t>
      </w:r>
      <w:r w:rsidRPr="0026742F">
        <w:rPr>
          <w:rStyle w:val="StyleUnderline"/>
        </w:rPr>
        <w:t xml:space="preserve"> </w:t>
      </w:r>
      <w:r w:rsidRPr="0026742F">
        <w:rPr>
          <w:rStyle w:val="StyleUnderline"/>
          <w:highlight w:val="green"/>
        </w:rPr>
        <w:t>that impacts the economy</w:t>
      </w:r>
      <w:r w:rsidRPr="0026742F">
        <w:rPr>
          <w:sz w:val="8"/>
        </w:rPr>
        <w:t xml:space="preserve">. </w:t>
      </w:r>
      <w:proofErr w:type="spellStart"/>
      <w:r w:rsidRPr="0026742F">
        <w:rPr>
          <w:sz w:val="8"/>
        </w:rPr>
        <w:t>Cyber attacks</w:t>
      </w:r>
      <w:proofErr w:type="spellEnd"/>
      <w:r w:rsidRPr="0026742F">
        <w:rPr>
          <w:sz w:val="8"/>
        </w:rPr>
        <w:t xml:space="preserve"> on Banking and Finance are another effort to indirectly impact the economy. The </w:t>
      </w:r>
      <w:proofErr w:type="gramStart"/>
      <w:r w:rsidRPr="0026742F">
        <w:rPr>
          <w:sz w:val="8"/>
        </w:rPr>
        <w:t>short term</w:t>
      </w:r>
      <w:proofErr w:type="gramEnd"/>
      <w:r w:rsidRPr="0026742F">
        <w:rPr>
          <w:sz w:val="8"/>
        </w:rPr>
        <w:t xml:space="preserve"> impacts of the 9/11 attacks on Lower Manhattan resulted in the loss of 30% of office space and a number of businesses simply ceased to exist. Close to 200,000 jobs were destroyed or relocated out of New York City. The destruction of physical assets was estimated in the national accounts to amount to $14 billion for private businesses, $1.5 billion for state and local government enterprises and $0.7 billion for federal enterprises. Rescue, cleanup and related costs are estimated to at least $11 billion for a total direct cost of $27.2 billion.33 The </w:t>
      </w:r>
      <w:proofErr w:type="gramStart"/>
      <w:r w:rsidRPr="0026742F">
        <w:rPr>
          <w:sz w:val="8"/>
        </w:rPr>
        <w:t>medium and long term</w:t>
      </w:r>
      <w:proofErr w:type="gramEnd"/>
      <w:r w:rsidRPr="0026742F">
        <w:rPr>
          <w:sz w:val="8"/>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26742F">
        <w:rPr>
          <w:rStyle w:val="StyleUnderline"/>
        </w:rPr>
        <w:t>At various times terrorist rhetoric has mentioned attacks against Wall Street proper, but the more realistic damage to the economy will come through the indirect approach of cascading effects</w:t>
      </w:r>
      <w:r w:rsidRPr="0026742F">
        <w:rPr>
          <w:sz w:val="8"/>
        </w:rPr>
        <w:t xml:space="preserve">. </w:t>
      </w:r>
      <w:r w:rsidRPr="0026742F">
        <w:rPr>
          <w:rStyle w:val="StyleUnderline"/>
          <w:highlight w:val="green"/>
        </w:rPr>
        <w:t>[4] Transportation</w:t>
      </w:r>
      <w:r w:rsidRPr="0026742F">
        <w:rPr>
          <w:sz w:val="8"/>
        </w:rPr>
        <w:t xml:space="preserve"> The attack on commuter trains in Madrid in March of 2004 and the London bombings in July of 2005, which together killed 243 people, clearly indicated the threat to the transportation infrastructure. </w:t>
      </w:r>
      <w:r w:rsidRPr="0026742F">
        <w:rPr>
          <w:rStyle w:val="StyleUnderline"/>
        </w:rPr>
        <w:t xml:space="preserve">Statistics provided by the Brookings Institute in Washington DC show that between 1991 and 2001 </w:t>
      </w:r>
      <w:r w:rsidRPr="0026742F">
        <w:rPr>
          <w:rStyle w:val="StyleUnderline"/>
          <w:highlight w:val="green"/>
        </w:rPr>
        <w:t>42%</w:t>
      </w:r>
      <w:r w:rsidRPr="0026742F">
        <w:rPr>
          <w:rStyle w:val="StyleUnderline"/>
        </w:rPr>
        <w:t xml:space="preserve"> of worldwide terrorist attacks were </w:t>
      </w:r>
      <w:r w:rsidRPr="0026742F">
        <w:rPr>
          <w:rStyle w:val="StyleUnderline"/>
          <w:highlight w:val="green"/>
        </w:rPr>
        <w:t>directed against mass transit</w:t>
      </w:r>
      <w:r w:rsidRPr="0026742F">
        <w:rPr>
          <w:rStyle w:val="StyleUnderline"/>
        </w:rPr>
        <w:t>. Transportation is viewed by terrorists as a “soft target” and one that will impact the people of a country</w:t>
      </w:r>
      <w:r w:rsidRPr="0026742F">
        <w:rPr>
          <w:sz w:val="8"/>
        </w:rPr>
        <w:t xml:space="preserve">. </w:t>
      </w:r>
      <w:r w:rsidRPr="0026742F">
        <w:rPr>
          <w:rStyle w:val="StyleUnderline"/>
        </w:rPr>
        <w:t xml:space="preserve">Mass Service Transportation (MST) is the likely target of a terrorist attack. MST caters to large volumes of people, crammed into narrow confined spaces MST is designed to move large numbers of people quickly and efficiently, which is often counter to protective measure MST assets are enclosed, serving to amplify explosions MST </w:t>
      </w:r>
      <w:r w:rsidRPr="0026742F">
        <w:rPr>
          <w:rStyle w:val="StyleUnderline"/>
          <w:highlight w:val="green"/>
        </w:rPr>
        <w:t xml:space="preserve">attacks can </w:t>
      </w:r>
      <w:r w:rsidRPr="0026742F">
        <w:rPr>
          <w:rStyle w:val="StyleUnderline"/>
        </w:rPr>
        <w:t>result in “</w:t>
      </w:r>
      <w:r w:rsidRPr="0026742F">
        <w:rPr>
          <w:rStyle w:val="StyleUnderline"/>
          <w:highlight w:val="green"/>
        </w:rPr>
        <w:t>cascad</w:t>
      </w:r>
      <w:r w:rsidRPr="0026742F">
        <w:rPr>
          <w:rStyle w:val="StyleUnderline"/>
        </w:rPr>
        <w:t xml:space="preserve">ing effects” </w:t>
      </w:r>
      <w:r w:rsidRPr="0026742F">
        <w:rPr>
          <w:rStyle w:val="StyleUnderline"/>
          <w:highlight w:val="green"/>
        </w:rPr>
        <w:t xml:space="preserve">because communications and power conduits are usually </w:t>
      </w:r>
      <w:r w:rsidRPr="0026742F">
        <w:rPr>
          <w:rStyle w:val="StyleUnderline"/>
        </w:rPr>
        <w:t xml:space="preserve">collocated </w:t>
      </w:r>
      <w:r w:rsidRPr="0026742F">
        <w:rPr>
          <w:rStyle w:val="StyleUnderline"/>
          <w:highlight w:val="green"/>
        </w:rPr>
        <w:t xml:space="preserve">in proximity </w:t>
      </w:r>
      <w:r w:rsidRPr="0026742F">
        <w:rPr>
          <w:rStyle w:val="StyleUnderline"/>
        </w:rPr>
        <w:t>to their routes</w:t>
      </w:r>
      <w:r w:rsidRPr="0026742F">
        <w:rPr>
          <w:sz w:val="8"/>
        </w:rPr>
        <w:t xml:space="preserve"> 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26742F">
        <w:rPr>
          <w:sz w:val="8"/>
        </w:rPr>
        <w:t>Iyman</w:t>
      </w:r>
      <w:proofErr w:type="spellEnd"/>
      <w:r w:rsidRPr="0026742F">
        <w:rPr>
          <w:sz w:val="8"/>
        </w:rPr>
        <w:t xml:space="preserve"> Faris, a </w:t>
      </w:r>
      <w:proofErr w:type="gramStart"/>
      <w:r w:rsidRPr="0026742F">
        <w:rPr>
          <w:sz w:val="8"/>
        </w:rPr>
        <w:t>34 year old</w:t>
      </w:r>
      <w:proofErr w:type="gramEnd"/>
      <w:r w:rsidRPr="0026742F">
        <w:rPr>
          <w:sz w:val="8"/>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An attack on the bridge would have not only damaged the transportation infrastructure, but also a known American landmark. On 24 May 2006, a Pakistani immigrant was convicted on charges of plotting to blow up one of Manhattan’s busiest subway stations in retaliation for the U.S. actions at the Abu Ghraib prison.36 </w:t>
      </w:r>
      <w:r w:rsidRPr="0026742F">
        <w:rPr>
          <w:rStyle w:val="StyleUnderline"/>
          <w:highlight w:val="green"/>
        </w:rPr>
        <w:t xml:space="preserve">Terrorist threats to </w:t>
      </w:r>
      <w:r w:rsidRPr="0026742F">
        <w:rPr>
          <w:rStyle w:val="StyleUnderline"/>
        </w:rPr>
        <w:t xml:space="preserve">the </w:t>
      </w:r>
      <w:r w:rsidRPr="0026742F">
        <w:rPr>
          <w:rStyle w:val="StyleUnderline"/>
          <w:highlight w:val="green"/>
        </w:rPr>
        <w:t>transportation infrastructure extend beyond land to the sea</w:t>
      </w:r>
      <w:r w:rsidRPr="0026742F">
        <w:rPr>
          <w:sz w:val="8"/>
        </w:rPr>
        <w:t xml:space="preserve">. Vice Admiral Jonathan </w:t>
      </w:r>
      <w:proofErr w:type="spellStart"/>
      <w:r w:rsidRPr="0026742F">
        <w:rPr>
          <w:sz w:val="8"/>
        </w:rPr>
        <w:t>Greenert</w:t>
      </w:r>
      <w:proofErr w:type="spellEnd"/>
      <w:r w:rsidRPr="0026742F">
        <w:rPr>
          <w:sz w:val="8"/>
        </w:rPr>
        <w:t xml:space="preserve">, commander of the U.S. Seventh Fleet, said “one of my nightmares would be a maritime terrorism attack in the Strait of Malacca”.37 “There is a strain of al-Qaida in Southeast Asia, called Jemaah </w:t>
      </w:r>
      <w:proofErr w:type="spellStart"/>
      <w:r w:rsidRPr="0026742F">
        <w:rPr>
          <w:sz w:val="8"/>
        </w:rPr>
        <w:t>Islamiya</w:t>
      </w:r>
      <w:proofErr w:type="spellEnd"/>
      <w:r w:rsidRPr="0026742F">
        <w:rPr>
          <w:sz w:val="8"/>
        </w:rPr>
        <w:t xml:space="preserve">. They are actively pursuing a maritime terrorism capability that includes diving and mining training.”38 </w:t>
      </w:r>
      <w:r w:rsidRPr="0026742F">
        <w:rPr>
          <w:rStyle w:val="StyleUnderline"/>
        </w:rPr>
        <w:t xml:space="preserve">As how this might impact on the economy, </w:t>
      </w:r>
      <w:r w:rsidRPr="0026742F">
        <w:rPr>
          <w:rStyle w:val="StyleUnderline"/>
          <w:highlight w:val="green"/>
        </w:rPr>
        <w:t xml:space="preserve">$220 billion in trade </w:t>
      </w:r>
      <w:r w:rsidRPr="0026742F">
        <w:rPr>
          <w:rStyle w:val="StyleUnderline"/>
        </w:rPr>
        <w:t xml:space="preserve">comes through the Seventh Fleet area of responsibility </w:t>
      </w:r>
      <w:r w:rsidRPr="0026742F">
        <w:rPr>
          <w:rStyle w:val="StyleUnderline"/>
          <w:highlight w:val="green"/>
        </w:rPr>
        <w:t>and</w:t>
      </w:r>
      <w:r w:rsidRPr="0026742F">
        <w:rPr>
          <w:rStyle w:val="StyleUnderline"/>
        </w:rPr>
        <w:t xml:space="preserve"> </w:t>
      </w:r>
      <w:r w:rsidRPr="0026742F">
        <w:rPr>
          <w:rStyle w:val="StyleUnderline"/>
          <w:highlight w:val="green"/>
        </w:rPr>
        <w:t>98% of the commerce is moved by sea</w:t>
      </w:r>
      <w:r w:rsidRPr="0026742F">
        <w:rPr>
          <w:rStyle w:val="StyleUnderline"/>
        </w:rPr>
        <w:t xml:space="preserve">. Just as ports can be viewed a SPOF within the maritime transport system, </w:t>
      </w:r>
      <w:r w:rsidRPr="0026742F">
        <w:rPr>
          <w:rStyle w:val="StyleUnderline"/>
          <w:highlight w:val="green"/>
        </w:rPr>
        <w:t xml:space="preserve">there are </w:t>
      </w:r>
      <w:r w:rsidRPr="0026742F">
        <w:rPr>
          <w:rStyle w:val="StyleUnderline"/>
        </w:rPr>
        <w:t xml:space="preserve">certain </w:t>
      </w:r>
      <w:r w:rsidRPr="0026742F">
        <w:rPr>
          <w:rStyle w:val="StyleUnderline"/>
          <w:highlight w:val="green"/>
        </w:rPr>
        <w:t xml:space="preserve">waterway chokepoints </w:t>
      </w:r>
      <w:r w:rsidRPr="0026742F">
        <w:rPr>
          <w:rStyle w:val="StyleUnderline"/>
        </w:rPr>
        <w:t xml:space="preserve">or </w:t>
      </w:r>
      <w:r w:rsidRPr="0026742F">
        <w:rPr>
          <w:rStyle w:val="StyleUnderline"/>
          <w:highlight w:val="green"/>
        </w:rPr>
        <w:t xml:space="preserve">heavily trafficked areas that can be viewed as a high payoff target to a terrorist </w:t>
      </w:r>
      <w:r w:rsidRPr="0026742F">
        <w:rPr>
          <w:rStyle w:val="StyleUnderline"/>
        </w:rPr>
        <w:t>or result in catastrophic damage from a natural disaster</w:t>
      </w:r>
      <w:r w:rsidRPr="0026742F">
        <w:rPr>
          <w:rFonts w:asciiTheme="majorHAnsi" w:hAnsiTheme="majorHAnsi" w:cstheme="majorHAnsi"/>
          <w:sz w:val="8"/>
        </w:rPr>
        <w:t>.</w:t>
      </w:r>
    </w:p>
    <w:p w14:paraId="38D8F7A4" w14:textId="77777777" w:rsidR="00D97F1B" w:rsidRDefault="00D97F1B" w:rsidP="00D97F1B">
      <w:pPr>
        <w:pStyle w:val="Heading4"/>
      </w:pPr>
      <w:r>
        <w:t>Economic Collapse is the greatest risk for nuclear war</w:t>
      </w:r>
    </w:p>
    <w:p w14:paraId="76A113F5" w14:textId="77777777" w:rsidR="00D97F1B" w:rsidRPr="00CC4109" w:rsidRDefault="00D97F1B" w:rsidP="00D97F1B">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1C87A5DA" w14:textId="77777777" w:rsidR="00D97F1B" w:rsidRPr="004F30EC" w:rsidRDefault="00D97F1B" w:rsidP="00D97F1B">
      <w:pPr>
        <w:rPr>
          <w:sz w:val="8"/>
        </w:rPr>
      </w:pPr>
      <w:r w:rsidRPr="004F30EC">
        <w:rPr>
          <w:sz w:val="8"/>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w:t>
      </w:r>
      <w:r w:rsidRPr="00BA4EFB">
        <w:rPr>
          <w:rStyle w:val="StyleUnderline"/>
        </w:rPr>
        <w:t xml:space="preserve">At least four conclusions can be drawn from the review above: first, those who say that interdependence may both inhibit and drive conflict are right. Interdependence raises the cost of conflict for all </w:t>
      </w:r>
      <w:proofErr w:type="gramStart"/>
      <w:r w:rsidRPr="00BA4EFB">
        <w:rPr>
          <w:rStyle w:val="StyleUnderline"/>
        </w:rPr>
        <w:t>sides</w:t>
      </w:r>
      <w:proofErr w:type="gramEnd"/>
      <w:r w:rsidRPr="00BA4EFB">
        <w:rPr>
          <w:rStyle w:val="StyleUnderline"/>
        </w:rPr>
        <w:t xml:space="preserve"> but asymmetrical or unbalanced dependencies and negative trade expectations may generate tensions leading to trade wars among inter-dependent states that in turn increase the risk of military conflict (Copeland, 2015: 1, 14, 437; Roach, 2014). The risk may increase if one of the interdependent countries is governed by an inward-looking socio-economic coalition (Solingen, 2015); second, the risk of war between China and the US should not just be </w:t>
      </w:r>
      <w:proofErr w:type="spellStart"/>
      <w:r w:rsidRPr="00BA4EFB">
        <w:rPr>
          <w:rStyle w:val="StyleUnderline"/>
        </w:rPr>
        <w:t>analysed</w:t>
      </w:r>
      <w:proofErr w:type="spellEnd"/>
      <w:r w:rsidRPr="00BA4EFB">
        <w:rPr>
          <w:rStyle w:val="StyleUnderline"/>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BA4EFB">
        <w:rPr>
          <w:rStyle w:val="StyleUnderline"/>
          <w:highlight w:val="green"/>
        </w:rPr>
        <w:t>decisions</w:t>
      </w:r>
      <w:r w:rsidRPr="00BA4EFB">
        <w:rPr>
          <w:rStyle w:val="StyleUnderline"/>
        </w:rPr>
        <w:t xml:space="preserve"> </w:t>
      </w:r>
      <w:r w:rsidRPr="00BA4EFB">
        <w:rPr>
          <w:rStyle w:val="StyleUnderline"/>
          <w:highlight w:val="green"/>
        </w:rPr>
        <w:t>for</w:t>
      </w:r>
      <w:r w:rsidRPr="00BA4EFB">
        <w:rPr>
          <w:rStyle w:val="StyleUnderline"/>
        </w:rPr>
        <w:t xml:space="preserve"> </w:t>
      </w:r>
      <w:r w:rsidRPr="00BA4EFB">
        <w:rPr>
          <w:rStyle w:val="StyleUnderline"/>
          <w:highlight w:val="green"/>
        </w:rPr>
        <w:t>war</w:t>
      </w:r>
      <w:r w:rsidRPr="00BA4EFB">
        <w:rPr>
          <w:rStyle w:val="StyleUnderline"/>
        </w:rPr>
        <w:t xml:space="preserve"> and peace are </w:t>
      </w:r>
      <w:r w:rsidRPr="00BA4EFB">
        <w:rPr>
          <w:rStyle w:val="StyleUnderline"/>
          <w:highlight w:val="green"/>
        </w:rPr>
        <w:t>taken</w:t>
      </w:r>
      <w:r w:rsidRPr="00BA4EFB">
        <w:rPr>
          <w:rStyle w:val="StyleUnderline"/>
        </w:rPr>
        <w:t xml:space="preserve"> </w:t>
      </w:r>
      <w:r w:rsidRPr="00BA4EFB">
        <w:rPr>
          <w:rStyle w:val="StyleUnderline"/>
          <w:highlight w:val="green"/>
        </w:rPr>
        <w:t>by</w:t>
      </w:r>
      <w:r w:rsidRPr="00BA4EFB">
        <w:rPr>
          <w:rStyle w:val="StyleUnderline"/>
        </w:rPr>
        <w:t xml:space="preserve"> very </w:t>
      </w:r>
      <w:r w:rsidRPr="00BA4EFB">
        <w:rPr>
          <w:rStyle w:val="StyleUnderline"/>
          <w:highlight w:val="green"/>
        </w:rPr>
        <w:t>few people, who act on</w:t>
      </w:r>
      <w:r w:rsidRPr="00BA4EFB">
        <w:rPr>
          <w:rStyle w:val="StyleUnderline"/>
        </w:rPr>
        <w:t xml:space="preserve"> the basis of their </w:t>
      </w:r>
      <w:r w:rsidRPr="00BA4EFB">
        <w:rPr>
          <w:rStyle w:val="StyleUnderline"/>
          <w:highlight w:val="green"/>
        </w:rPr>
        <w:t>future</w:t>
      </w:r>
      <w:r w:rsidRPr="00BA4EFB">
        <w:rPr>
          <w:rStyle w:val="StyleUnderline"/>
        </w:rPr>
        <w:t xml:space="preserve"> </w:t>
      </w:r>
      <w:r w:rsidRPr="00BA4EFB">
        <w:rPr>
          <w:rStyle w:val="StyleUnderline"/>
          <w:highlight w:val="green"/>
        </w:rPr>
        <w:t>expectations</w:t>
      </w:r>
      <w:r w:rsidRPr="004F30EC">
        <w:rPr>
          <w:sz w:val="8"/>
        </w:rPr>
        <w:t xml:space="preserve">. International relations theory must be supplemented by foreign policy analysis </w:t>
      </w:r>
      <w:proofErr w:type="gramStart"/>
      <w:r w:rsidRPr="004F30EC">
        <w:rPr>
          <w:sz w:val="8"/>
        </w:rPr>
        <w:t>in order to</w:t>
      </w:r>
      <w:proofErr w:type="gramEnd"/>
      <w:r w:rsidRPr="004F30EC">
        <w:rPr>
          <w:sz w:val="8"/>
        </w:rPr>
        <w:t xml:space="preserve"> assess the value attributed by national decision-makers to economic development and their assessments of risks and opportunities. </w:t>
      </w:r>
      <w:r w:rsidRPr="00BA4EFB">
        <w:rPr>
          <w:rStyle w:val="StyleUnderline"/>
          <w:highlight w:val="green"/>
        </w:rPr>
        <w:t>If</w:t>
      </w:r>
      <w:r w:rsidRPr="00BA4EFB">
        <w:rPr>
          <w:rStyle w:val="StyleUnderline"/>
        </w:rPr>
        <w:t xml:space="preserve"> </w:t>
      </w:r>
      <w:r w:rsidRPr="00BA4EFB">
        <w:rPr>
          <w:rStyle w:val="StyleUnderline"/>
          <w:highlight w:val="green"/>
        </w:rPr>
        <w:t>leaders</w:t>
      </w:r>
      <w:r w:rsidRPr="00BA4EFB">
        <w:rPr>
          <w:rStyle w:val="StyleUnderline"/>
        </w:rPr>
        <w:t xml:space="preserve"> on either side of the Atlantic begin to </w:t>
      </w:r>
      <w:r w:rsidRPr="00BA4EFB">
        <w:rPr>
          <w:rStyle w:val="StyleUnderline"/>
          <w:highlight w:val="green"/>
        </w:rPr>
        <w:t>seriously</w:t>
      </w:r>
      <w:r w:rsidRPr="00BA4EFB">
        <w:rPr>
          <w:rStyle w:val="StyleUnderline"/>
        </w:rPr>
        <w:t xml:space="preserve"> fear or </w:t>
      </w:r>
      <w:r w:rsidRPr="00BA4EFB">
        <w:rPr>
          <w:rStyle w:val="StyleUnderline"/>
          <w:highlight w:val="green"/>
        </w:rPr>
        <w:t>anticipate</w:t>
      </w:r>
      <w:r w:rsidRPr="00BA4EFB">
        <w:rPr>
          <w:rStyle w:val="StyleUnderline"/>
        </w:rPr>
        <w:t xml:space="preserve"> their own nation’s </w:t>
      </w:r>
      <w:r w:rsidRPr="00BA4EFB">
        <w:rPr>
          <w:rStyle w:val="StyleUnderline"/>
          <w:highlight w:val="green"/>
        </w:rPr>
        <w:t>decline</w:t>
      </w:r>
      <w:r w:rsidRPr="00BA4EFB">
        <w:rPr>
          <w:rStyle w:val="StyleUnderline"/>
        </w:rPr>
        <w:t xml:space="preserve"> then </w:t>
      </w:r>
      <w:r w:rsidRPr="00BA4EFB">
        <w:rPr>
          <w:rStyle w:val="StyleUnderline"/>
          <w:highlight w:val="green"/>
        </w:rPr>
        <w:t xml:space="preserve">they </w:t>
      </w:r>
      <w:r w:rsidRPr="00BA4EFB">
        <w:rPr>
          <w:rStyle w:val="StyleUnderline"/>
        </w:rPr>
        <w:t xml:space="preserve">may blame this on external dependence, appeal to anti-foreign sentiments, </w:t>
      </w:r>
      <w:r w:rsidRPr="00BA4EFB">
        <w:rPr>
          <w:rStyle w:val="StyleUnderline"/>
          <w:highlight w:val="green"/>
        </w:rPr>
        <w:t>contemplate</w:t>
      </w:r>
      <w:r w:rsidRPr="00BA4EFB">
        <w:rPr>
          <w:rStyle w:val="StyleUnderline"/>
        </w:rPr>
        <w:t xml:space="preserve"> </w:t>
      </w:r>
      <w:r w:rsidRPr="00BA4EFB">
        <w:rPr>
          <w:rStyle w:val="StyleUnderline"/>
          <w:highlight w:val="green"/>
        </w:rPr>
        <w:t>the</w:t>
      </w:r>
      <w:r w:rsidRPr="00BA4EFB">
        <w:rPr>
          <w:rStyle w:val="StyleUnderline"/>
        </w:rPr>
        <w:t xml:space="preserve"> </w:t>
      </w:r>
      <w:r w:rsidRPr="00BA4EFB">
        <w:rPr>
          <w:rStyle w:val="StyleUnderline"/>
          <w:highlight w:val="green"/>
        </w:rPr>
        <w:t>use of force to gain</w:t>
      </w:r>
      <w:r w:rsidRPr="00BA4EFB">
        <w:rPr>
          <w:rStyle w:val="StyleUnderline"/>
        </w:rPr>
        <w:t xml:space="preserve"> respect or </w:t>
      </w:r>
      <w:r w:rsidRPr="00BA4EFB">
        <w:rPr>
          <w:rStyle w:val="StyleUnderline"/>
          <w:highlight w:val="green"/>
        </w:rPr>
        <w:t>credibility</w:t>
      </w:r>
      <w:r w:rsidRPr="00BA4EFB">
        <w:rPr>
          <w:rStyle w:val="StyleUnderline"/>
        </w:rPr>
        <w:t xml:space="preserve">, adopt protectionist policies, </w:t>
      </w:r>
      <w:r w:rsidRPr="00BA4EFB">
        <w:rPr>
          <w:rStyle w:val="StyleUnderline"/>
          <w:highlight w:val="green"/>
        </w:rPr>
        <w:t>and</w:t>
      </w:r>
      <w:r w:rsidRPr="00BA4EFB">
        <w:rPr>
          <w:rStyle w:val="StyleUnderline"/>
        </w:rPr>
        <w:t xml:space="preserve"> ultimately </w:t>
      </w:r>
      <w:r w:rsidRPr="00BA4EFB">
        <w:rPr>
          <w:rStyle w:val="StyleUnderline"/>
          <w:highlight w:val="green"/>
        </w:rPr>
        <w:t>refuse to be deterred by</w:t>
      </w:r>
      <w:r w:rsidRPr="00BA4EFB">
        <w:rPr>
          <w:rStyle w:val="StyleUnderline"/>
        </w:rPr>
        <w:t xml:space="preserve"> either </w:t>
      </w:r>
      <w:r w:rsidRPr="00BA4EFB">
        <w:rPr>
          <w:rStyle w:val="StyleUnderline"/>
          <w:highlight w:val="green"/>
        </w:rPr>
        <w:t>nuclear</w:t>
      </w:r>
      <w:r w:rsidRPr="00BA4EFB">
        <w:rPr>
          <w:rStyle w:val="StyleUnderline"/>
        </w:rPr>
        <w:t xml:space="preserve"> </w:t>
      </w:r>
      <w:r w:rsidRPr="00BA4EFB">
        <w:rPr>
          <w:rStyle w:val="StyleUnderline"/>
          <w:highlight w:val="green"/>
        </w:rPr>
        <w:t>arms</w:t>
      </w:r>
      <w:r w:rsidRPr="00BA4EFB">
        <w:rPr>
          <w:rStyle w:val="StyleUnderline"/>
        </w:rPr>
        <w:t xml:space="preserve"> or prospects of socioeconomic calamities. </w:t>
      </w:r>
      <w:r w:rsidRPr="00BA4EFB">
        <w:rPr>
          <w:rStyle w:val="StyleUnderline"/>
          <w:highlight w:val="green"/>
        </w:rPr>
        <w:t>Such a</w:t>
      </w:r>
      <w:r w:rsidRPr="00BA4EFB">
        <w:rPr>
          <w:rStyle w:val="StyleUnderline"/>
        </w:rPr>
        <w:t xml:space="preserve"> </w:t>
      </w:r>
      <w:r w:rsidRPr="00BA4EFB">
        <w:rPr>
          <w:rStyle w:val="StyleUnderline"/>
          <w:highlight w:val="green"/>
        </w:rPr>
        <w:t>dangerous</w:t>
      </w:r>
      <w:r w:rsidRPr="00BA4EFB">
        <w:rPr>
          <w:rStyle w:val="StyleUnderline"/>
        </w:rPr>
        <w:t xml:space="preserve"> </w:t>
      </w:r>
      <w:r w:rsidRPr="00BA4EFB">
        <w:rPr>
          <w:rStyle w:val="StyleUnderline"/>
          <w:highlight w:val="green"/>
        </w:rPr>
        <w:t>shift</w:t>
      </w:r>
      <w:r w:rsidRPr="00BA4EFB">
        <w:rPr>
          <w:rStyle w:val="StyleUnderline"/>
        </w:rPr>
        <w:t xml:space="preserve"> </w:t>
      </w:r>
      <w:r w:rsidRPr="00BA4EFB">
        <w:rPr>
          <w:rStyle w:val="StyleUnderline"/>
          <w:highlight w:val="green"/>
        </w:rPr>
        <w:t>could</w:t>
      </w:r>
      <w:r w:rsidRPr="00BA4EFB">
        <w:rPr>
          <w:rStyle w:val="StyleUnderline"/>
        </w:rPr>
        <w:t xml:space="preserve"> </w:t>
      </w:r>
      <w:r w:rsidRPr="00BA4EFB">
        <w:rPr>
          <w:rStyle w:val="StyleUnderline"/>
          <w:highlight w:val="green"/>
        </w:rPr>
        <w:t>happen</w:t>
      </w:r>
      <w:r w:rsidRPr="00BA4EFB">
        <w:rPr>
          <w:rStyle w:val="StyleUnderline"/>
        </w:rPr>
        <w:t xml:space="preserve"> </w:t>
      </w:r>
      <w:r w:rsidRPr="00BA4EFB">
        <w:rPr>
          <w:rStyle w:val="StyleUnderline"/>
          <w:highlight w:val="green"/>
        </w:rPr>
        <w:t>abruptly</w:t>
      </w:r>
      <w:r w:rsidRPr="00BA4EFB">
        <w:rPr>
          <w:rStyle w:val="StyleUnderline"/>
        </w:rPr>
        <w:t xml:space="preserve">, </w:t>
      </w:r>
      <w:proofErr w:type="gramStart"/>
      <w:r w:rsidRPr="00BA4EFB">
        <w:rPr>
          <w:rStyle w:val="StyleUnderline"/>
        </w:rPr>
        <w:t>i.e.</w:t>
      </w:r>
      <w:proofErr w:type="gramEnd"/>
      <w:r w:rsidRPr="00BA4EFB">
        <w:rPr>
          <w:rStyle w:val="StyleUnderline"/>
        </w:rPr>
        <w:t xml:space="preserve"> under the instigation of actions by a third party – or against a third party</w:t>
      </w:r>
      <w:r w:rsidRPr="004F30EC">
        <w:rPr>
          <w:sz w:val="8"/>
        </w:rPr>
        <w:t xml:space="preserve">. Yet </w:t>
      </w:r>
      <w:proofErr w:type="gramStart"/>
      <w:r w:rsidRPr="004F30EC">
        <w:rPr>
          <w:sz w:val="8"/>
        </w:rPr>
        <w:t>as long as</w:t>
      </w:r>
      <w:proofErr w:type="gramEnd"/>
      <w:r w:rsidRPr="004F30EC">
        <w:rPr>
          <w:sz w:val="8"/>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BA4EFB">
        <w:rPr>
          <w:rStyle w:val="Emphasis"/>
          <w:highlight w:val="green"/>
        </w:rPr>
        <w:t xml:space="preserve">The greatest risk is </w:t>
      </w:r>
      <w:r w:rsidRPr="00BA4EFB">
        <w:rPr>
          <w:rStyle w:val="Emphasis"/>
        </w:rPr>
        <w:t xml:space="preserve">not that a territorial dispute leads to war under present circumstances but that </w:t>
      </w:r>
      <w:r w:rsidRPr="00BA4EFB">
        <w:rPr>
          <w:rStyle w:val="Emphasis"/>
          <w:highlight w:val="green"/>
        </w:rPr>
        <w:t xml:space="preserve">changes in the world economy alter </w:t>
      </w:r>
      <w:r w:rsidRPr="00BA4EFB">
        <w:rPr>
          <w:rStyle w:val="Emphasis"/>
        </w:rPr>
        <w:t xml:space="preserve">those </w:t>
      </w:r>
      <w:r w:rsidRPr="00BA4EFB">
        <w:rPr>
          <w:rStyle w:val="Emphasis"/>
          <w:highlight w:val="green"/>
        </w:rPr>
        <w:t>circumstances in ways that render inter-state peace more precarious</w:t>
      </w:r>
      <w:r w:rsidRPr="004F30EC">
        <w:rPr>
          <w:sz w:val="8"/>
        </w:rPr>
        <w:t xml:space="preserve">. If China and the US fail to rebalance their financial and trading relations (Roach, 2014) then a trade war could result, interrupting transnational production networks, provoking social distress, and exacerbating nationalist emotions. </w:t>
      </w:r>
      <w:r w:rsidRPr="00BA4EFB">
        <w:rPr>
          <w:rStyle w:val="StyleUnderline"/>
        </w:rPr>
        <w:t xml:space="preserve">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BA4EFB">
        <w:rPr>
          <w:rStyle w:val="StyleUnderline"/>
        </w:rPr>
        <w:t>third party</w:t>
      </w:r>
      <w:proofErr w:type="gramEnd"/>
      <w:r w:rsidRPr="00BA4EFB">
        <w:rPr>
          <w:rStyle w:val="StyleUnderline"/>
        </w:rPr>
        <w:t xml:space="preserve"> countries might engage in conflict with each other, with a view to obliging Washington or Beijing to intervene</w:t>
      </w:r>
      <w:r w:rsidRPr="004F30EC">
        <w:rPr>
          <w:sz w:val="8"/>
        </w:rPr>
        <w:t xml:space="preserve">. </w:t>
      </w:r>
    </w:p>
    <w:p w14:paraId="1AF25BD0" w14:textId="77777777" w:rsidR="00D97F1B" w:rsidRDefault="00D97F1B" w:rsidP="00D97F1B">
      <w:pPr>
        <w:pStyle w:val="Heading4"/>
        <w:rPr>
          <w:u w:val="single"/>
        </w:rPr>
      </w:pPr>
      <w:proofErr w:type="gramStart"/>
      <w:r>
        <w:t>And,</w:t>
      </w:r>
      <w:proofErr w:type="gramEnd"/>
      <w:r>
        <w:t xml:space="preserve"> cyberattacks on the grid spiral to all-out nuclear conflict.</w:t>
      </w:r>
    </w:p>
    <w:p w14:paraId="5EB8F634" w14:textId="77777777" w:rsidR="00D97F1B" w:rsidRDefault="00D97F1B" w:rsidP="00D97F1B">
      <w:proofErr w:type="spellStart"/>
      <w:r w:rsidRPr="0059791E">
        <w:rPr>
          <w:rStyle w:val="Style13ptBold"/>
        </w:rPr>
        <w:t>Klare</w:t>
      </w:r>
      <w:proofErr w:type="spellEnd"/>
      <w:r w:rsidRPr="0059791E">
        <w:rPr>
          <w:rStyle w:val="Style13ptBold"/>
        </w:rPr>
        <w:t xml:space="preserve"> 19</w:t>
      </w:r>
      <w:r>
        <w:t xml:space="preserve"> </w:t>
      </w:r>
    </w:p>
    <w:p w14:paraId="78CA1934" w14:textId="77777777" w:rsidR="00D97F1B" w:rsidRPr="004F30EC" w:rsidRDefault="00D97F1B" w:rsidP="00D97F1B">
      <w:pPr>
        <w:rPr>
          <w:sz w:val="12"/>
          <w:szCs w:val="12"/>
        </w:rPr>
      </w:pPr>
      <w:r w:rsidRPr="004F30EC">
        <w:rPr>
          <w:sz w:val="12"/>
          <w:szCs w:val="12"/>
        </w:rPr>
        <w:t>[Michael; November 2019; Professor emeritus of peace and world security studies at Hampshire College; “</w:t>
      </w:r>
      <w:r w:rsidRPr="004F30EC">
        <w:rPr>
          <w:i/>
          <w:iCs/>
          <w:sz w:val="12"/>
          <w:szCs w:val="12"/>
        </w:rPr>
        <w:t>Cyber Battles, Nuclear Outcomes? Dangerous New Pathways to Escalation</w:t>
      </w:r>
      <w:r w:rsidRPr="004F30EC">
        <w:rPr>
          <w:sz w:val="12"/>
          <w:szCs w:val="12"/>
        </w:rPr>
        <w:t xml:space="preserve">,” Arms Control Association, </w:t>
      </w:r>
      <w:hyperlink r:id="rId10" w:history="1">
        <w:r w:rsidRPr="004F30EC">
          <w:rPr>
            <w:rStyle w:val="Hyperlink"/>
            <w:sz w:val="12"/>
            <w:szCs w:val="12"/>
          </w:rPr>
          <w:t>https://www.armscontrol.org/act/2019-11/features/cyber-battles-nuclear-outcomes-dangerous-new-pathways-escalation</w:t>
        </w:r>
      </w:hyperlink>
      <w:r w:rsidRPr="004F30EC">
        <w:rPr>
          <w:rStyle w:val="Hyperlink"/>
          <w:sz w:val="12"/>
          <w:szCs w:val="12"/>
        </w:rPr>
        <w:t>] Justin -recut CAT</w:t>
      </w:r>
    </w:p>
    <w:p w14:paraId="7C35EACE" w14:textId="77777777" w:rsidR="00D97F1B" w:rsidRPr="004F30EC" w:rsidRDefault="00D97F1B" w:rsidP="00D97F1B">
      <w:r w:rsidRPr="0026742F">
        <w:rPr>
          <w:rStyle w:val="StyleUnderline"/>
        </w:rPr>
        <w:t xml:space="preserve">Yet another pathway to </w:t>
      </w:r>
      <w:r w:rsidRPr="0026742F">
        <w:rPr>
          <w:rStyle w:val="StyleUnderline"/>
          <w:highlight w:val="green"/>
        </w:rPr>
        <w:t>escalation</w:t>
      </w:r>
      <w:r w:rsidRPr="0026742F">
        <w:rPr>
          <w:rStyle w:val="StyleUnderline"/>
        </w:rPr>
        <w:t xml:space="preserve"> </w:t>
      </w:r>
      <w:r w:rsidRPr="0026742F">
        <w:rPr>
          <w:rStyle w:val="StyleUnderline"/>
          <w:highlight w:val="green"/>
        </w:rPr>
        <w:t>could</w:t>
      </w:r>
      <w:r w:rsidRPr="0026742F">
        <w:rPr>
          <w:rStyle w:val="StyleUnderline"/>
        </w:rPr>
        <w:t xml:space="preserve"> </w:t>
      </w:r>
      <w:r w:rsidRPr="0026742F">
        <w:rPr>
          <w:rStyle w:val="StyleUnderline"/>
          <w:highlight w:val="green"/>
        </w:rPr>
        <w:t xml:space="preserve">arise from </w:t>
      </w:r>
      <w:r w:rsidRPr="0026742F">
        <w:rPr>
          <w:rStyle w:val="StyleUnderline"/>
        </w:rPr>
        <w:t xml:space="preserve">a </w:t>
      </w:r>
      <w:r w:rsidRPr="0026742F">
        <w:rPr>
          <w:rStyle w:val="StyleUnderline"/>
          <w:highlight w:val="green"/>
        </w:rPr>
        <w:t>cascading</w:t>
      </w:r>
      <w:r w:rsidRPr="0026742F">
        <w:rPr>
          <w:rStyle w:val="StyleUnderline"/>
        </w:rPr>
        <w:t xml:space="preserve"> series of </w:t>
      </w:r>
      <w:proofErr w:type="spellStart"/>
      <w:r w:rsidRPr="0026742F">
        <w:rPr>
          <w:rStyle w:val="StyleUnderline"/>
          <w:highlight w:val="green"/>
        </w:rPr>
        <w:t>cyberstrikes</w:t>
      </w:r>
      <w:proofErr w:type="spellEnd"/>
      <w:r w:rsidRPr="0026742F">
        <w:rPr>
          <w:rStyle w:val="StyleUnderline"/>
        </w:rPr>
        <w:t xml:space="preserve"> and counterstrikes </w:t>
      </w:r>
      <w:r w:rsidRPr="0026742F">
        <w:rPr>
          <w:rStyle w:val="StyleUnderline"/>
          <w:highlight w:val="green"/>
        </w:rPr>
        <w:t xml:space="preserve">against </w:t>
      </w:r>
      <w:r w:rsidRPr="0026742F">
        <w:rPr>
          <w:rStyle w:val="StyleUnderline"/>
        </w:rPr>
        <w:t xml:space="preserve">vital national </w:t>
      </w:r>
      <w:r w:rsidRPr="0026742F">
        <w:rPr>
          <w:rStyle w:val="StyleUnderline"/>
          <w:highlight w:val="green"/>
        </w:rPr>
        <w:t>infrastructure</w:t>
      </w:r>
      <w:r w:rsidRPr="0026742F">
        <w:rPr>
          <w:rStyle w:val="StyleUnderline"/>
        </w:rPr>
        <w:t xml:space="preserve"> rather than on military targets. </w:t>
      </w:r>
      <w:r w:rsidRPr="0026742F">
        <w:rPr>
          <w:rStyle w:val="StyleUnderline"/>
          <w:highlight w:val="green"/>
        </w:rPr>
        <w:t>All</w:t>
      </w:r>
      <w:r w:rsidRPr="0026742F">
        <w:rPr>
          <w:rStyle w:val="StyleUnderline"/>
        </w:rPr>
        <w:t xml:space="preserve"> </w:t>
      </w:r>
      <w:r w:rsidRPr="0026742F">
        <w:rPr>
          <w:rStyle w:val="StyleUnderline"/>
          <w:highlight w:val="green"/>
        </w:rPr>
        <w:t>major</w:t>
      </w:r>
      <w:r w:rsidRPr="0026742F">
        <w:rPr>
          <w:rStyle w:val="StyleUnderline"/>
        </w:rPr>
        <w:t xml:space="preserve"> </w:t>
      </w:r>
      <w:r w:rsidRPr="0026742F">
        <w:rPr>
          <w:rStyle w:val="StyleUnderline"/>
          <w:highlight w:val="green"/>
        </w:rPr>
        <w:t>powers</w:t>
      </w:r>
      <w:r w:rsidRPr="0026742F">
        <w:rPr>
          <w:rStyle w:val="StyleUnderline"/>
        </w:rPr>
        <w:t xml:space="preserve">, along with Iran and North Korea, </w:t>
      </w:r>
      <w:r w:rsidRPr="0026742F">
        <w:rPr>
          <w:rStyle w:val="StyleUnderline"/>
          <w:highlight w:val="green"/>
        </w:rPr>
        <w:t>have developed</w:t>
      </w:r>
      <w:r w:rsidRPr="0026742F">
        <w:rPr>
          <w:rStyle w:val="StyleUnderline"/>
        </w:rPr>
        <w:t xml:space="preserve"> and deployed </w:t>
      </w:r>
      <w:r w:rsidRPr="0026742F">
        <w:rPr>
          <w:rStyle w:val="StyleUnderline"/>
          <w:highlight w:val="green"/>
        </w:rPr>
        <w:t>cyberweapons</w:t>
      </w:r>
      <w:r w:rsidRPr="0026742F">
        <w:rPr>
          <w:rStyle w:val="StyleUnderline"/>
        </w:rPr>
        <w:t xml:space="preserve"> designed </w:t>
      </w:r>
      <w:r w:rsidRPr="0026742F">
        <w:rPr>
          <w:rStyle w:val="StyleUnderline"/>
          <w:highlight w:val="green"/>
        </w:rPr>
        <w:t>to</w:t>
      </w:r>
      <w:r w:rsidRPr="0026742F">
        <w:rPr>
          <w:rStyle w:val="StyleUnderline"/>
        </w:rPr>
        <w:t xml:space="preserve"> disrupt and </w:t>
      </w:r>
      <w:r w:rsidRPr="0026742F">
        <w:rPr>
          <w:rStyle w:val="StyleUnderline"/>
          <w:highlight w:val="green"/>
        </w:rPr>
        <w:t>destroy</w:t>
      </w:r>
      <w:r w:rsidRPr="0026742F">
        <w:rPr>
          <w:rStyle w:val="StyleUnderline"/>
        </w:rPr>
        <w:t xml:space="preserve"> major elements of an adversary’s key economic systems, such as power </w:t>
      </w:r>
      <w:r w:rsidRPr="0026742F">
        <w:rPr>
          <w:rStyle w:val="StyleUnderline"/>
          <w:highlight w:val="green"/>
        </w:rPr>
        <w:t>grids</w:t>
      </w:r>
      <w:r w:rsidRPr="0026742F">
        <w:rPr>
          <w:rStyle w:val="StyleUnderline"/>
        </w:rPr>
        <w:t xml:space="preserve">, financial systems, and transportation networks.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The danger here is that </w:t>
      </w:r>
      <w:r w:rsidRPr="0026742F">
        <w:rPr>
          <w:rStyle w:val="StyleUnderline"/>
          <w:highlight w:val="green"/>
        </w:rPr>
        <w:t>economic attacks</w:t>
      </w:r>
      <w:r w:rsidRPr="0026742F">
        <w:rPr>
          <w:rStyle w:val="StyleUnderline"/>
        </w:rPr>
        <w:t xml:space="preserve"> of this sort, if undertaken during a period of tension and crisis, </w:t>
      </w:r>
      <w:r w:rsidRPr="0026742F">
        <w:rPr>
          <w:rStyle w:val="StyleUnderline"/>
          <w:highlight w:val="green"/>
        </w:rPr>
        <w:t>could</w:t>
      </w:r>
      <w:r w:rsidRPr="0026742F">
        <w:rPr>
          <w:rStyle w:val="StyleUnderline"/>
        </w:rPr>
        <w:t xml:space="preserve"> </w:t>
      </w:r>
      <w:r w:rsidRPr="0026742F">
        <w:rPr>
          <w:rStyle w:val="StyleUnderline"/>
          <w:highlight w:val="green"/>
        </w:rPr>
        <w:t>lead to</w:t>
      </w:r>
      <w:r w:rsidRPr="0026742F">
        <w:rPr>
          <w:rStyle w:val="StyleUnderline"/>
        </w:rPr>
        <w:t xml:space="preserve"> an escalating series of </w:t>
      </w:r>
      <w:r w:rsidRPr="0026742F">
        <w:rPr>
          <w:rStyle w:val="StyleUnderline"/>
          <w:highlight w:val="green"/>
        </w:rPr>
        <w:t>tit-for-tat attacks</w:t>
      </w:r>
      <w:r w:rsidRPr="0026742F">
        <w:rPr>
          <w:rStyle w:val="StyleUnderline"/>
        </w:rPr>
        <w:t xml:space="preserve"> against ever more vital elements of an adversary’s critical infrastructure, producing widespread chaos and harm and eventually </w:t>
      </w:r>
      <w:r w:rsidRPr="0026742F">
        <w:rPr>
          <w:rStyle w:val="StyleUnderline"/>
          <w:highlight w:val="green"/>
        </w:rPr>
        <w:t>leading one side</w:t>
      </w:r>
      <w:r w:rsidRPr="0026742F">
        <w:rPr>
          <w:rStyle w:val="StyleUnderline"/>
        </w:rPr>
        <w:t xml:space="preserve"> </w:t>
      </w:r>
      <w:r w:rsidRPr="0026742F">
        <w:rPr>
          <w:rStyle w:val="StyleUnderline"/>
          <w:highlight w:val="green"/>
        </w:rPr>
        <w:t>to</w:t>
      </w:r>
      <w:r w:rsidRPr="0026742F">
        <w:rPr>
          <w:rStyle w:val="StyleUnderline"/>
        </w:rPr>
        <w:t xml:space="preserve"> </w:t>
      </w:r>
      <w:r w:rsidRPr="0026742F">
        <w:rPr>
          <w:rStyle w:val="StyleUnderline"/>
          <w:highlight w:val="green"/>
        </w:rPr>
        <w:t>initiate</w:t>
      </w:r>
      <w:r w:rsidRPr="0026742F">
        <w:rPr>
          <w:rStyle w:val="StyleUnderline"/>
        </w:rPr>
        <w:t xml:space="preserve"> </w:t>
      </w:r>
      <w:r w:rsidRPr="0026742F">
        <w:rPr>
          <w:rStyle w:val="StyleUnderline"/>
          <w:highlight w:val="green"/>
        </w:rPr>
        <w:t>kinetic attacks</w:t>
      </w:r>
      <w:r w:rsidRPr="0026742F">
        <w:rPr>
          <w:rStyle w:val="StyleUnderline"/>
        </w:rPr>
        <w:t xml:space="preserve"> </w:t>
      </w:r>
      <w:r w:rsidRPr="0026742F">
        <w:rPr>
          <w:rStyle w:val="StyleUnderline"/>
          <w:highlight w:val="green"/>
        </w:rPr>
        <w:t>on critical military targets</w:t>
      </w:r>
      <w:r w:rsidRPr="0026742F">
        <w:rPr>
          <w:rStyle w:val="StyleUnderline"/>
        </w:rPr>
        <w:t xml:space="preserve">, </w:t>
      </w:r>
      <w:r w:rsidRPr="0026742F">
        <w:rPr>
          <w:rStyle w:val="StyleUnderline"/>
          <w:highlight w:val="green"/>
        </w:rPr>
        <w:t>risking</w:t>
      </w:r>
      <w:r w:rsidRPr="0026742F">
        <w:rPr>
          <w:rStyle w:val="StyleUnderline"/>
        </w:rPr>
        <w:t xml:space="preserve"> the slippery slope to</w:t>
      </w:r>
      <w:r w:rsidRPr="0026742F">
        <w:rPr>
          <w:rStyle w:val="StyleUnderline"/>
          <w:highlight w:val="green"/>
        </w:rPr>
        <w:t xml:space="preserve"> nuclear conflict</w:t>
      </w:r>
      <w:r w:rsidRPr="0026742F">
        <w:rPr>
          <w:rStyle w:val="StyleUnderline"/>
        </w:rPr>
        <w:t xml:space="preserve">. For example, a Russian cyberattack on the U.S. power grid could trigger U.S. attacks on Russian energy and financial systems, </w:t>
      </w:r>
      <w:r w:rsidRPr="0026742F">
        <w:rPr>
          <w:rStyle w:val="StyleUnderline"/>
          <w:highlight w:val="green"/>
        </w:rPr>
        <w:t>causing</w:t>
      </w:r>
      <w:r w:rsidRPr="0026742F">
        <w:rPr>
          <w:rStyle w:val="StyleUnderline"/>
        </w:rPr>
        <w:t xml:space="preserve"> widespread </w:t>
      </w:r>
      <w:r w:rsidRPr="0026742F">
        <w:rPr>
          <w:rStyle w:val="StyleUnderline"/>
          <w:highlight w:val="green"/>
        </w:rPr>
        <w:t>disorder</w:t>
      </w:r>
      <w:r w:rsidRPr="0026742F">
        <w:rPr>
          <w:rStyle w:val="StyleUnderline"/>
        </w:rPr>
        <w:t xml:space="preserve"> in both countries </w:t>
      </w:r>
      <w:r w:rsidRPr="0026742F">
        <w:rPr>
          <w:rStyle w:val="StyleUnderline"/>
          <w:highlight w:val="green"/>
        </w:rPr>
        <w:t>and</w:t>
      </w:r>
      <w:r w:rsidRPr="0026742F">
        <w:rPr>
          <w:rStyle w:val="StyleUnderline"/>
        </w:rPr>
        <w:t xml:space="preserve"> generating an impulse for even </w:t>
      </w:r>
      <w:r w:rsidRPr="0026742F">
        <w:rPr>
          <w:rStyle w:val="StyleUnderline"/>
          <w:highlight w:val="green"/>
        </w:rPr>
        <w:t>more devastating attacks</w:t>
      </w:r>
      <w:r w:rsidRPr="0026742F">
        <w:rPr>
          <w:rStyle w:val="StyleUnderline"/>
        </w:rPr>
        <w:t xml:space="preserve">. At some point, </w:t>
      </w:r>
      <w:r w:rsidRPr="0026742F">
        <w:rPr>
          <w:rStyle w:val="StyleUnderline"/>
          <w:highlight w:val="green"/>
        </w:rPr>
        <w:t xml:space="preserve">such attacks “could lead to major conflict and </w:t>
      </w:r>
      <w:r w:rsidRPr="0026742F">
        <w:rPr>
          <w:rStyle w:val="StyleUnderline"/>
        </w:rPr>
        <w:t xml:space="preserve">possibly </w:t>
      </w:r>
      <w:r w:rsidRPr="0026742F">
        <w:rPr>
          <w:rStyle w:val="StyleUnderline"/>
          <w:highlight w:val="green"/>
        </w:rPr>
        <w:t>nuc</w:t>
      </w:r>
      <w:r w:rsidRPr="0026742F">
        <w:rPr>
          <w:rStyle w:val="StyleUnderline"/>
        </w:rPr>
        <w:t xml:space="preserve">lear </w:t>
      </w:r>
      <w:r w:rsidRPr="0026742F">
        <w:rPr>
          <w:rStyle w:val="StyleUnderline"/>
          <w:highlight w:val="green"/>
        </w:rPr>
        <w:t>war</w:t>
      </w:r>
      <w:r w:rsidRPr="004F30EC">
        <w:t>.”14</w:t>
      </w:r>
    </w:p>
    <w:p w14:paraId="2F683861" w14:textId="77777777" w:rsidR="00D97F1B" w:rsidRPr="00D97F1B" w:rsidRDefault="00D97F1B" w:rsidP="00D97F1B"/>
    <w:p w14:paraId="02680277" w14:textId="5C62F8E1" w:rsidR="00D97F1B" w:rsidRDefault="00D97F1B" w:rsidP="00D97F1B">
      <w:pPr>
        <w:pStyle w:val="Heading3"/>
      </w:pPr>
      <w:r>
        <w:t>I-Law CP (1:40)</w:t>
      </w:r>
    </w:p>
    <w:p w14:paraId="6B3344A7" w14:textId="77777777" w:rsidR="00D97F1B" w:rsidRDefault="00D97F1B" w:rsidP="00D97F1B">
      <w:pPr>
        <w:pStyle w:val="Heading4"/>
      </w:pPr>
      <w:r w:rsidRPr="006109AD">
        <w:t xml:space="preserve">Counterplan text </w:t>
      </w:r>
      <w:r>
        <w:t xml:space="preserve">– [Country] ought to </w:t>
      </w:r>
      <w:r w:rsidRPr="00DB3454">
        <w:t xml:space="preserve">recognize </w:t>
      </w:r>
      <w:r>
        <w:t xml:space="preserve">a </w:t>
      </w:r>
      <w:r w:rsidRPr="00DB3454">
        <w:t>worker’s right to strike</w:t>
      </w:r>
      <w:r>
        <w:t xml:space="preserve"> pursuant to ILO Convention 87 – which is inherently conditional.</w:t>
      </w:r>
    </w:p>
    <w:p w14:paraId="28DDA811" w14:textId="77777777" w:rsidR="00D97F1B" w:rsidRPr="00EC5220" w:rsidRDefault="00D97F1B" w:rsidP="00D97F1B"/>
    <w:p w14:paraId="5A856639" w14:textId="77777777" w:rsidR="00D97F1B" w:rsidRDefault="00D97F1B" w:rsidP="00D97F1B">
      <w:pPr>
        <w:pStyle w:val="Heading4"/>
      </w:pPr>
      <w:r>
        <w:t xml:space="preserve">It’s </w:t>
      </w:r>
      <w:proofErr w:type="spellStart"/>
      <w:r>
        <w:t>uncondo</w:t>
      </w:r>
      <w:proofErr w:type="spellEnd"/>
      <w:r>
        <w:t>.</w:t>
      </w:r>
    </w:p>
    <w:p w14:paraId="4AAF6E93" w14:textId="77777777" w:rsidR="00D97F1B" w:rsidRPr="00B002D7" w:rsidRDefault="00D97F1B" w:rsidP="00D97F1B"/>
    <w:p w14:paraId="4731DD63" w14:textId="77777777" w:rsidR="00D97F1B" w:rsidRDefault="00D97F1B" w:rsidP="00D97F1B">
      <w:pPr>
        <w:pStyle w:val="Heading4"/>
      </w:pPr>
      <w:r>
        <w:t>Only the ICJ can interpret binding rulings on ILO 87 – and the ICJ is an international body.</w:t>
      </w:r>
    </w:p>
    <w:p w14:paraId="5F06EC97" w14:textId="77777777" w:rsidR="00D97F1B" w:rsidRDefault="00D97F1B" w:rsidP="00D97F1B">
      <w:pPr>
        <w:rPr>
          <w:rStyle w:val="Style13ptBold"/>
        </w:rPr>
      </w:pPr>
      <w:proofErr w:type="spellStart"/>
      <w:r w:rsidRPr="004726E6">
        <w:rPr>
          <w:rStyle w:val="Style13ptBold"/>
        </w:rPr>
        <w:t>Wisskerchen</w:t>
      </w:r>
      <w:proofErr w:type="spellEnd"/>
      <w:r w:rsidRPr="004726E6">
        <w:rPr>
          <w:rStyle w:val="Style13ptBold"/>
        </w:rPr>
        <w:t xml:space="preserve"> 5</w:t>
      </w:r>
    </w:p>
    <w:p w14:paraId="27AF3D97" w14:textId="77777777" w:rsidR="00D97F1B" w:rsidRDefault="00D97F1B" w:rsidP="00D97F1B">
      <w:r>
        <w:t>[Alfred;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1" w:history="1">
        <w:r w:rsidRPr="004E2197">
          <w:rPr>
            <w:rStyle w:val="Hyperlink"/>
          </w:rPr>
          <w:t>https://sci-hub.se/https://onlinelibrary.wiley.com/doi/10.1111/j.1564-913X.2005.tb00569.x</w:t>
        </w:r>
      </w:hyperlink>
      <w:r>
        <w:t>] Justin -recut CAT</w:t>
      </w:r>
    </w:p>
    <w:p w14:paraId="08DA9071" w14:textId="77777777" w:rsidR="00D97F1B" w:rsidRDefault="00D97F1B" w:rsidP="00D97F1B">
      <w:r>
        <w:t>* ICJ = International Court of Justice</w:t>
      </w:r>
    </w:p>
    <w:p w14:paraId="43E3F693" w14:textId="77777777" w:rsidR="00D97F1B" w:rsidRDefault="00D97F1B" w:rsidP="00D97F1B">
      <w:r>
        <w:t xml:space="preserve">* ILO = International </w:t>
      </w:r>
      <w:proofErr w:type="spellStart"/>
      <w:r>
        <w:t>Labour</w:t>
      </w:r>
      <w:proofErr w:type="spellEnd"/>
      <w:r>
        <w:t xml:space="preserve"> Organization</w:t>
      </w:r>
    </w:p>
    <w:p w14:paraId="1B772FBC" w14:textId="77777777" w:rsidR="00D97F1B" w:rsidRDefault="00D97F1B" w:rsidP="00D97F1B">
      <w:pPr>
        <w:rPr>
          <w:rStyle w:val="StyleUnderline"/>
        </w:rPr>
      </w:pPr>
      <w:r w:rsidRPr="0014177D">
        <w:rPr>
          <w:rStyle w:val="StyleUnderline"/>
        </w:rPr>
        <w:t xml:space="preserve">To date there has been no further reaction from the experts in the old dispute over the interpretation of the Freedom of Association and Protection of the Right to </w:t>
      </w:r>
      <w:proofErr w:type="spellStart"/>
      <w:r w:rsidRPr="0014177D">
        <w:rPr>
          <w:rStyle w:val="StyleUnderline"/>
        </w:rPr>
        <w:t>Organise</w:t>
      </w:r>
      <w:proofErr w:type="spellEnd"/>
      <w:r w:rsidRPr="0014177D">
        <w:rPr>
          <w:rStyle w:val="StyleUnderline"/>
        </w:rPr>
        <w:t xml:space="preserve"> Convention, 1948 (No. 87), </w:t>
      </w:r>
      <w:proofErr w:type="gramStart"/>
      <w:r w:rsidRPr="0014177D">
        <w:rPr>
          <w:rStyle w:val="StyleUnderline"/>
        </w:rPr>
        <w:t>with regard to</w:t>
      </w:r>
      <w:proofErr w:type="gramEnd"/>
      <w:r w:rsidRPr="0014177D">
        <w:rPr>
          <w:rStyle w:val="StyleUnderline"/>
        </w:rPr>
        <w:t xml:space="preserve"> the right to strike. The experts maintain that </w:t>
      </w:r>
      <w:r w:rsidRPr="00871571">
        <w:rPr>
          <w:rStyle w:val="StyleUnderline"/>
          <w:highlight w:val="green"/>
        </w:rPr>
        <w:t xml:space="preserve">the right to strike is based on </w:t>
      </w:r>
      <w:r w:rsidRPr="0014177D">
        <w:rPr>
          <w:rStyle w:val="StyleUnderline"/>
        </w:rPr>
        <w:t xml:space="preserve">Article 3 of </w:t>
      </w:r>
      <w:r w:rsidRPr="00871571">
        <w:rPr>
          <w:rStyle w:val="StyleUnderline"/>
          <w:highlight w:val="green"/>
        </w:rPr>
        <w:t xml:space="preserve">Convention </w:t>
      </w:r>
      <w:r w:rsidRPr="0014177D">
        <w:rPr>
          <w:rStyle w:val="StyleUnderline"/>
        </w:rPr>
        <w:t xml:space="preserve">No. </w:t>
      </w:r>
      <w:r w:rsidRPr="00871571">
        <w:rPr>
          <w:rStyle w:val="StyleUnderline"/>
          <w:highlight w:val="green"/>
        </w:rPr>
        <w:t>87</w:t>
      </w:r>
      <w:r w:rsidRPr="0014177D">
        <w:rPr>
          <w:rStyle w:val="StyleUnderline"/>
        </w:rPr>
        <w:t xml:space="preserve">, which states that “Workers’ and employers’ organizations shall have the right … to organize their administration and activities and to formulate their </w:t>
      </w:r>
      <w:proofErr w:type="spellStart"/>
      <w:r w:rsidRPr="0014177D">
        <w:rPr>
          <w:rStyle w:val="StyleUnderline"/>
        </w:rPr>
        <w:t>programmes</w:t>
      </w:r>
      <w:proofErr w:type="spellEnd"/>
      <w:r w:rsidRPr="0014177D">
        <w:rPr>
          <w:rStyle w:val="StyleUnderline"/>
        </w:rPr>
        <w:t xml:space="preserve">”, taken with Article 10 of the same Convention, which defines “organization” within the meaning of the Convention as any organization “for furthering and defending the interests of workers or of employers”.85 </w:t>
      </w:r>
      <w:r w:rsidRPr="00871571">
        <w:rPr>
          <w:rStyle w:val="StyleUnderline"/>
          <w:highlight w:val="green"/>
        </w:rPr>
        <w:t>In</w:t>
      </w:r>
      <w:r w:rsidRPr="0014177D">
        <w:rPr>
          <w:rStyle w:val="StyleUnderline"/>
        </w:rPr>
        <w:t xml:space="preserve"> addition to these general findings, every year the experts look into numerous individual </w:t>
      </w:r>
      <w:r w:rsidRPr="00871571">
        <w:rPr>
          <w:rStyle w:val="StyleUnderline"/>
          <w:highlight w:val="green"/>
        </w:rPr>
        <w:t xml:space="preserve">cases involving specific </w:t>
      </w:r>
      <w:r w:rsidRPr="0014177D">
        <w:rPr>
          <w:rStyle w:val="StyleUnderline"/>
        </w:rPr>
        <w:t xml:space="preserve">national </w:t>
      </w:r>
      <w:r w:rsidRPr="00871571">
        <w:rPr>
          <w:rStyle w:val="StyleUnderline"/>
          <w:highlight w:val="green"/>
        </w:rPr>
        <w:t xml:space="preserve">provisions governing strikes </w:t>
      </w:r>
      <w:r w:rsidRPr="0014177D">
        <w:rPr>
          <w:rStyle w:val="StyleUnderline"/>
        </w:rPr>
        <w:t xml:space="preserve">in some way </w:t>
      </w:r>
      <w:r w:rsidRPr="00871571">
        <w:rPr>
          <w:rStyle w:val="StyleUnderline"/>
          <w:highlight w:val="green"/>
        </w:rPr>
        <w:t xml:space="preserve">and </w:t>
      </w:r>
      <w:r w:rsidRPr="0014177D">
        <w:rPr>
          <w:rStyle w:val="StyleUnderline"/>
        </w:rPr>
        <w:t xml:space="preserve">thus </w:t>
      </w:r>
      <w:r w:rsidRPr="00871571">
        <w:rPr>
          <w:rStyle w:val="StyleUnderline"/>
          <w:highlight w:val="green"/>
        </w:rPr>
        <w:t xml:space="preserve">limiting them </w:t>
      </w:r>
      <w:r w:rsidRPr="0014177D">
        <w:rPr>
          <w:rStyle w:val="StyleUnderline"/>
        </w:rPr>
        <w:t xml:space="preserve">to some extent. The Committee of Experts also considers </w:t>
      </w:r>
      <w:proofErr w:type="gramStart"/>
      <w:r w:rsidRPr="0014177D">
        <w:rPr>
          <w:rStyle w:val="StyleUnderline"/>
        </w:rPr>
        <w:t>a large number of</w:t>
      </w:r>
      <w:proofErr w:type="gramEnd"/>
      <w:r w:rsidRPr="0014177D">
        <w:rPr>
          <w:rStyle w:val="StyleUnderline"/>
        </w:rPr>
        <w:t xml:space="preserve"> real situations or actual events which regularly lead to de facto restrictions on strikes in certain circumstances. In approximately </w:t>
      </w:r>
      <w:r w:rsidRPr="008A48E5">
        <w:rPr>
          <w:rStyle w:val="Emphasis"/>
          <w:highlight w:val="green"/>
        </w:rPr>
        <w:t>90 to 98 per cent of</w:t>
      </w:r>
      <w:r w:rsidRPr="0014177D">
        <w:rPr>
          <w:rStyle w:val="StyleUnderline"/>
        </w:rPr>
        <w:t xml:space="preserve"> all these cases the experts conclude that </w:t>
      </w:r>
      <w:r w:rsidRPr="008A48E5">
        <w:rPr>
          <w:rStyle w:val="Emphasis"/>
          <w:highlight w:val="green"/>
        </w:rPr>
        <w:t>the restrictions on the right to</w:t>
      </w:r>
      <w:r w:rsidRPr="00871571">
        <w:rPr>
          <w:rStyle w:val="StyleUnderline"/>
          <w:highlight w:val="green"/>
        </w:rPr>
        <w:t xml:space="preserve"> </w:t>
      </w:r>
      <w:r w:rsidRPr="008A48E5">
        <w:rPr>
          <w:rStyle w:val="Emphasis"/>
          <w:highlight w:val="green"/>
        </w:rPr>
        <w:t>strike</w:t>
      </w:r>
      <w:r w:rsidRPr="0014177D">
        <w:rPr>
          <w:rStyle w:val="StyleUnderline"/>
        </w:rPr>
        <w:t xml:space="preserve">, be they de facto or de jure, </w:t>
      </w:r>
      <w:r w:rsidRPr="00871571">
        <w:rPr>
          <w:rStyle w:val="Emphasis"/>
          <w:highlight w:val="green"/>
        </w:rPr>
        <w:t xml:space="preserve">are not compatible with Convention </w:t>
      </w:r>
      <w:r w:rsidRPr="0014177D">
        <w:rPr>
          <w:rStyle w:val="Emphasis"/>
        </w:rPr>
        <w:t xml:space="preserve">No. </w:t>
      </w:r>
      <w:r w:rsidRPr="00871571">
        <w:rPr>
          <w:rStyle w:val="Emphasis"/>
          <w:highlight w:val="green"/>
        </w:rPr>
        <w:t>87</w:t>
      </w:r>
      <w:r w:rsidRPr="0014177D">
        <w:rPr>
          <w:rStyle w:val="StyleUnderline"/>
        </w:rPr>
        <w:t xml:space="preserve">. </w:t>
      </w:r>
      <w:proofErr w:type="gramStart"/>
      <w:r w:rsidRPr="0014177D">
        <w:rPr>
          <w:rStyle w:val="StyleUnderline"/>
        </w:rPr>
        <w:t>Thus</w:t>
      </w:r>
      <w:proofErr w:type="gramEnd"/>
      <w:r w:rsidRPr="0014177D">
        <w:rPr>
          <w:rStyle w:val="StyleUnderline"/>
        </w:rPr>
        <w:t xml:space="preserve"> they have formulated a comprehensive corpus of minutely detailed strike law </w:t>
      </w:r>
      <w:r w:rsidRPr="00871571">
        <w:rPr>
          <w:rStyle w:val="StyleUnderline"/>
          <w:highlight w:val="green"/>
        </w:rPr>
        <w:t>which amounts to a far-reaching, unrestricted freedom to strike</w:t>
      </w:r>
      <w:r w:rsidRPr="0014177D">
        <w:rPr>
          <w:rStyle w:val="StyleUnderline"/>
        </w:rPr>
        <w:t xml:space="preserve">.86 The </w:t>
      </w:r>
      <w:r w:rsidRPr="00871571">
        <w:rPr>
          <w:rStyle w:val="StyleUnderline"/>
          <w:highlight w:val="green"/>
        </w:rPr>
        <w:t xml:space="preserve">occasional, theoretical restrictions are </w:t>
      </w:r>
      <w:r w:rsidRPr="0014177D">
        <w:rPr>
          <w:rStyle w:val="StyleUnderline"/>
        </w:rPr>
        <w:t xml:space="preserve">regarded as being </w:t>
      </w:r>
      <w:r w:rsidRPr="00871571">
        <w:rPr>
          <w:rStyle w:val="StyleUnderline"/>
          <w:highlight w:val="green"/>
        </w:rPr>
        <w:t>hardly ever applicable to the actual situations reviewed</w:t>
      </w:r>
      <w:r w:rsidRPr="0013071F">
        <w:rPr>
          <w:rStyle w:val="StyleUnderline"/>
        </w:rPr>
        <w:t xml:space="preserve">. </w:t>
      </w:r>
      <w:r w:rsidRPr="008A48E5">
        <w:rPr>
          <w:sz w:val="8"/>
          <w:szCs w:val="8"/>
        </w:rPr>
        <w:t xml:space="preserve">The right to strike cannot, however, be adduced from Convention No. 87, especially if one adheres, even if only loosely, to the principles of interpretation of international law according to the Vienna Convention on the Law of Treaties, which is authoritative here.87 As the experts admit, the wording of Convention No. 87, the preamble of the ILO Constitution and the Declaration of Philadelphia do not refer to strikes. Neither wording, nor any other instrument within the meaning of Article 31, paragraphs 1 and </w:t>
      </w:r>
      <w:proofErr w:type="gramStart"/>
      <w:r w:rsidRPr="008A48E5">
        <w:rPr>
          <w:sz w:val="8"/>
          <w:szCs w:val="8"/>
        </w:rPr>
        <w:t>2,</w:t>
      </w:r>
      <w:proofErr w:type="gramEnd"/>
      <w:r w:rsidRPr="008A48E5">
        <w:rPr>
          <w:sz w:val="8"/>
          <w:szCs w:val="8"/>
        </w:rPr>
        <w:t xml:space="preserve"> of the Vienna Convention on the Law of Treaties can be said to aim at such an understanding between the parties to Convention No. 87. Similarly, there is no subsequent practice in the application of that Convention which establishes the agreement of the contracting Parties to interpret its provisions as enshrining the right to strike (Article 31, paragraph 3, of the Vienna Convention on the Law of Treaties). For decades, the experts’ reports substantiated the argument that there is no such agreement among member States. </w:t>
      </w:r>
      <w:proofErr w:type="gramStart"/>
      <w:r w:rsidRPr="008A48E5">
        <w:rPr>
          <w:sz w:val="8"/>
          <w:szCs w:val="8"/>
        </w:rPr>
        <w:t>Nevertheless</w:t>
      </w:r>
      <w:proofErr w:type="gramEnd"/>
      <w:r w:rsidRPr="008A48E5">
        <w:rPr>
          <w:sz w:val="8"/>
          <w:szCs w:val="8"/>
        </w:rPr>
        <w:t xml:space="preserve"> questions connected with freedom of association do occupy an inordinate amount of the whole report, with strikes figuring prominently among these questions. The actual situations forming the basis of this part of the report clearly show that there is scarcely any other area of </w:t>
      </w:r>
      <w:proofErr w:type="spellStart"/>
      <w:r w:rsidRPr="008A48E5">
        <w:rPr>
          <w:sz w:val="8"/>
          <w:szCs w:val="8"/>
        </w:rPr>
        <w:t>labour</w:t>
      </w:r>
      <w:proofErr w:type="spellEnd"/>
      <w:r w:rsidRPr="008A48E5">
        <w:rPr>
          <w:sz w:val="8"/>
          <w:szCs w:val="8"/>
        </w:rPr>
        <w:t xml:space="preserve"> and social policy where a wider range of rules and practices is in evidence in member States than the law on industrial action.88 The ideal type fitting the experts’ detailed notions is probably not reflected in any of the rules on industrial action, or in practice. In these circumstances, we cannot assume that a customary right has developed for a particular concept of the right to strike. 89 Interpretation according to Article 31 of the Vienna Convention on the Law of Treaties therefore leads to the conclusion that strikes are not regulated in Convention No. 87. This conclusion is impressively confirmed if, in keeping with Article 32 of the Vienna Convention, we also look at the preparatory work of the treaty and the circumstances of its conclusion. The experts rightly point out in their most recent General Survey on this topic (mentioned above) that the right to strike</w:t>
      </w:r>
      <w:r w:rsidRPr="004A1182">
        <w:rPr>
          <w:sz w:val="8"/>
        </w:rPr>
        <w:t xml:space="preserve"> was referred to several times in the preparatory work, but no explicit proposal on that subject was put forward during the debates in Conferences.90 The experts’ comments on the genesis of the Convention are, to put it mildly, incomplete, for the Office’s preparatory report on the planned Convention on freedom of association expressly excluded regulation of the right to strike after </w:t>
      </w:r>
      <w:proofErr w:type="spellStart"/>
      <w:r w:rsidRPr="004A1182">
        <w:rPr>
          <w:sz w:val="8"/>
        </w:rPr>
        <w:t>analysing</w:t>
      </w:r>
      <w:proofErr w:type="spellEnd"/>
      <w:r w:rsidRPr="004A1182">
        <w:rPr>
          <w:sz w:val="8"/>
        </w:rPr>
        <w:t xml:space="preserve"> governments’ answers. “Several Governments, while giving their approval to the formula, have nevertheless </w:t>
      </w:r>
      <w:proofErr w:type="spellStart"/>
      <w:r w:rsidRPr="004A1182">
        <w:rPr>
          <w:sz w:val="8"/>
        </w:rPr>
        <w:t>emphasised</w:t>
      </w:r>
      <w:proofErr w:type="spellEnd"/>
      <w:r w:rsidRPr="004A1182">
        <w:rPr>
          <w:sz w:val="8"/>
        </w:rPr>
        <w:t xml:space="preserve">, justifiably it would appear, that the proposed Convention relates only to the freedom of association and not to the right to strike, a question which will be considered in connection with item VIII (conciliation and arbitration) on the agenda of the Conference. In these circumstances, it has appeared to the Office to be preferable not to include a provision on this point in the proposed Convention concerning freedom of association.”91 This was again confirmed during debates in the plenary. “The Chairman stated that the Convention was not intended to be a ‘code of regulations’ for the right to </w:t>
      </w:r>
      <w:proofErr w:type="spellStart"/>
      <w:r w:rsidRPr="004A1182">
        <w:rPr>
          <w:sz w:val="8"/>
        </w:rPr>
        <w:t>organise</w:t>
      </w:r>
      <w:proofErr w:type="spellEnd"/>
      <w:r w:rsidRPr="004A1182">
        <w:rPr>
          <w:sz w:val="8"/>
        </w:rPr>
        <w:t xml:space="preserve">, but rather a concise statement of certain fundamental principles.”92 When the Right to </w:t>
      </w:r>
      <w:proofErr w:type="spellStart"/>
      <w:r w:rsidRPr="004A1182">
        <w:rPr>
          <w:sz w:val="8"/>
        </w:rPr>
        <w:t>Organise</w:t>
      </w:r>
      <w:proofErr w:type="spellEnd"/>
      <w:r w:rsidRPr="004A1182">
        <w:rPr>
          <w:sz w:val="8"/>
        </w:rPr>
        <w:t xml:space="preserve"> and Collective Bargaining Convention, 1949 (No. 98), was adopted the following year, this subject was again examined </w:t>
      </w:r>
      <w:proofErr w:type="spellStart"/>
      <w:r w:rsidRPr="004A1182">
        <w:rPr>
          <w:sz w:val="8"/>
        </w:rPr>
        <w:t>expressis</w:t>
      </w:r>
      <w:proofErr w:type="spellEnd"/>
      <w:r w:rsidRPr="004A1182">
        <w:rPr>
          <w:sz w:val="8"/>
        </w:rPr>
        <w:t xml:space="preserve"> </w:t>
      </w:r>
      <w:proofErr w:type="spellStart"/>
      <w:r w:rsidRPr="004A1182">
        <w:rPr>
          <w:sz w:val="8"/>
        </w:rPr>
        <w:t>verbis</w:t>
      </w:r>
      <w:proofErr w:type="spellEnd"/>
      <w:r w:rsidRPr="004A1182">
        <w:rPr>
          <w:sz w:val="8"/>
        </w:rPr>
        <w:t xml:space="preserve">. </w:t>
      </w:r>
      <w:proofErr w:type="gramStart"/>
      <w:r w:rsidRPr="004A1182">
        <w:rPr>
          <w:sz w:val="8"/>
        </w:rPr>
        <w:t>In the course of</w:t>
      </w:r>
      <w:proofErr w:type="gramEnd"/>
      <w:r w:rsidRPr="004A1182">
        <w:rPr>
          <w:sz w:val="8"/>
        </w:rPr>
        <w:t xml:space="preserve"> the subsequent discussions, two Workers’ delegates and one Government delegate vainly tabled proposals to have the right to strike guaranteed in the Convention. Both proposals were rejected. The record of proceedings noted: “The Chairman ruled that this amendment was not receivable, on the ground that the question of the right to strike was not covered by the proposed text, and that its consideration should therefore be deferred until the Conference took up item V of its agenda relating, inter alia, to the question of conciliation and arbitration.”93 As we know, paragraph 4 of the Voluntary Conciliation and Arbitration Recommendation, 1951 (No. 92), refers to strikes and lockouts in neutral language and does not attempt to regulate them. Lastly, the experts made a very vague allusion to the fact that strikes are mentioned in other international instruments.94 In this respect, the Universal Declaration of Human Rights of 1948 is not relevant, although it sets out many fundamental rights in general terms, but they are recommendations and compliance with them is not obligatory.95 Article 22, paragraph 1, of the International Covenant on Civil and Political Rights96 and Article 8, paragraph 1(d), of the International Covenant on Economic, Social and Cultural Rights97 are more apposite. For several years, the texts of the two Covenants formed the subject of negotiations aimed at drafting a single United Nations Human Rights Covenant. A motion to introduce a right to strike alongside freedom of association was rejected. After the text was split into the two above-mentioned Covenants, Article 8 was given the wording quoted in footnote 94. On the whole, these rules have less binding force and the monitoring machinery is weaker than those of ILO Conventions.98 The United Nations Human Rights Committee, in its decision of 18 July 1986,99 which expressly relied on the interpretation rules of the Vienna Convention on the Law of Treaties, concluded that the right of freedom of association embodied in Article 22 did not necessarily imply the right to strike and the authors of the Covenant did not have the intention of guaranteeing the right to strike. A comparative analysis of Article 8, paragraph 1(d), confirmed that the right to strike could not be regarded as an implicit element of the right to form and join trade unions. The right to strike under Article 8, paragraph 1, was clearly and expressly subordinated to the law of the country.100 In these proceedings before the United Nations Human Rights Committee, the complainants had asserted that ILO organs had arrived at the conclusion that, in the light of ILO Conventions, the right of freedom of association necessarily presupposed the right to strike. The United Nations Human Rights Committee replied that every international treaty had a life of its own and must be interpreted by the body entrusted with the monitoring of its provisions. In addition to these clearly accurate observations, the Committee stated that “it has no qualms about accepting as correct and just the interpretation of those treaties by the organs concerned”.101 Coming after the correct allusions of the United Nations Human Rights Committee to the separate lives of international treaties and to the fact that they must be interpreted by the competent body, this remark about ILO standards can only be described as an amiable diplomatic statement without any binding force. It was an obiter dictum of a committee which was, by its own avowal, not competent to deal with the matter.102 </w:t>
      </w:r>
      <w:r w:rsidRPr="004A1182">
        <w:rPr>
          <w:rStyle w:val="StyleUnderline"/>
        </w:rPr>
        <w:t xml:space="preserve">This is all the </w:t>
      </w:r>
      <w:proofErr w:type="gramStart"/>
      <w:r w:rsidRPr="004A1182">
        <w:rPr>
          <w:rStyle w:val="StyleUnderline"/>
        </w:rPr>
        <w:t>more true</w:t>
      </w:r>
      <w:proofErr w:type="gramEnd"/>
      <w:r w:rsidRPr="004A1182">
        <w:rPr>
          <w:rStyle w:val="StyleUnderline"/>
        </w:rPr>
        <w:t xml:space="preserve"> given that, according to article 37 of the ILO Constitution, </w:t>
      </w:r>
      <w:r w:rsidRPr="00871571">
        <w:rPr>
          <w:rStyle w:val="StyleUnderline"/>
          <w:highlight w:val="green"/>
        </w:rPr>
        <w:t>the ICJ can alone give binding interpretations of ILO standards</w:t>
      </w:r>
      <w:r w:rsidRPr="004A1182">
        <w:rPr>
          <w:sz w:val="8"/>
        </w:rPr>
        <w:t>.</w:t>
      </w:r>
    </w:p>
    <w:p w14:paraId="466EF9F7" w14:textId="77777777" w:rsidR="00D97F1B" w:rsidRDefault="00D97F1B" w:rsidP="00D97F1B">
      <w:pPr>
        <w:pStyle w:val="Heading4"/>
      </w:pPr>
      <w:r>
        <w:t>That competes –</w:t>
      </w:r>
    </w:p>
    <w:p w14:paraId="2A785B30" w14:textId="77777777" w:rsidR="00D97F1B" w:rsidRDefault="00D97F1B" w:rsidP="00D97F1B">
      <w:pPr>
        <w:pStyle w:val="Heading4"/>
        <w:numPr>
          <w:ilvl w:val="0"/>
          <w:numId w:val="11"/>
        </w:numPr>
        <w:tabs>
          <w:tab w:val="num" w:pos="360"/>
        </w:tabs>
        <w:ind w:left="0" w:firstLine="0"/>
      </w:pPr>
      <w:r>
        <w:t>Perm do both is not defended in the lit – ctrl-F their cards, they talk about general instances not just the U.S. acting alone</w:t>
      </w:r>
    </w:p>
    <w:p w14:paraId="664F0DD6" w14:textId="77777777" w:rsidR="00D97F1B" w:rsidRDefault="00D97F1B" w:rsidP="00D97F1B">
      <w:pPr>
        <w:pStyle w:val="Heading4"/>
        <w:numPr>
          <w:ilvl w:val="0"/>
          <w:numId w:val="11"/>
        </w:numPr>
        <w:tabs>
          <w:tab w:val="num" w:pos="360"/>
        </w:tabs>
        <w:ind w:left="0" w:firstLine="0"/>
      </w:pPr>
      <w:r>
        <w:t xml:space="preserve">Perm do the CP or some version of “it includes the U.S.” is severance which means you’d have to justify why you get to kick your advocacy and also not immediately lose the debate since – it’s a voting issue otherwise forces total restart and makes debating the AFF pointless which is a prerequisite that controls the internal link to their standards and voters </w:t>
      </w:r>
      <w:proofErr w:type="gramStart"/>
      <w:r>
        <w:t>e.g.</w:t>
      </w:r>
      <w:proofErr w:type="gramEnd"/>
      <w:r>
        <w:t xml:space="preserve"> clash, education, etc.</w:t>
      </w:r>
    </w:p>
    <w:p w14:paraId="01D2BCF0" w14:textId="77777777" w:rsidR="00D97F1B" w:rsidRPr="00EC5220" w:rsidRDefault="00D97F1B" w:rsidP="00D97F1B">
      <w:pPr>
        <w:pStyle w:val="Heading4"/>
        <w:numPr>
          <w:ilvl w:val="0"/>
          <w:numId w:val="11"/>
        </w:numPr>
        <w:tabs>
          <w:tab w:val="num" w:pos="360"/>
        </w:tabs>
        <w:ind w:left="0" w:firstLine="0"/>
      </w:pPr>
      <w:r>
        <w:t xml:space="preserve">CX checks and is binding. </w:t>
      </w:r>
      <w:proofErr w:type="gramStart"/>
      <w:r>
        <w:t>Cross</w:t>
      </w:r>
      <w:proofErr w:type="gramEnd"/>
      <w:r>
        <w:t xml:space="preserve"> apply the IV above.</w:t>
      </w:r>
    </w:p>
    <w:p w14:paraId="0CA6EFC6" w14:textId="77777777" w:rsidR="00D97F1B" w:rsidRDefault="00D97F1B" w:rsidP="00D97F1B">
      <w:pPr>
        <w:pStyle w:val="Heading4"/>
      </w:pPr>
      <w:r>
        <w:t xml:space="preserve">Adhering to ILO 87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 xml:space="preserve"> by acting unilaterally.</w:t>
      </w:r>
    </w:p>
    <w:p w14:paraId="7B493554" w14:textId="77777777" w:rsidR="00D97F1B" w:rsidRDefault="00D97F1B" w:rsidP="00D97F1B">
      <w:proofErr w:type="spellStart"/>
      <w:r w:rsidRPr="00EA3C09">
        <w:rPr>
          <w:rStyle w:val="Style13ptBold"/>
        </w:rPr>
        <w:t>Brudney</w:t>
      </w:r>
      <w:proofErr w:type="spellEnd"/>
      <w:r w:rsidRPr="00EA3C09">
        <w:rPr>
          <w:rStyle w:val="Style13ptBold"/>
        </w:rPr>
        <w:t xml:space="preserve"> </w:t>
      </w:r>
      <w:r>
        <w:rPr>
          <w:rStyle w:val="Style13ptBold"/>
        </w:rPr>
        <w:t>21</w:t>
      </w:r>
      <w:r>
        <w:t xml:space="preserve"> </w:t>
      </w:r>
    </w:p>
    <w:p w14:paraId="428FC367" w14:textId="77777777" w:rsidR="00D97F1B" w:rsidRPr="003600B6" w:rsidRDefault="00D97F1B" w:rsidP="00D97F1B">
      <w:pPr>
        <w:rPr>
          <w:sz w:val="12"/>
          <w:szCs w:val="12"/>
        </w:rPr>
      </w:pPr>
      <w:r w:rsidRPr="003600B6">
        <w:rPr>
          <w:sz w:val="12"/>
          <w:szCs w:val="12"/>
        </w:rPr>
        <w:t xml:space="preserve">[James; 2/8/21; Joseph Crowley Chair in Labor and Employment Law, Fordham Law School; “The Right to Strike as Customary International Law,” THE YALE JOURNAL OF INTERNATIONAL LAW, Vol 46, </w:t>
      </w:r>
      <w:hyperlink r:id="rId12" w:history="1">
        <w:r w:rsidRPr="003600B6">
          <w:rPr>
            <w:rStyle w:val="Hyperlink"/>
            <w:sz w:val="12"/>
            <w:szCs w:val="12"/>
          </w:rPr>
          <w:t>https://digitalcommons.law.yale.edu/cgi/viewcontent.cgi?article=1710&amp;context=yjil</w:t>
        </w:r>
      </w:hyperlink>
      <w:r w:rsidRPr="003600B6">
        <w:rPr>
          <w:sz w:val="12"/>
          <w:szCs w:val="12"/>
        </w:rPr>
        <w:t>] Justin ** Brackets in original -recut CAT</w:t>
      </w:r>
    </w:p>
    <w:p w14:paraId="204826B4" w14:textId="77777777" w:rsidR="00D97F1B" w:rsidRDefault="00D97F1B" w:rsidP="00D97F1B">
      <w:r>
        <w:t>* FOA = freedom of association</w:t>
      </w:r>
    </w:p>
    <w:p w14:paraId="0B018A88" w14:textId="77777777" w:rsidR="00D97F1B" w:rsidRDefault="00D97F1B" w:rsidP="00D97F1B">
      <w:r>
        <w:t>* CIL = customary international law</w:t>
      </w:r>
    </w:p>
    <w:p w14:paraId="552C2D4A" w14:textId="77777777" w:rsidR="00D97F1B" w:rsidRPr="00D73EB5" w:rsidRDefault="00D97F1B" w:rsidP="00D97F1B">
      <w:pPr>
        <w:rPr>
          <w:sz w:val="10"/>
        </w:rPr>
      </w:pPr>
      <w:r w:rsidRPr="005B3BF4">
        <w:rPr>
          <w:sz w:val="10"/>
        </w:rPr>
        <w:t xml:space="preserve">C. FOA and the Right to Strike as </w:t>
      </w:r>
      <w:proofErr w:type="spellStart"/>
      <w:r w:rsidRPr="005B3BF4">
        <w:rPr>
          <w:sz w:val="10"/>
        </w:rPr>
        <w:t>Opinio</w:t>
      </w:r>
      <w:proofErr w:type="spellEnd"/>
      <w:r w:rsidRPr="005B3BF4">
        <w:rPr>
          <w:sz w:val="10"/>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5B3BF4">
        <w:rPr>
          <w:sz w:val="10"/>
        </w:rPr>
        <w:t>opinio</w:t>
      </w:r>
      <w:proofErr w:type="spellEnd"/>
      <w:r w:rsidRPr="005B3BF4">
        <w:rPr>
          <w:sz w:val="10"/>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w:t>
      </w:r>
      <w:r w:rsidRPr="005B3BF4">
        <w:rPr>
          <w:rStyle w:val="StyleUnderline"/>
        </w:rPr>
        <w:t xml:space="preserve">Further, it is possible that even with respect to ILO conventions, </w:t>
      </w:r>
      <w:r w:rsidRPr="00871571">
        <w:rPr>
          <w:rStyle w:val="StyleUnderline"/>
          <w:highlight w:val="green"/>
        </w:rPr>
        <w:t xml:space="preserve">widespread ratification </w:t>
      </w:r>
      <w:r w:rsidRPr="005B3BF4">
        <w:rPr>
          <w:rStyle w:val="StyleUnderline"/>
        </w:rPr>
        <w:t>is in part a function of acculturation, insofar as endorse</w:t>
      </w:r>
      <w:r w:rsidRPr="005B3BF4">
        <w:rPr>
          <w:rStyle w:val="Emphasis"/>
        </w:rPr>
        <w:t>ments</w:t>
      </w:r>
      <w:r w:rsidRPr="005B3BF4">
        <w:rPr>
          <w:u w:val="single"/>
        </w:rPr>
        <w:t xml:space="preserve"> across</w:t>
      </w:r>
      <w:r w:rsidRPr="00C855A4">
        <w:rPr>
          <w:u w:val="single"/>
        </w:rPr>
        <w:t xml:space="preserve"> a region </w:t>
      </w:r>
      <w:r w:rsidRPr="005B3BF4">
        <w:rPr>
          <w:u w:val="single"/>
        </w:rPr>
        <w:t xml:space="preserve">contribute to </w:t>
      </w:r>
      <w:r w:rsidRPr="00871571">
        <w:rPr>
          <w:rStyle w:val="Emphasis"/>
          <w:highlight w:val="green"/>
        </w:rPr>
        <w:t>socialized acceptance of</w:t>
      </w:r>
      <w:r w:rsidRPr="00C855A4">
        <w:rPr>
          <w:rStyle w:val="Emphasis"/>
        </w:rPr>
        <w:t xml:space="preserve"> norms on </w:t>
      </w:r>
      <w:r w:rsidRPr="00871571">
        <w:rPr>
          <w:rStyle w:val="Emphasis"/>
          <w:highlight w:val="green"/>
        </w:rPr>
        <w:t>FOA</w:t>
      </w:r>
      <w:r w:rsidRPr="00871571">
        <w:rPr>
          <w:rStyle w:val="StyleUnderline"/>
          <w:highlight w:val="green"/>
        </w:rPr>
        <w:t xml:space="preserve">, </w:t>
      </w:r>
      <w:r w:rsidRPr="00871571">
        <w:rPr>
          <w:highlight w:val="green"/>
          <w:u w:val="single"/>
        </w:rPr>
        <w:t>reassuring</w:t>
      </w:r>
      <w:r w:rsidRPr="00C855A4">
        <w:rPr>
          <w:u w:val="single"/>
        </w:rPr>
        <w:t xml:space="preserve"> </w:t>
      </w:r>
      <w:r w:rsidRPr="00C855A4">
        <w:rPr>
          <w:rStyle w:val="Emphasis"/>
        </w:rPr>
        <w:t xml:space="preserve">peer </w:t>
      </w:r>
      <w:r w:rsidRPr="00871571">
        <w:rPr>
          <w:rStyle w:val="Emphasis"/>
          <w:highlight w:val="green"/>
        </w:rPr>
        <w:t>countries that protecting</w:t>
      </w:r>
      <w:r w:rsidRPr="00C855A4">
        <w:rPr>
          <w:u w:val="single"/>
        </w:rPr>
        <w:t xml:space="preserve"> rights to association including </w:t>
      </w:r>
      <w:r w:rsidRPr="00871571">
        <w:rPr>
          <w:highlight w:val="green"/>
          <w:u w:val="single"/>
        </w:rPr>
        <w:t>the right to strike will not place them in</w:t>
      </w:r>
      <w:r w:rsidRPr="00C855A4">
        <w:rPr>
          <w:u w:val="single"/>
        </w:rPr>
        <w:t xml:space="preserve"> </w:t>
      </w:r>
      <w:r w:rsidRPr="00871571">
        <w:rPr>
          <w:highlight w:val="green"/>
          <w:u w:val="single"/>
        </w:rPr>
        <w:t>an</w:t>
      </w:r>
      <w:r w:rsidRPr="00C855A4">
        <w:rPr>
          <w:u w:val="single"/>
        </w:rPr>
        <w:t xml:space="preserve"> </w:t>
      </w:r>
      <w:r w:rsidRPr="00871571">
        <w:rPr>
          <w:rStyle w:val="Emphasis"/>
          <w:highlight w:val="green"/>
        </w:rPr>
        <w:t>inferior</w:t>
      </w:r>
      <w:r w:rsidRPr="00C855A4">
        <w:rPr>
          <w:rStyle w:val="Emphasis"/>
        </w:rPr>
        <w:t xml:space="preserve"> competitive </w:t>
      </w:r>
      <w:r w:rsidRPr="00871571">
        <w:rPr>
          <w:rStyle w:val="Emphasis"/>
          <w:highlight w:val="green"/>
        </w:rPr>
        <w:t>position</w:t>
      </w:r>
      <w:r w:rsidRPr="005B3BF4">
        <w:rPr>
          <w:rStyle w:val="StyleUnderline"/>
        </w:rPr>
        <w:t>. 151 That said, the ICJ often does infer th</w:t>
      </w:r>
      <w:r w:rsidRPr="005B3BF4">
        <w:rPr>
          <w:u w:val="single"/>
        </w:rPr>
        <w:t xml:space="preserve">e existence of </w:t>
      </w:r>
      <w:proofErr w:type="spellStart"/>
      <w:r w:rsidRPr="005B3BF4">
        <w:rPr>
          <w:rStyle w:val="Emphasis"/>
          <w:i/>
          <w:iCs w:val="0"/>
        </w:rPr>
        <w:t>opinio</w:t>
      </w:r>
      <w:proofErr w:type="spellEnd"/>
      <w:r w:rsidRPr="005B3BF4">
        <w:rPr>
          <w:rStyle w:val="Emphasis"/>
          <w:i/>
          <w:iCs w:val="0"/>
        </w:rPr>
        <w:t xml:space="preserve"> juris</w:t>
      </w:r>
      <w:r w:rsidRPr="005B3BF4">
        <w:rPr>
          <w:rStyle w:val="Emphasis"/>
        </w:rPr>
        <w:t xml:space="preserve"> from a general practice</w:t>
      </w:r>
      <w:r w:rsidRPr="005B3BF4">
        <w:rPr>
          <w:u w:val="single"/>
        </w:rPr>
        <w:t xml:space="preserve"> and/or from determinations by </w:t>
      </w:r>
      <w:r w:rsidRPr="005B3BF4">
        <w:rPr>
          <w:rStyle w:val="Emphasis"/>
        </w:rPr>
        <w:t>national or international tribunals</w:t>
      </w:r>
      <w:r w:rsidRPr="005B3BF4">
        <w:rPr>
          <w:sz w:val="10"/>
        </w:rPr>
        <w:t xml:space="preserve">.152 And there are ample reasons to draw such an inference here. </w:t>
      </w:r>
      <w:r w:rsidRPr="005B3BF4">
        <w:rPr>
          <w:rStyle w:val="StyleUnderline"/>
        </w:rPr>
        <w:t xml:space="preserve">To start, </w:t>
      </w:r>
      <w:r w:rsidRPr="00871571">
        <w:rPr>
          <w:rStyle w:val="StyleUnderline"/>
          <w:highlight w:val="green"/>
        </w:rPr>
        <w:t>FOA is</w:t>
      </w:r>
      <w:r w:rsidRPr="005B3BF4">
        <w:rPr>
          <w:rStyle w:val="StyleUnderline"/>
        </w:rPr>
        <w:t xml:space="preserve"> consciously </w:t>
      </w:r>
      <w:r w:rsidRPr="00871571">
        <w:rPr>
          <w:rStyle w:val="StyleUnderline"/>
          <w:highlight w:val="green"/>
        </w:rPr>
        <w:t>accepted as an obligation</w:t>
      </w:r>
      <w:r w:rsidRPr="005B3BF4">
        <w:rPr>
          <w:rStyle w:val="StyleUnderline"/>
        </w:rPr>
        <w:t xml:space="preserve"> by ILO member states not simply through ratification of Convention 87 (covering more than 80 percent of them) but by virtue of membership itself. </w:t>
      </w:r>
      <w:r w:rsidRPr="00871571">
        <w:rPr>
          <w:rStyle w:val="StyleUnderline"/>
          <w:highlight w:val="green"/>
        </w:rPr>
        <w:t>The</w:t>
      </w:r>
      <w:r w:rsidRPr="005B3BF4">
        <w:rPr>
          <w:rStyle w:val="StyleUnderline"/>
        </w:rPr>
        <w:t xml:space="preserve"> </w:t>
      </w:r>
      <w:r w:rsidRPr="00871571">
        <w:rPr>
          <w:rStyle w:val="StyleUnderline"/>
          <w:highlight w:val="green"/>
        </w:rPr>
        <w:t>ILO Constitution expressly requires support</w:t>
      </w:r>
      <w:r w:rsidRPr="005B3BF4">
        <w:rPr>
          <w:rStyle w:val="StyleUnderline"/>
        </w:rPr>
        <w:t xml:space="preserve"> for FOA principles, and these principles are further imbedded through a tripartite governance structure that allocates power-sharing roles to worker organizations alongside governments and employers. 153 Thus, ILO members understand there is an underlying obligation to respect FOA in law and practice</w:t>
      </w:r>
      <w:r w:rsidRPr="005B3BF4">
        <w:rPr>
          <w:sz w:val="10"/>
        </w:rPr>
        <w:t xml:space="preserve">.154 A second reason is that domestic law can provide relevant evidence regarding the presence of </w:t>
      </w:r>
      <w:proofErr w:type="spellStart"/>
      <w:r w:rsidRPr="005B3BF4">
        <w:rPr>
          <w:sz w:val="10"/>
        </w:rPr>
        <w:t>opinio</w:t>
      </w:r>
      <w:proofErr w:type="spellEnd"/>
      <w:r w:rsidRPr="005B3BF4">
        <w:rPr>
          <w:sz w:val="10"/>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5B3BF4">
        <w:rPr>
          <w:sz w:val="10"/>
        </w:rPr>
        <w:t>opinio</w:t>
      </w:r>
      <w:proofErr w:type="spellEnd"/>
      <w:r w:rsidRPr="005B3BF4">
        <w:rPr>
          <w:sz w:val="10"/>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5B3BF4">
        <w:rPr>
          <w:sz w:val="10"/>
        </w:rPr>
        <w:t>opinio</w:t>
      </w:r>
      <w:proofErr w:type="spellEnd"/>
      <w:r w:rsidRPr="005B3BF4">
        <w:rPr>
          <w:sz w:val="10"/>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5B3BF4">
        <w:rPr>
          <w:sz w:val="10"/>
        </w:rPr>
        <w:t>particular relevance</w:t>
      </w:r>
      <w:proofErr w:type="gramEnd"/>
      <w:r w:rsidRPr="005B3BF4">
        <w:rPr>
          <w:sz w:val="10"/>
        </w:rPr>
        <w:t xml:space="preserve"> to the U.S. setting, these expansions have included assuring the right to strike for public sector employees and prohibiting the hiring of replacements for strikers. 165</w:t>
      </w:r>
      <w:r w:rsidRPr="005B3BF4">
        <w:rPr>
          <w:rStyle w:val="StyleUnderline"/>
        </w:rPr>
        <w:t xml:space="preserve"> A third reason to infer </w:t>
      </w:r>
      <w:proofErr w:type="spellStart"/>
      <w:r w:rsidRPr="005B3BF4">
        <w:rPr>
          <w:rStyle w:val="StyleUnderline"/>
        </w:rPr>
        <w:t>opinio</w:t>
      </w:r>
      <w:proofErr w:type="spellEnd"/>
      <w:r w:rsidRPr="005B3BF4">
        <w:rPr>
          <w:rStyle w:val="StyleUnderline"/>
        </w:rPr>
        <w:t xml:space="preserve"> juris (in addition to the centrality of FOA principles within the </w:t>
      </w:r>
      <w:r w:rsidRPr="00B03ECD">
        <w:rPr>
          <w:rStyle w:val="StyleUnderline"/>
        </w:rPr>
        <w:t>ILO Constitution and the strong evidence of FOA and right-to-strike practice and obligation under domestic law) involves recent statements from high officials in the United Nations indicating</w:t>
      </w:r>
      <w:r w:rsidRPr="00B03ECD">
        <w:rPr>
          <w:u w:val="single"/>
        </w:rPr>
        <w:t xml:space="preserve"> that</w:t>
      </w:r>
      <w:r w:rsidRPr="00C855A4">
        <w:rPr>
          <w:u w:val="single"/>
        </w:rPr>
        <w:t xml:space="preserve"> </w:t>
      </w:r>
      <w:r w:rsidRPr="00871571">
        <w:rPr>
          <w:highlight w:val="green"/>
          <w:u w:val="single"/>
        </w:rPr>
        <w:t xml:space="preserve">the right to strike </w:t>
      </w:r>
      <w:r w:rsidRPr="00B03ECD">
        <w:rPr>
          <w:u w:val="single"/>
        </w:rPr>
        <w:t>is understood</w:t>
      </w:r>
      <w:r w:rsidRPr="00C855A4">
        <w:rPr>
          <w:u w:val="single"/>
        </w:rPr>
        <w:t xml:space="preserve"> by its leaders </w:t>
      </w:r>
      <w:r w:rsidRPr="00871571">
        <w:rPr>
          <w:highlight w:val="green"/>
          <w:u w:val="single"/>
        </w:rPr>
        <w:t xml:space="preserve">as </w:t>
      </w:r>
      <w:r w:rsidRPr="00871571">
        <w:rPr>
          <w:rStyle w:val="Emphasis"/>
          <w:highlight w:val="green"/>
        </w:rPr>
        <w:t>CIL</w:t>
      </w:r>
      <w:r w:rsidRPr="005B3BF4">
        <w:rPr>
          <w:sz w:val="10"/>
        </w:rPr>
        <w:t xml:space="preserve">. In his </w:t>
      </w:r>
      <w:r w:rsidRPr="00C855A4">
        <w:rPr>
          <w:u w:val="single"/>
        </w:rPr>
        <w:t>2016 report to the U.N. General Assembly</w:t>
      </w:r>
      <w:r w:rsidRPr="005B3BF4">
        <w:rPr>
          <w:sz w:val="10"/>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5B3BF4">
        <w:rPr>
          <w:sz w:val="10"/>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5B3BF4">
        <w:rPr>
          <w:sz w:val="10"/>
        </w:rPr>
        <w:t>opinio</w:t>
      </w:r>
      <w:proofErr w:type="spellEnd"/>
      <w:r w:rsidRPr="005B3BF4">
        <w:rPr>
          <w:sz w:val="10"/>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AD25E54" w14:textId="77777777" w:rsidR="00D97F1B" w:rsidRDefault="00D97F1B" w:rsidP="00D97F1B">
      <w:pPr>
        <w:pStyle w:val="Heading4"/>
      </w:pPr>
      <w:r>
        <w:t xml:space="preserve">Respecting ICJ rulings on the right to strike </w:t>
      </w:r>
      <w:r w:rsidRPr="00B002D7">
        <w:rPr>
          <w:u w:val="single"/>
        </w:rPr>
        <w:t>secures the legitimacy</w:t>
      </w:r>
      <w:r>
        <w:t xml:space="preserve"> of the ICJ as an </w:t>
      </w:r>
      <w:r w:rsidRPr="00B002D7">
        <w:rPr>
          <w:u w:val="single"/>
        </w:rPr>
        <w:t>international mediation body</w:t>
      </w:r>
      <w:r>
        <w:t>.</w:t>
      </w:r>
    </w:p>
    <w:p w14:paraId="13798C51" w14:textId="77777777" w:rsidR="00D97F1B" w:rsidRDefault="00D97F1B" w:rsidP="00D97F1B">
      <w:pPr>
        <w:rPr>
          <w:rStyle w:val="Style13ptBold"/>
        </w:rPr>
      </w:pPr>
      <w:r w:rsidRPr="00B002D7">
        <w:rPr>
          <w:rStyle w:val="Style13ptBold"/>
        </w:rPr>
        <w:t>Hofmann and Schuster 16</w:t>
      </w:r>
    </w:p>
    <w:p w14:paraId="3908C410" w14:textId="77777777" w:rsidR="00D97F1B" w:rsidRPr="001A6D5A" w:rsidRDefault="00D97F1B" w:rsidP="00D97F1B">
      <w:pPr>
        <w:rPr>
          <w:sz w:val="12"/>
          <w:szCs w:val="12"/>
        </w:rPr>
      </w:pPr>
      <w:r w:rsidRPr="001A6D5A">
        <w:rPr>
          <w:sz w:val="12"/>
          <w:szCs w:val="12"/>
        </w:rPr>
        <w:t>[Claudia and Norbert; February 2016; Dr. Claudia Hofmann works as a research associate at the Chair for Public Law and Policy at the University of Regensburg. She specializes in public international law (</w:t>
      </w:r>
      <w:proofErr w:type="gramStart"/>
      <w:r w:rsidRPr="001A6D5A">
        <w:rPr>
          <w:sz w:val="12"/>
          <w:szCs w:val="12"/>
        </w:rPr>
        <w:t>in particular the</w:t>
      </w:r>
      <w:proofErr w:type="gramEnd"/>
      <w:r w:rsidRPr="001A6D5A">
        <w:rPr>
          <w:sz w:val="12"/>
          <w:szCs w:val="12"/>
        </w:rPr>
        <w:t xml:space="preserve"> field of socio-economic human rights and equality-oriented policies), social law, constitutional and administrative law. Norbert Schuster works as a lawyer in Berlin and teaches at the University of Bremen. He </w:t>
      </w:r>
      <w:proofErr w:type="spellStart"/>
      <w:r w:rsidRPr="001A6D5A">
        <w:rPr>
          <w:sz w:val="12"/>
          <w:szCs w:val="12"/>
        </w:rPr>
        <w:t>specialises</w:t>
      </w:r>
      <w:proofErr w:type="spellEnd"/>
      <w:r w:rsidRPr="001A6D5A">
        <w:rPr>
          <w:sz w:val="12"/>
          <w:szCs w:val="12"/>
        </w:rPr>
        <w:t xml:space="preserve"> in </w:t>
      </w:r>
      <w:proofErr w:type="spellStart"/>
      <w:r w:rsidRPr="001A6D5A">
        <w:rPr>
          <w:sz w:val="12"/>
          <w:szCs w:val="12"/>
        </w:rPr>
        <w:t>labour</w:t>
      </w:r>
      <w:proofErr w:type="spellEnd"/>
      <w:r w:rsidRPr="001A6D5A">
        <w:rPr>
          <w:sz w:val="12"/>
          <w:szCs w:val="12"/>
        </w:rPr>
        <w:t xml:space="preserve"> law; “It </w:t>
      </w:r>
      <w:proofErr w:type="spellStart"/>
      <w:r w:rsidRPr="001A6D5A">
        <w:rPr>
          <w:sz w:val="12"/>
          <w:szCs w:val="12"/>
        </w:rPr>
        <w:t>ain’t</w:t>
      </w:r>
      <w:proofErr w:type="spellEnd"/>
      <w:r w:rsidRPr="001A6D5A">
        <w:rPr>
          <w:sz w:val="12"/>
          <w:szCs w:val="12"/>
        </w:rPr>
        <w:t xml:space="preserve"> over ‘til it’s over: the right to strike and the mandate of the ILO Committee of Experts revisited,” </w:t>
      </w:r>
      <w:hyperlink r:id="rId13" w:history="1">
        <w:r w:rsidRPr="001A6D5A">
          <w:rPr>
            <w:rStyle w:val="Hyperlink"/>
            <w:sz w:val="12"/>
            <w:szCs w:val="12"/>
          </w:rPr>
          <w:t>https://global-labour-university.org/fileadmin/GLU_Working_Papers/GLU_WP_No.40.pdf</w:t>
        </w:r>
      </w:hyperlink>
      <w:r w:rsidRPr="001A6D5A">
        <w:rPr>
          <w:sz w:val="12"/>
          <w:szCs w:val="12"/>
        </w:rPr>
        <w:t>] Justin  -recut CAT</w:t>
      </w:r>
    </w:p>
    <w:p w14:paraId="20565BFA" w14:textId="77777777" w:rsidR="00D97F1B" w:rsidRPr="004A1182" w:rsidRDefault="00D97F1B" w:rsidP="00D97F1B">
      <w:pPr>
        <w:rPr>
          <w:sz w:val="12"/>
        </w:rPr>
      </w:pPr>
      <w:r w:rsidRPr="004A1182">
        <w:rPr>
          <w:sz w:val="12"/>
        </w:rP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rsidRPr="004A1182">
        <w:rPr>
          <w:sz w:val="12"/>
        </w:rPr>
        <w:t xml:space="preserve">. As has been indicated before, </w:t>
      </w:r>
      <w:r w:rsidRPr="00871571">
        <w:rPr>
          <w:highlight w:val="green"/>
          <w:u w:val="single"/>
        </w:rPr>
        <w:t>the</w:t>
      </w:r>
      <w:r w:rsidRPr="00B002D7">
        <w:rPr>
          <w:u w:val="single"/>
        </w:rPr>
        <w:t xml:space="preserve"> primary </w:t>
      </w:r>
      <w:r w:rsidRPr="00871571">
        <w:rPr>
          <w:highlight w:val="green"/>
          <w:u w:val="single"/>
        </w:rPr>
        <w:t xml:space="preserve">question for an </w:t>
      </w:r>
      <w:r w:rsidRPr="00871571">
        <w:rPr>
          <w:rStyle w:val="Emphasis"/>
          <w:highlight w:val="green"/>
        </w:rPr>
        <w:t>advisory opinion</w:t>
      </w:r>
      <w:r w:rsidRPr="00871571">
        <w:rPr>
          <w:highlight w:val="green"/>
          <w:u w:val="single"/>
        </w:rPr>
        <w:t xml:space="preserve"> of the ICJ is whether Convention</w:t>
      </w:r>
      <w:r w:rsidRPr="00B002D7">
        <w:rPr>
          <w:u w:val="single"/>
        </w:rPr>
        <w:t xml:space="preserve"> No. </w:t>
      </w:r>
      <w:r w:rsidRPr="00871571">
        <w:rPr>
          <w:highlight w:val="green"/>
          <w:u w:val="single"/>
        </w:rPr>
        <w:t xml:space="preserve">87 contains a </w:t>
      </w:r>
      <w:r w:rsidRPr="00871571">
        <w:rPr>
          <w:rStyle w:val="Emphasis"/>
          <w:highlight w:val="green"/>
        </w:rPr>
        <w:t>right to strike</w:t>
      </w:r>
      <w:r w:rsidRPr="004A1182">
        <w:rPr>
          <w:sz w:val="12"/>
        </w:rPr>
        <w:t xml:space="preserve"> (see Section IV). </w:t>
      </w:r>
      <w:r w:rsidRPr="00B002D7">
        <w:rPr>
          <w:u w:val="single"/>
        </w:rPr>
        <w:t xml:space="preserve">What follows is, therefore, a </w:t>
      </w:r>
      <w:r w:rsidRPr="00777674">
        <w:rPr>
          <w:u w:val="single"/>
        </w:rPr>
        <w:t xml:space="preserve">cursory glance at the legal bases for an ICJ opinion, </w:t>
      </w:r>
      <w:proofErr w:type="gramStart"/>
      <w:r w:rsidRPr="00777674">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871571">
        <w:rPr>
          <w:highlight w:val="green"/>
          <w:u w:val="single"/>
        </w:rPr>
        <w:t>the I</w:t>
      </w:r>
      <w:r w:rsidRPr="00B002D7">
        <w:rPr>
          <w:u w:val="single"/>
        </w:rPr>
        <w:t xml:space="preserve">nternational </w:t>
      </w:r>
      <w:r w:rsidRPr="00871571">
        <w:rPr>
          <w:highlight w:val="green"/>
          <w:u w:val="single"/>
        </w:rPr>
        <w:t>C</w:t>
      </w:r>
      <w:r w:rsidRPr="00B002D7">
        <w:rPr>
          <w:u w:val="single"/>
        </w:rPr>
        <w:t xml:space="preserve">ourt of </w:t>
      </w:r>
      <w:r w:rsidRPr="00871571">
        <w:rPr>
          <w:highlight w:val="green"/>
          <w:u w:val="single"/>
        </w:rPr>
        <w:t>J</w:t>
      </w:r>
      <w:r w:rsidRPr="00B002D7">
        <w:rPr>
          <w:u w:val="single"/>
        </w:rPr>
        <w:t xml:space="preserve">ustice </w:t>
      </w:r>
      <w:r w:rsidRPr="00871571">
        <w:rPr>
          <w:highlight w:val="green"/>
          <w:u w:val="single"/>
        </w:rPr>
        <w:t xml:space="preserve">is responsible for </w:t>
      </w:r>
      <w:r w:rsidRPr="00871571">
        <w:rPr>
          <w:rStyle w:val="Emphasis"/>
          <w:highlight w:val="green"/>
        </w:rPr>
        <w:t>questions or differences of opinion about</w:t>
      </w:r>
      <w:r w:rsidRPr="00B002D7">
        <w:rPr>
          <w:rStyle w:val="Emphasis"/>
        </w:rPr>
        <w:t xml:space="preserve"> </w:t>
      </w:r>
      <w:r w:rsidRPr="00871571">
        <w:rPr>
          <w:rStyle w:val="Emphasis"/>
          <w:highlight w:val="green"/>
        </w:rPr>
        <w:t>the</w:t>
      </w:r>
      <w:r w:rsidRPr="00B002D7">
        <w:rPr>
          <w:rStyle w:val="Emphasis"/>
        </w:rPr>
        <w:t xml:space="preserve"> </w:t>
      </w:r>
      <w:r w:rsidRPr="00871571">
        <w:rPr>
          <w:rStyle w:val="Emphasis"/>
          <w:highlight w:val="green"/>
        </w:rPr>
        <w:t>interpretation</w:t>
      </w:r>
      <w:r w:rsidRPr="00B002D7">
        <w:rPr>
          <w:rStyle w:val="Emphasis"/>
        </w:rPr>
        <w:t xml:space="preserve"> </w:t>
      </w:r>
      <w:r w:rsidRPr="00871571">
        <w:rPr>
          <w:rStyle w:val="Emphasis"/>
          <w:highlight w:val="green"/>
        </w:rPr>
        <w:t xml:space="preserve">of the </w:t>
      </w:r>
      <w:r w:rsidRPr="00B002D7">
        <w:rPr>
          <w:rStyle w:val="Emphasis"/>
        </w:rPr>
        <w:t>ILO Constitution</w:t>
      </w:r>
      <w:r w:rsidRPr="00B002D7">
        <w:rPr>
          <w:u w:val="single"/>
        </w:rPr>
        <w:t xml:space="preserve"> and the </w:t>
      </w:r>
      <w:r w:rsidRPr="00871571">
        <w:rPr>
          <w:rStyle w:val="Emphasis"/>
          <w:highlight w:val="green"/>
        </w:rPr>
        <w:t>ILO Conventions</w:t>
      </w:r>
      <w:r w:rsidRPr="00B002D7">
        <w:rPr>
          <w:u w:val="single"/>
        </w:rPr>
        <w:t xml:space="preserve">. </w:t>
      </w:r>
      <w:r w:rsidRPr="00871571">
        <w:rPr>
          <w:highlight w:val="green"/>
          <w:u w:val="single"/>
        </w:rPr>
        <w:t xml:space="preserve">This reflects the function of the ICJ as an </w:t>
      </w:r>
      <w:r w:rsidRPr="00871571">
        <w:rPr>
          <w:rStyle w:val="Emphasis"/>
          <w:highlight w:val="green"/>
        </w:rPr>
        <w:t>international mediation body</w:t>
      </w:r>
      <w:r w:rsidRPr="00871571">
        <w:rPr>
          <w:highlight w:val="green"/>
          <w:u w:val="single"/>
        </w:rPr>
        <w:t xml:space="preserve"> </w:t>
      </w:r>
      <w:proofErr w:type="gramStart"/>
      <w:r w:rsidRPr="00871571">
        <w:rPr>
          <w:highlight w:val="green"/>
          <w:u w:val="single"/>
        </w:rPr>
        <w:t>inasmuch as</w:t>
      </w:r>
      <w:proofErr w:type="gramEnd"/>
      <w:r w:rsidRPr="00871571">
        <w:rPr>
          <w:highlight w:val="green"/>
          <w:u w:val="single"/>
        </w:rPr>
        <w:t xml:space="preserve"> cases are</w:t>
      </w:r>
      <w:r w:rsidRPr="00B002D7">
        <w:rPr>
          <w:u w:val="single"/>
        </w:rPr>
        <w:t xml:space="preserve"> to be </w:t>
      </w:r>
      <w:r w:rsidRPr="00871571">
        <w:rPr>
          <w:rStyle w:val="Emphasis"/>
          <w:highlight w:val="green"/>
        </w:rPr>
        <w:t>referred to the ICJ when</w:t>
      </w:r>
      <w:r w:rsidRPr="00B002D7">
        <w:rPr>
          <w:rStyle w:val="Emphasis"/>
        </w:rPr>
        <w:t xml:space="preserve"> the </w:t>
      </w:r>
      <w:r w:rsidRPr="00871571">
        <w:rPr>
          <w:rStyle w:val="Emphasis"/>
          <w:highlight w:val="green"/>
        </w:rPr>
        <w:t>parties</w:t>
      </w:r>
      <w:r w:rsidRPr="00B002D7">
        <w:rPr>
          <w:rStyle w:val="Emphasis"/>
        </w:rPr>
        <w:t xml:space="preserve"> to a treaty </w:t>
      </w:r>
      <w:r w:rsidRPr="00871571">
        <w:rPr>
          <w:rStyle w:val="Emphasis"/>
          <w:highlight w:val="green"/>
        </w:rPr>
        <w:t>disagree</w:t>
      </w:r>
      <w:r w:rsidRPr="00B002D7">
        <w:rPr>
          <w:u w:val="single"/>
        </w:rPr>
        <w:t xml:space="preserve"> about the interpretation of a norm within the treaty</w:t>
      </w:r>
      <w:r w:rsidRPr="004A1182">
        <w:rPr>
          <w:sz w:val="12"/>
        </w:rPr>
        <w:t>. Let us assume that such a disagreement exists here as to whether</w:t>
      </w:r>
      <w:proofErr w:type="gramStart"/>
      <w:r w:rsidRPr="004A1182">
        <w:rPr>
          <w:sz w:val="12"/>
        </w:rPr>
        <w:t>, in particular, Art</w:t>
      </w:r>
      <w:proofErr w:type="gramEnd"/>
      <w:r w:rsidRPr="004A1182">
        <w:rPr>
          <w:sz w:val="12"/>
        </w:rPr>
        <w:t xml:space="preserve"> 3 of ILO Convention No. 87 also accords trade unions a right to strike.85 The Committee of Experts and the Committee on Freedom of Association have expressed a legal opinion on this. In the current legal situation, </w:t>
      </w:r>
      <w:proofErr w:type="gramStart"/>
      <w:r w:rsidRPr="004A1182">
        <w:rPr>
          <w:sz w:val="12"/>
        </w:rPr>
        <w:t>i.e.</w:t>
      </w:r>
      <w:proofErr w:type="gramEnd"/>
      <w:r w:rsidRPr="004A1182">
        <w:rPr>
          <w:sz w:val="12"/>
        </w:rPr>
        <w:t xml:space="preserve"> in the absence of concrete rules explicitly granting the Committee of Experts a corresponding interpretative competence, </w:t>
      </w:r>
      <w:r w:rsidRPr="00871571">
        <w:rPr>
          <w:highlight w:val="green"/>
          <w:u w:val="single"/>
        </w:rPr>
        <w:t xml:space="preserve">the </w:t>
      </w:r>
      <w:r w:rsidRPr="00871571">
        <w:rPr>
          <w:rStyle w:val="Emphasis"/>
          <w:highlight w:val="green"/>
        </w:rPr>
        <w:t>competence to decide</w:t>
      </w:r>
      <w:r w:rsidRPr="00B002D7">
        <w:rPr>
          <w:rStyle w:val="Emphasis"/>
        </w:rPr>
        <w:t xml:space="preserve"> on </w:t>
      </w:r>
      <w:r w:rsidRPr="00871571">
        <w:rPr>
          <w:rStyle w:val="Emphasis"/>
          <w:highlight w:val="green"/>
        </w:rPr>
        <w:t>this issue rests with the ICJ</w:t>
      </w:r>
      <w:r w:rsidRPr="004A1182">
        <w:rPr>
          <w:sz w:val="12"/>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2C134835" w14:textId="77777777" w:rsidR="00D97F1B" w:rsidRPr="006109AD" w:rsidRDefault="00D97F1B" w:rsidP="00D97F1B">
      <w:pPr>
        <w:pStyle w:val="Heading4"/>
      </w:pPr>
      <w:r w:rsidRPr="006109AD">
        <w:t>ICJ legitimacy is key to global multilateralism and crisis stability – it’s declining now.</w:t>
      </w:r>
    </w:p>
    <w:p w14:paraId="7AC5F08B" w14:textId="77777777" w:rsidR="00D97F1B" w:rsidRPr="001A6D5A" w:rsidRDefault="00D97F1B" w:rsidP="00D97F1B">
      <w:pPr>
        <w:rPr>
          <w:rStyle w:val="Style13ptBold"/>
        </w:rPr>
      </w:pPr>
      <w:proofErr w:type="spellStart"/>
      <w:r>
        <w:rPr>
          <w:rStyle w:val="Style13ptBold"/>
        </w:rPr>
        <w:t>Korneliou</w:t>
      </w:r>
      <w:proofErr w:type="spellEnd"/>
      <w:r>
        <w:rPr>
          <w:rStyle w:val="Style13ptBold"/>
        </w:rPr>
        <w:t xml:space="preserve"> 18</w:t>
      </w:r>
    </w:p>
    <w:p w14:paraId="16A9F5CA" w14:textId="77777777" w:rsidR="00D97F1B" w:rsidRPr="001A6D5A" w:rsidRDefault="00D97F1B" w:rsidP="00D97F1B">
      <w:pPr>
        <w:rPr>
          <w:sz w:val="12"/>
          <w:szCs w:val="12"/>
        </w:rPr>
      </w:pPr>
      <w:proofErr w:type="spellStart"/>
      <w:r w:rsidRPr="001A6D5A">
        <w:rPr>
          <w:sz w:val="12"/>
          <w:szCs w:val="12"/>
        </w:rPr>
        <w:t>Kornelios</w:t>
      </w:r>
      <w:proofErr w:type="spellEnd"/>
      <w:r w:rsidRPr="001A6D5A">
        <w:rPr>
          <w:sz w:val="12"/>
          <w:szCs w:val="12"/>
        </w:rPr>
        <w:t xml:space="preserve"> </w:t>
      </w:r>
      <w:proofErr w:type="spellStart"/>
      <w:r w:rsidRPr="001A6D5A">
        <w:rPr>
          <w:sz w:val="12"/>
          <w:szCs w:val="12"/>
        </w:rPr>
        <w:t>Korneliou</w:t>
      </w:r>
      <w:proofErr w:type="spellEnd"/>
      <w:r w:rsidRPr="001A6D5A">
        <w:rPr>
          <w:sz w:val="12"/>
          <w:szCs w:val="12"/>
        </w:rPr>
        <w:t xml:space="preserve"> 18 [Permanent Representative of Cyprus and Vice-President of the 73rd Session of the UN General assembly, "Report of the International Court of Justice," United Nations, 10-25-2018 </w:t>
      </w:r>
      <w:hyperlink r:id="rId14" w:history="1">
        <w:r w:rsidRPr="001A6D5A">
          <w:rPr>
            <w:rStyle w:val="Hyperlink"/>
            <w:sz w:val="12"/>
            <w:szCs w:val="12"/>
          </w:rPr>
          <w:t>https://www.un.org/pga/73/2018/10/25/report-of-the-international-court-of-justice/</w:t>
        </w:r>
      </w:hyperlink>
      <w:r w:rsidRPr="001A6D5A">
        <w:rPr>
          <w:sz w:val="12"/>
          <w:szCs w:val="12"/>
        </w:rPr>
        <w:t>] Recut Justin -recut CA</w:t>
      </w:r>
      <w:r>
        <w:rPr>
          <w:sz w:val="12"/>
          <w:szCs w:val="12"/>
        </w:rPr>
        <w:t>T</w:t>
      </w:r>
    </w:p>
    <w:p w14:paraId="11471270" w14:textId="77777777" w:rsidR="00D97F1B" w:rsidRPr="004A1182" w:rsidRDefault="00D97F1B" w:rsidP="00D97F1B">
      <w:pPr>
        <w:rPr>
          <w:sz w:val="12"/>
        </w:rPr>
      </w:pPr>
      <w:r w:rsidRPr="00871571">
        <w:rPr>
          <w:rStyle w:val="StyleUnderline"/>
          <w:highlight w:val="green"/>
        </w:rPr>
        <w:t>In the face of</w:t>
      </w:r>
      <w:r w:rsidRPr="006109AD">
        <w:rPr>
          <w:rStyle w:val="StyleUnderline"/>
        </w:rPr>
        <w:t xml:space="preserve"> the </w:t>
      </w:r>
      <w:r w:rsidRPr="00871571">
        <w:rPr>
          <w:rStyle w:val="StyleUnderline"/>
          <w:highlight w:val="green"/>
        </w:rPr>
        <w:t>headwinds against the</w:t>
      </w:r>
      <w:r w:rsidRPr="00C855A4">
        <w:rPr>
          <w:rStyle w:val="StyleUnderline"/>
        </w:rPr>
        <w:t xml:space="preserve"> </w:t>
      </w:r>
      <w:r w:rsidRPr="00871571">
        <w:rPr>
          <w:rStyle w:val="StyleUnderline"/>
          <w:highlight w:val="green"/>
        </w:rPr>
        <w:t>multilateral system</w:t>
      </w:r>
      <w:r w:rsidRPr="006109AD">
        <w:rPr>
          <w:rStyle w:val="StyleUnderline"/>
        </w:rPr>
        <w:t xml:space="preserve"> and global institutions, </w:t>
      </w:r>
      <w:r w:rsidRPr="00871571">
        <w:rPr>
          <w:rStyle w:val="StyleUnderline"/>
          <w:highlight w:val="green"/>
        </w:rPr>
        <w:t>including direct attacks</w:t>
      </w:r>
      <w:r w:rsidRPr="006109AD">
        <w:rPr>
          <w:rStyle w:val="StyleUnderline"/>
        </w:rPr>
        <w:t xml:space="preserve"> on their legitimacy, </w:t>
      </w:r>
      <w:r w:rsidRPr="00871571">
        <w:rPr>
          <w:rStyle w:val="StyleUnderline"/>
          <w:highlight w:val="green"/>
        </w:rPr>
        <w:t>the I</w:t>
      </w:r>
      <w:r w:rsidRPr="004A1182">
        <w:rPr>
          <w:sz w:val="12"/>
        </w:rPr>
        <w:t xml:space="preserve">nternational </w:t>
      </w:r>
      <w:r w:rsidRPr="00871571">
        <w:rPr>
          <w:rStyle w:val="StyleUnderline"/>
          <w:highlight w:val="green"/>
        </w:rPr>
        <w:t>C</w:t>
      </w:r>
      <w:r w:rsidRPr="004A1182">
        <w:rPr>
          <w:sz w:val="12"/>
        </w:rPr>
        <w:t xml:space="preserve">ourt of </w:t>
      </w:r>
      <w:r w:rsidRPr="00871571">
        <w:rPr>
          <w:rStyle w:val="StyleUnderline"/>
          <w:highlight w:val="green"/>
        </w:rPr>
        <w:t>J</w:t>
      </w:r>
      <w:r w:rsidRPr="004A1182">
        <w:rPr>
          <w:sz w:val="12"/>
        </w:rPr>
        <w:t xml:space="preserve">ustice </w:t>
      </w:r>
      <w:r w:rsidRPr="006109AD">
        <w:rPr>
          <w:rStyle w:val="StyleUnderline"/>
        </w:rPr>
        <w:t>stands as testament to the principles of peace and justice in a multilateral world</w:t>
      </w:r>
      <w:r w:rsidRPr="004A1182">
        <w:rPr>
          <w:sz w:val="12"/>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871571">
        <w:rPr>
          <w:rStyle w:val="StyleUnderline"/>
          <w:highlight w:val="green"/>
        </w:rPr>
        <w:t>serves as a bulwark against arbitrariness and provides</w:t>
      </w:r>
      <w:r w:rsidRPr="006109AD">
        <w:rPr>
          <w:rStyle w:val="StyleUnderline"/>
        </w:rPr>
        <w:t xml:space="preserve"> the mechanism for </w:t>
      </w:r>
      <w:r w:rsidRPr="00871571">
        <w:rPr>
          <w:rStyle w:val="StyleUnderline"/>
          <w:highlight w:val="green"/>
        </w:rPr>
        <w:t>peaceful settlement of disputes</w:t>
      </w:r>
      <w:r w:rsidRPr="006109AD">
        <w:rPr>
          <w:rStyle w:val="StyleUnderline"/>
        </w:rPr>
        <w:t xml:space="preserve">, </w:t>
      </w:r>
      <w:r w:rsidRPr="00871571">
        <w:rPr>
          <w:rStyle w:val="StyleUnderline"/>
          <w:highlight w:val="green"/>
        </w:rPr>
        <w:t>guaranteeing</w:t>
      </w:r>
      <w:r w:rsidRPr="006109AD">
        <w:rPr>
          <w:rStyle w:val="StyleUnderline"/>
        </w:rPr>
        <w:t xml:space="preserve"> the </w:t>
      </w:r>
      <w:r w:rsidRPr="00871571">
        <w:rPr>
          <w:rStyle w:val="StyleUnderline"/>
          <w:highlight w:val="green"/>
        </w:rPr>
        <w:t>stability</w:t>
      </w:r>
      <w:r w:rsidRPr="004A1182">
        <w:rPr>
          <w:sz w:val="12"/>
        </w:rPr>
        <w:t xml:space="preserve"> so </w:t>
      </w:r>
      <w:r w:rsidRPr="00C855A4">
        <w:rPr>
          <w:rStyle w:val="StyleUnderline"/>
        </w:rPr>
        <w:t xml:space="preserve">necessary </w:t>
      </w:r>
      <w:r w:rsidRPr="00871571">
        <w:rPr>
          <w:rStyle w:val="StyleUnderline"/>
          <w:highlight w:val="green"/>
        </w:rPr>
        <w:t>for international cooperation</w:t>
      </w:r>
      <w:r w:rsidRPr="004A1182">
        <w:rPr>
          <w:sz w:val="12"/>
        </w:rPr>
        <w:t xml:space="preserve">. For the peoples of the world, the court may be far </w:t>
      </w:r>
      <w:proofErr w:type="gramStart"/>
      <w:r w:rsidRPr="004A1182">
        <w:rPr>
          <w:sz w:val="12"/>
        </w:rPr>
        <w:t>away</w:t>
      </w:r>
      <w:proofErr w:type="gramEnd"/>
      <w:r w:rsidRPr="004A1182">
        <w:rPr>
          <w:sz w:val="12"/>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A1182">
        <w:rPr>
          <w:sz w:val="12"/>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71571">
        <w:rPr>
          <w:rStyle w:val="StyleUnderline"/>
          <w:highlight w:val="green"/>
        </w:rPr>
        <w:t>its</w:t>
      </w:r>
      <w:r w:rsidRPr="004A1182">
        <w:rPr>
          <w:sz w:val="12"/>
        </w:rPr>
        <w:t xml:space="preserve"> judgements and </w:t>
      </w:r>
      <w:r w:rsidRPr="00C855A4">
        <w:rPr>
          <w:rStyle w:val="StyleUnderline"/>
        </w:rPr>
        <w:t xml:space="preserve">advisory </w:t>
      </w:r>
      <w:r w:rsidRPr="00871571">
        <w:rPr>
          <w:rStyle w:val="StyleUnderline"/>
          <w:highlight w:val="green"/>
        </w:rPr>
        <w:t>opinion directly</w:t>
      </w:r>
      <w:r w:rsidRPr="00C855A4">
        <w:rPr>
          <w:rStyle w:val="StyleUnderline"/>
        </w:rPr>
        <w:t xml:space="preserve"> </w:t>
      </w:r>
      <w:r w:rsidRPr="00871571">
        <w:rPr>
          <w:rStyle w:val="StyleUnderline"/>
          <w:highlight w:val="green"/>
        </w:rPr>
        <w:t>influence the</w:t>
      </w:r>
      <w:r w:rsidRPr="006109AD">
        <w:rPr>
          <w:rStyle w:val="StyleUnderline"/>
        </w:rPr>
        <w:t xml:space="preserve"> development and strengthening of the </w:t>
      </w:r>
      <w:r w:rsidRPr="00871571">
        <w:rPr>
          <w:rStyle w:val="StyleUnderline"/>
          <w:highlight w:val="green"/>
        </w:rPr>
        <w:t xml:space="preserve">rule of law </w:t>
      </w:r>
      <w:r w:rsidRPr="00C855A4">
        <w:rPr>
          <w:rStyle w:val="StyleUnderline"/>
        </w:rPr>
        <w:t>in countries the world over</w:t>
      </w:r>
      <w:r w:rsidRPr="004A1182">
        <w:rPr>
          <w:sz w:val="12"/>
        </w:rPr>
        <w:t xml:space="preserve">. As stated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4A1182">
        <w:rPr>
          <w:sz w:val="12"/>
        </w:rPr>
        <w:t xml:space="preserve">, and </w:t>
      </w:r>
      <w:r w:rsidRPr="006109AD">
        <w:rPr>
          <w:rStyle w:val="StyleUnderline"/>
        </w:rPr>
        <w:t xml:space="preserve">when tensions simmer in regions throughout the world, </w:t>
      </w:r>
      <w:r w:rsidRPr="00C855A4">
        <w:rPr>
          <w:rStyle w:val="StyleUnderline"/>
        </w:rPr>
        <w:t xml:space="preserve">the </w:t>
      </w:r>
      <w:r w:rsidRPr="00871571">
        <w:rPr>
          <w:rStyle w:val="StyleUnderline"/>
          <w:highlight w:val="green"/>
        </w:rPr>
        <w:t xml:space="preserve">adjudication of disputes </w:t>
      </w:r>
      <w:r w:rsidRPr="006109AD">
        <w:rPr>
          <w:rStyle w:val="StyleUnderline"/>
        </w:rPr>
        <w:t xml:space="preserve">between states </w:t>
      </w:r>
      <w:r w:rsidRPr="00871571">
        <w:rPr>
          <w:rStyle w:val="StyleUnderline"/>
          <w:highlight w:val="green"/>
        </w:rPr>
        <w:t xml:space="preserve">remains </w:t>
      </w:r>
      <w:r w:rsidRPr="00C855A4">
        <w:rPr>
          <w:rStyle w:val="StyleUnderline"/>
        </w:rPr>
        <w:t xml:space="preserve">an </w:t>
      </w:r>
      <w:r w:rsidRPr="00871571">
        <w:rPr>
          <w:rStyle w:val="StyleUnderline"/>
          <w:highlight w:val="green"/>
        </w:rPr>
        <w:t xml:space="preserve">essential </w:t>
      </w:r>
      <w:r w:rsidRPr="00C855A4">
        <w:rPr>
          <w:rStyle w:val="StyleUnderline"/>
        </w:rPr>
        <w:t xml:space="preserve">role of the Court </w:t>
      </w:r>
      <w:r w:rsidRPr="00871571">
        <w:rPr>
          <w:rStyle w:val="StyleUnderline"/>
          <w:highlight w:val="green"/>
        </w:rPr>
        <w:t>in preserving peace and security</w:t>
      </w:r>
      <w:r w:rsidRPr="004A1182">
        <w:rPr>
          <w:sz w:val="12"/>
        </w:rPr>
        <w:t xml:space="preserve">. </w:t>
      </w:r>
      <w:r w:rsidRPr="00C855A4">
        <w:rPr>
          <w:rStyle w:val="StyleUnderline"/>
        </w:rPr>
        <w:t>We welcome the continued readiness by the Court to intervene</w:t>
      </w:r>
      <w:r w:rsidRPr="004A1182">
        <w:rPr>
          <w:sz w:val="12"/>
        </w:rPr>
        <w:t xml:space="preserve"> when other diplomatic or political means have proven unsuccessful. For Member States, respect for the decisions, judgements, advice, and orders of </w:t>
      </w:r>
      <w:r w:rsidRPr="00C855A4">
        <w:rPr>
          <w:rStyle w:val="StyleUnderline"/>
        </w:rPr>
        <w:t>the Court remains critical for</w:t>
      </w:r>
      <w:r w:rsidRPr="006109AD">
        <w:rPr>
          <w:rStyle w:val="StyleUnderline"/>
        </w:rPr>
        <w:t xml:space="preserve"> the efficacy and longevity of the international Justice System</w:t>
      </w:r>
      <w:r w:rsidRPr="004A1182">
        <w:rPr>
          <w:sz w:val="12"/>
        </w:rPr>
        <w:t xml:space="preserve">. The General Assembly has thus called upon States that have not yet done so to consider accepting the jurisdiction of the Court in accordance with its Statute. In closing, allow me to reiterate: </w:t>
      </w:r>
      <w:r w:rsidRPr="00871571">
        <w:rPr>
          <w:rStyle w:val="StyleUnderline"/>
          <w:highlight w:val="green"/>
        </w:rPr>
        <w:t xml:space="preserve">if we </w:t>
      </w:r>
      <w:r w:rsidRPr="00C855A4">
        <w:rPr>
          <w:rStyle w:val="StyleUnderline"/>
        </w:rPr>
        <w:t xml:space="preserve">are to </w:t>
      </w:r>
      <w:r w:rsidRPr="00871571">
        <w:rPr>
          <w:rStyle w:val="StyleUnderline"/>
          <w:highlight w:val="green"/>
        </w:rPr>
        <w:t>preserve the</w:t>
      </w:r>
      <w:r w:rsidRPr="00C855A4">
        <w:rPr>
          <w:rStyle w:val="StyleUnderline"/>
        </w:rPr>
        <w:t xml:space="preserve"> international </w:t>
      </w:r>
      <w:r w:rsidRPr="00871571">
        <w:rPr>
          <w:rStyle w:val="StyleUnderline"/>
          <w:highlight w:val="green"/>
        </w:rPr>
        <w:t>multilateral system</w:t>
      </w:r>
      <w:r w:rsidRPr="00C855A4">
        <w:rPr>
          <w:rStyle w:val="StyleUnderline"/>
        </w:rPr>
        <w:t xml:space="preserve">, then </w:t>
      </w:r>
      <w:r w:rsidRPr="00871571">
        <w:rPr>
          <w:rStyle w:val="StyleUnderline"/>
          <w:highlight w:val="green"/>
        </w:rPr>
        <w:t>adherence</w:t>
      </w:r>
      <w:r w:rsidRPr="006109AD">
        <w:rPr>
          <w:rStyle w:val="StyleUnderline"/>
        </w:rPr>
        <w:t xml:space="preserve"> and respect </w:t>
      </w:r>
      <w:r w:rsidRPr="00871571">
        <w:rPr>
          <w:rStyle w:val="StyleUnderline"/>
          <w:highlight w:val="green"/>
        </w:rPr>
        <w:t>for i</w:t>
      </w:r>
      <w:r w:rsidRPr="001A6D5A">
        <w:rPr>
          <w:rStyle w:val="StyleUnderline"/>
        </w:rPr>
        <w:t xml:space="preserve">nternational </w:t>
      </w:r>
      <w:r w:rsidRPr="00871571">
        <w:rPr>
          <w:rStyle w:val="StyleUnderline"/>
          <w:highlight w:val="green"/>
        </w:rPr>
        <w:t>law remains key</w:t>
      </w:r>
      <w:r w:rsidRPr="004A1182">
        <w:rPr>
          <w:sz w:val="12"/>
        </w:rPr>
        <w:t>.</w:t>
      </w:r>
    </w:p>
    <w:p w14:paraId="6E9B142C" w14:textId="77777777" w:rsidR="00D97F1B" w:rsidRPr="00594ADE" w:rsidRDefault="00D97F1B" w:rsidP="00D97F1B">
      <w:pPr>
        <w:pStyle w:val="Heading4"/>
      </w:pPr>
      <w:bookmarkStart w:id="3" w:name="_Hlk86833479"/>
      <w:r w:rsidRPr="00B87B97">
        <w:rPr>
          <w:b w:val="0"/>
          <w:bCs/>
          <w:sz w:val="12"/>
          <w:szCs w:val="12"/>
        </w:rPr>
        <w:t>[</w:t>
      </w:r>
      <w:proofErr w:type="spellStart"/>
      <w:r w:rsidRPr="00B87B97">
        <w:rPr>
          <w:b w:val="0"/>
          <w:bCs/>
          <w:sz w:val="12"/>
          <w:szCs w:val="12"/>
        </w:rPr>
        <w:t>Mecklin</w:t>
      </w:r>
      <w:proofErr w:type="spellEnd"/>
      <w:r w:rsidRPr="00B87B97">
        <w:rPr>
          <w:b w:val="0"/>
          <w:bCs/>
          <w:sz w:val="12"/>
          <w:szCs w:val="12"/>
        </w:rPr>
        <w:t xml:space="preserve">] </w:t>
      </w:r>
      <w:r>
        <w:t xml:space="preserve">The multilateral system and </w:t>
      </w:r>
      <w:proofErr w:type="spellStart"/>
      <w:r>
        <w:t>i</w:t>
      </w:r>
      <w:proofErr w:type="spellEnd"/>
      <w:r>
        <w:t xml:space="preserve">-law are K2 heading off </w:t>
      </w:r>
      <w:r w:rsidRPr="00594ADE">
        <w:rPr>
          <w:u w:val="single"/>
        </w:rPr>
        <w:t>inter</w:t>
      </w:r>
      <w:r>
        <w:rPr>
          <w:u w:val="single"/>
        </w:rPr>
        <w:t xml:space="preserve">locking </w:t>
      </w:r>
      <w:r w:rsidRPr="00594ADE">
        <w:rPr>
          <w:u w:val="single"/>
        </w:rPr>
        <w:t>catastrophic risks</w:t>
      </w:r>
      <w:r>
        <w:t xml:space="preserve"> – that’s a threat multiplier.</w:t>
      </w:r>
    </w:p>
    <w:p w14:paraId="4E61D2BF" w14:textId="77777777" w:rsidR="00D97F1B" w:rsidRDefault="00D97F1B" w:rsidP="00D97F1B">
      <w:pPr>
        <w:rPr>
          <w:rStyle w:val="Style13ptBold"/>
        </w:rPr>
      </w:pPr>
      <w:proofErr w:type="spellStart"/>
      <w:r>
        <w:rPr>
          <w:rStyle w:val="Style13ptBold"/>
        </w:rPr>
        <w:t>Mecklin</w:t>
      </w:r>
      <w:proofErr w:type="spellEnd"/>
      <w:r>
        <w:rPr>
          <w:rStyle w:val="Style13ptBold"/>
        </w:rPr>
        <w:t xml:space="preserve"> 21</w:t>
      </w:r>
    </w:p>
    <w:p w14:paraId="19DEBF7B" w14:textId="77777777" w:rsidR="00D97F1B" w:rsidRDefault="00D97F1B" w:rsidP="00D97F1B">
      <w:pPr>
        <w:rPr>
          <w:sz w:val="12"/>
          <w:szCs w:val="12"/>
        </w:rPr>
      </w:pPr>
      <w:r>
        <w:rPr>
          <w:sz w:val="12"/>
          <w:szCs w:val="12"/>
        </w:rPr>
        <w:t xml:space="preserve">John </w:t>
      </w:r>
      <w:proofErr w:type="spellStart"/>
      <w:r>
        <w:rPr>
          <w:sz w:val="12"/>
          <w:szCs w:val="12"/>
        </w:rPr>
        <w:t>Mecklin</w:t>
      </w:r>
      <w:proofErr w:type="spellEnd"/>
      <w:r>
        <w:rPr>
          <w:sz w:val="12"/>
          <w:szCs w:val="12"/>
        </w:rPr>
        <w:t>, Bulletin of the Atomic Scientists, “This is your COVID wake-up call:  It is 100 seconds to midnight.”  2021 Doomsday Clock Statement, January 27, 2021</w:t>
      </w:r>
      <w:proofErr w:type="gramStart"/>
      <w:r>
        <w:rPr>
          <w:sz w:val="12"/>
          <w:szCs w:val="12"/>
        </w:rPr>
        <w:t xml:space="preserve">.  </w:t>
      </w:r>
      <w:proofErr w:type="gramEnd"/>
      <w:r>
        <w:rPr>
          <w:i/>
          <w:iCs/>
          <w:sz w:val="12"/>
          <w:szCs w:val="12"/>
        </w:rPr>
        <w:t>Founded in 1945 by Albert Einstein and University of Chicago scientists who helped develop the first atomic weapons in the Manhattan Project, the </w:t>
      </w:r>
      <w:r>
        <w:rPr>
          <w:sz w:val="12"/>
          <w:szCs w:val="12"/>
        </w:rPr>
        <w:t>Bulletin of the Atomic Scientists </w:t>
      </w:r>
      <w:r>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5" w:history="1">
        <w:r>
          <w:rPr>
            <w:rStyle w:val="Hyperlink"/>
            <w:color w:val="000000"/>
            <w:sz w:val="12"/>
            <w:szCs w:val="12"/>
            <w:u w:val="single"/>
          </w:rPr>
          <w:t>https://thebulletin.org/doomsday-clock/current-time/</w:t>
        </w:r>
      </w:hyperlink>
      <w:r>
        <w:rPr>
          <w:sz w:val="12"/>
          <w:szCs w:val="12"/>
        </w:rPr>
        <w:t xml:space="preserve"> -CAT</w:t>
      </w:r>
    </w:p>
    <w:p w14:paraId="1164A036" w14:textId="77777777" w:rsidR="00D97F1B" w:rsidRPr="001965AA" w:rsidRDefault="00D97F1B" w:rsidP="00D97F1B">
      <w:pPr>
        <w:rPr>
          <w:sz w:val="8"/>
        </w:rPr>
      </w:pPr>
      <w:r w:rsidRPr="0073688A">
        <w:rPr>
          <w:rStyle w:val="StyleUnderline"/>
        </w:rPr>
        <w:t xml:space="preserve">Humanity continues to </w:t>
      </w:r>
      <w:r w:rsidRPr="00333DDE">
        <w:rPr>
          <w:rStyle w:val="StyleUnderline"/>
        </w:rPr>
        <w:t>suffer as the COVID-19 pandemic spreads around the world. In 2020 alone, this novel disease killed 1.7 million people and sickened at least 70 million more</w:t>
      </w:r>
      <w:r w:rsidRPr="001965AA">
        <w:rPr>
          <w:sz w:val="8"/>
        </w:rPr>
        <w:t xml:space="preserve">. </w:t>
      </w:r>
      <w:r w:rsidRPr="00333DDE">
        <w:rPr>
          <w:rStyle w:val="StyleUnderline"/>
        </w:rPr>
        <w:t xml:space="preserve">The pandemic revealed just how unprepared and unwilling countries and the international system are to handle global emergencies properly. </w:t>
      </w:r>
      <w:r w:rsidRPr="00871571">
        <w:rPr>
          <w:rStyle w:val="StyleUnderline"/>
          <w:highlight w:val="green"/>
        </w:rPr>
        <w:t xml:space="preserve">In </w:t>
      </w:r>
      <w:r w:rsidRPr="00333DDE">
        <w:rPr>
          <w:rStyle w:val="StyleUnderline"/>
        </w:rPr>
        <w:t xml:space="preserve">this time of genuine </w:t>
      </w:r>
      <w:r w:rsidRPr="00871571">
        <w:rPr>
          <w:rStyle w:val="StyleUnderline"/>
          <w:highlight w:val="green"/>
        </w:rPr>
        <w:t>crisis</w:t>
      </w:r>
      <w:r w:rsidRPr="00333DDE">
        <w:rPr>
          <w:rStyle w:val="StyleUnderline"/>
        </w:rPr>
        <w:t xml:space="preserve">, </w:t>
      </w:r>
      <w:r w:rsidRPr="00871571">
        <w:rPr>
          <w:rStyle w:val="StyleUnderline"/>
          <w:highlight w:val="green"/>
        </w:rPr>
        <w:t xml:space="preserve">governments too often </w:t>
      </w:r>
      <w:r w:rsidRPr="00333DDE">
        <w:rPr>
          <w:rStyle w:val="StyleUnderline"/>
        </w:rPr>
        <w:t xml:space="preserve">abdicated responsibility, ignored scientific advice, </w:t>
      </w:r>
      <w:r w:rsidRPr="00871571">
        <w:rPr>
          <w:rStyle w:val="StyleUnderline"/>
          <w:highlight w:val="green"/>
        </w:rPr>
        <w:t xml:space="preserve">did not </w:t>
      </w:r>
      <w:proofErr w:type="gramStart"/>
      <w:r w:rsidRPr="00871571">
        <w:rPr>
          <w:rStyle w:val="StyleUnderline"/>
          <w:highlight w:val="green"/>
        </w:rPr>
        <w:t>cooperate</w:t>
      </w:r>
      <w:proofErr w:type="gramEnd"/>
      <w:r w:rsidRPr="00871571">
        <w:rPr>
          <w:rStyle w:val="StyleUnderline"/>
          <w:highlight w:val="green"/>
        </w:rPr>
        <w:t xml:space="preserve"> or communicate effectively</w:t>
      </w:r>
      <w:r w:rsidRPr="00B87B97">
        <w:rPr>
          <w:rStyle w:val="StyleUnderline"/>
        </w:rPr>
        <w:t xml:space="preserve">, </w:t>
      </w:r>
      <w:r w:rsidRPr="00871571">
        <w:rPr>
          <w:rStyle w:val="StyleUnderline"/>
          <w:highlight w:val="green"/>
        </w:rPr>
        <w:t xml:space="preserve">and consequently failed to protect </w:t>
      </w:r>
      <w:r w:rsidRPr="00B87B97">
        <w:rPr>
          <w:rStyle w:val="StyleUnderline"/>
        </w:rPr>
        <w:t xml:space="preserve">the health and welfare of </w:t>
      </w:r>
      <w:r w:rsidRPr="00871571">
        <w:rPr>
          <w:rStyle w:val="StyleUnderline"/>
          <w:highlight w:val="green"/>
        </w:rPr>
        <w:t>their citizens</w:t>
      </w:r>
      <w:r w:rsidRPr="00B87B97">
        <w:rPr>
          <w:rStyle w:val="StyleUnderline"/>
        </w:rPr>
        <w:t xml:space="preserve">. As a result, many hundreds of thousands of human beings died needlessly. Though lethal on a </w:t>
      </w:r>
      <w:r w:rsidRPr="001965AA">
        <w:rPr>
          <w:rStyle w:val="StyleUnderline"/>
        </w:rPr>
        <w:t xml:space="preserve">massive scale, this </w:t>
      </w:r>
      <w:proofErr w:type="gramStart"/>
      <w:r w:rsidRPr="001965AA">
        <w:rPr>
          <w:rStyle w:val="StyleUnderline"/>
        </w:rPr>
        <w:t>particular pandemic</w:t>
      </w:r>
      <w:proofErr w:type="gramEnd"/>
      <w:r w:rsidRPr="001965AA">
        <w:rPr>
          <w:rStyle w:val="StyleUnderline"/>
        </w:rPr>
        <w:t xml:space="preserve"> is not an existential threat. Its consequences are grave and will be lasting. But COVID-19 will not obliterate civilization, and we expect the disease to recede eventually</w:t>
      </w:r>
      <w:r w:rsidRPr="001965AA">
        <w:rPr>
          <w:sz w:val="8"/>
        </w:rPr>
        <w:t xml:space="preserve">. </w:t>
      </w:r>
      <w:r w:rsidRPr="001965AA">
        <w:rPr>
          <w:rStyle w:val="StyleUnderline"/>
        </w:rPr>
        <w:t xml:space="preserve">Still, the pandemic serves as a historic wake-up call, a vivid illustration that </w:t>
      </w:r>
      <w:r w:rsidRPr="00871571">
        <w:rPr>
          <w:rStyle w:val="StyleUnderline"/>
          <w:highlight w:val="green"/>
        </w:rPr>
        <w:t xml:space="preserve">national governments and international organizations are unprepared to manage nuclear weapons and climate change, which </w:t>
      </w:r>
      <w:r w:rsidRPr="001965AA">
        <w:rPr>
          <w:rStyle w:val="StyleUnderline"/>
        </w:rPr>
        <w:t xml:space="preserve">currently </w:t>
      </w:r>
      <w:r w:rsidRPr="00871571">
        <w:rPr>
          <w:rStyle w:val="StyleUnderline"/>
          <w:highlight w:val="green"/>
        </w:rPr>
        <w:t>pose existential threats to humanity</w:t>
      </w:r>
      <w:r w:rsidRPr="001965AA">
        <w:rPr>
          <w:rStyle w:val="StyleUnderline"/>
        </w:rPr>
        <w:t xml:space="preserve">, </w:t>
      </w:r>
      <w:r w:rsidRPr="00871571">
        <w:rPr>
          <w:rStyle w:val="StyleUnderline"/>
          <w:highlight w:val="green"/>
        </w:rPr>
        <w:t xml:space="preserve">or </w:t>
      </w:r>
      <w:r w:rsidRPr="001965AA">
        <w:rPr>
          <w:rStyle w:val="StyleUnderline"/>
        </w:rPr>
        <w:t xml:space="preserve">the </w:t>
      </w:r>
      <w:r w:rsidRPr="00871571">
        <w:rPr>
          <w:rStyle w:val="StyleUnderline"/>
          <w:highlight w:val="green"/>
        </w:rPr>
        <w:t>other dangers—including more virulent pandemics and next-gen</w:t>
      </w:r>
      <w:r w:rsidRPr="00805458">
        <w:rPr>
          <w:rStyle w:val="StyleUnderline"/>
        </w:rPr>
        <w:t xml:space="preserve">eration </w:t>
      </w:r>
      <w:r w:rsidRPr="00871571">
        <w:rPr>
          <w:rStyle w:val="StyleUnderline"/>
          <w:highlight w:val="green"/>
        </w:rPr>
        <w:t xml:space="preserve">warfare—that could threaten civilization </w:t>
      </w:r>
      <w:proofErr w:type="gramStart"/>
      <w:r w:rsidRPr="00871571">
        <w:rPr>
          <w:rStyle w:val="StyleUnderline"/>
          <w:highlight w:val="green"/>
        </w:rPr>
        <w:t>in the near future</w:t>
      </w:r>
      <w:proofErr w:type="gramEnd"/>
      <w:r w:rsidRPr="001965AA">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6" w:history="1">
        <w:r w:rsidRPr="001965AA">
          <w:rPr>
            <w:rStyle w:val="Hyperlink"/>
            <w:sz w:val="8"/>
          </w:rPr>
          <w:t>last Doomsday Clock statement</w:t>
        </w:r>
      </w:hyperlink>
      <w:r w:rsidRPr="001965AA">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73688A">
        <w:rPr>
          <w:rStyle w:val="StyleUnderline"/>
        </w:rPr>
        <w:t xml:space="preserve">But </w:t>
      </w:r>
      <w:r w:rsidRPr="00871571">
        <w:rPr>
          <w:rStyle w:val="StyleUnderline"/>
          <w:highlight w:val="green"/>
        </w:rPr>
        <w:t xml:space="preserve">if humanity is to avoid </w:t>
      </w:r>
      <w:r w:rsidRPr="0073688A">
        <w:rPr>
          <w:rStyle w:val="StyleUnderline"/>
        </w:rPr>
        <w:t xml:space="preserve">an </w:t>
      </w:r>
      <w:r w:rsidRPr="00871571">
        <w:rPr>
          <w:rStyle w:val="StyleUnderline"/>
          <w:highlight w:val="green"/>
        </w:rPr>
        <w:t>existential catastrophe</w:t>
      </w:r>
      <w:r w:rsidRPr="0073688A">
        <w:rPr>
          <w:rStyle w:val="StyleUnderline"/>
        </w:rPr>
        <w:t>—one that would dwarf anything it has yet seen—</w:t>
      </w:r>
      <w:r w:rsidRPr="00871571">
        <w:rPr>
          <w:rStyle w:val="StyleUnderline"/>
          <w:highlight w:val="green"/>
        </w:rPr>
        <w:t xml:space="preserve">national leaders must do a far better job </w:t>
      </w:r>
      <w:r w:rsidRPr="0073688A">
        <w:rPr>
          <w:rStyle w:val="StyleUnderline"/>
        </w:rPr>
        <w:t xml:space="preserve">of </w:t>
      </w:r>
      <w:r w:rsidRPr="001965AA">
        <w:rPr>
          <w:rStyle w:val="StyleUnderline"/>
        </w:rPr>
        <w:t xml:space="preserve">countering disinformation, heeding science, and </w:t>
      </w:r>
      <w:r w:rsidRPr="00871571">
        <w:rPr>
          <w:rStyle w:val="StyleUnderline"/>
          <w:highlight w:val="green"/>
        </w:rPr>
        <w:t>cooperating to diminish global risks</w:t>
      </w:r>
      <w:r w:rsidRPr="0073688A">
        <w:rPr>
          <w:rStyle w:val="StyleUnderline"/>
        </w:rPr>
        <w:t xml:space="preserve">. </w:t>
      </w:r>
      <w:r w:rsidRPr="00871571">
        <w:rPr>
          <w:rStyle w:val="StyleUnderline"/>
          <w:highlight w:val="green"/>
        </w:rPr>
        <w:t>Citizens around the world can and should organize</w:t>
      </w:r>
      <w:r w:rsidRPr="0073688A">
        <w:rPr>
          <w:rStyle w:val="StyleUnderline"/>
        </w:rPr>
        <w:t xml:space="preserve"> </w:t>
      </w:r>
      <w:r w:rsidRPr="00871571">
        <w:rPr>
          <w:rStyle w:val="StyleUnderline"/>
          <w:highlight w:val="green"/>
        </w:rPr>
        <w:t>and demand</w:t>
      </w:r>
      <w:r w:rsidRPr="0073688A">
        <w:rPr>
          <w:rStyle w:val="StyleUnderline"/>
        </w:rPr>
        <w:t>—through public protests, at ballot boxes, and in other creative ways—</w:t>
      </w:r>
      <w:r w:rsidRPr="00871571">
        <w:rPr>
          <w:rStyle w:val="StyleUnderline"/>
          <w:highlight w:val="green"/>
        </w:rPr>
        <w:t xml:space="preserve">that their governments </w:t>
      </w:r>
      <w:r w:rsidRPr="0073688A">
        <w:rPr>
          <w:rStyle w:val="StyleUnderline"/>
        </w:rPr>
        <w:t xml:space="preserve">reorder their priorities and </w:t>
      </w:r>
      <w:r w:rsidRPr="00871571">
        <w:rPr>
          <w:rStyle w:val="StyleUnderline"/>
          <w:highlight w:val="green"/>
        </w:rPr>
        <w:t xml:space="preserve">cooperate </w:t>
      </w:r>
      <w:r w:rsidRPr="0073688A">
        <w:rPr>
          <w:rStyle w:val="StyleUnderline"/>
        </w:rPr>
        <w:t xml:space="preserve">domestically and </w:t>
      </w:r>
      <w:r w:rsidRPr="00871571">
        <w:rPr>
          <w:rStyle w:val="StyleUnderline"/>
          <w:highlight w:val="green"/>
        </w:rPr>
        <w:t>internationally to reduce the risk</w:t>
      </w:r>
      <w:r w:rsidRPr="00805458">
        <w:rPr>
          <w:rStyle w:val="StyleUnderline"/>
        </w:rPr>
        <w:t xml:space="preserve"> of nuclear war, climate change, and other </w:t>
      </w:r>
      <w:r w:rsidRPr="00871571">
        <w:rPr>
          <w:rStyle w:val="StyleUnderline"/>
          <w:highlight w:val="green"/>
        </w:rPr>
        <w:t>global disasters</w:t>
      </w:r>
      <w:r w:rsidRPr="00805458">
        <w:rPr>
          <w:rStyle w:val="StyleUnderline"/>
        </w:rPr>
        <w:t>, including pandemic disease</w:t>
      </w:r>
      <w:r w:rsidRPr="0073688A">
        <w:rPr>
          <w:rStyle w:val="StyleUnderline"/>
        </w:rPr>
        <w:t>. We have experienced the consequences of inaction. It is time to respond</w:t>
      </w:r>
      <w:r w:rsidRPr="001965AA">
        <w:rPr>
          <w:sz w:val="8"/>
        </w:rPr>
        <w:t>.</w:t>
      </w:r>
    </w:p>
    <w:bookmarkEnd w:id="3"/>
    <w:p w14:paraId="6EA8C9AF" w14:textId="06FF0D2B" w:rsidR="0038583F" w:rsidRDefault="0038583F" w:rsidP="0038583F">
      <w:pPr>
        <w:pStyle w:val="Heading3"/>
      </w:pPr>
      <w:r w:rsidRPr="0038583F">
        <w:t>External NB</w:t>
      </w:r>
    </w:p>
    <w:p w14:paraId="40077547" w14:textId="77777777" w:rsidR="0038583F" w:rsidRDefault="0038583F" w:rsidP="0038583F">
      <w:pPr>
        <w:rPr>
          <w:rStyle w:val="Style13ptBold"/>
        </w:rPr>
      </w:pPr>
      <w:r>
        <w:rPr>
          <w:rStyle w:val="Style13ptBold"/>
        </w:rPr>
        <w:t xml:space="preserve">McNicholas and </w:t>
      </w:r>
      <w:proofErr w:type="spellStart"/>
      <w:r>
        <w:rPr>
          <w:rStyle w:val="Style13ptBold"/>
        </w:rPr>
        <w:t>Poydock</w:t>
      </w:r>
      <w:proofErr w:type="spellEnd"/>
      <w:r>
        <w:rPr>
          <w:rStyle w:val="Style13ptBold"/>
        </w:rPr>
        <w:t xml:space="preserve"> 20</w:t>
      </w:r>
    </w:p>
    <w:p w14:paraId="32AC9520" w14:textId="520C618E" w:rsidR="0038583F" w:rsidRPr="0038583F" w:rsidRDefault="0038583F" w:rsidP="0038583F">
      <w:r w:rsidRPr="0038583F">
        <w:t>[I literally *just* cut this so cite is just the URL]</w:t>
      </w:r>
    </w:p>
    <w:p w14:paraId="591F14E5" w14:textId="02EF1465" w:rsidR="0038583F" w:rsidRDefault="000A06CE" w:rsidP="0038583F">
      <w:hyperlink r:id="rId17" w:history="1">
        <w:r w:rsidR="0038583F" w:rsidRPr="0071562C">
          <w:rPr>
            <w:rStyle w:val="Hyperlink"/>
          </w:rPr>
          <w:t>https://www.epi.org/blog/thousands-of-workers-have-gone-on-strike-during-the-coronavirus-labor-law-must-be-reformed-to-strengthen-this-fundamental-right/</w:t>
        </w:r>
      </w:hyperlink>
    </w:p>
    <w:p w14:paraId="5C88DD04" w14:textId="11689F34" w:rsidR="0038583F" w:rsidRPr="0038583F" w:rsidRDefault="0038583F" w:rsidP="0038583F">
      <w:r>
        <w:rPr>
          <w:rFonts w:ascii="Arial" w:hAnsi="Arial" w:cs="Arial"/>
          <w:color w:val="333333"/>
          <w:shd w:val="clear" w:color="auto" w:fill="FFFFFF"/>
        </w:rPr>
        <w:t xml:space="preserve">“Most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38583F">
        <w:rPr>
          <w:rFonts w:ascii="Arial" w:hAnsi="Arial" w:cs="Arial"/>
          <w:color w:val="333333"/>
          <w:highlight w:val="green"/>
          <w:u w:val="single"/>
          <w:shd w:val="clear" w:color="auto" w:fill="FFFFFF"/>
        </w:rPr>
        <w:t>There is no federal law that gives public-sector workers the right to strike</w:t>
      </w:r>
      <w:r>
        <w:rPr>
          <w:rFonts w:ascii="Arial" w:hAnsi="Arial" w:cs="Arial"/>
          <w:color w:val="333333"/>
          <w:shd w:val="clear" w:color="auto" w:fill="FFFFFF"/>
        </w:rPr>
        <w:t>”</w:t>
      </w:r>
    </w:p>
    <w:p w14:paraId="394BC1A3" w14:textId="2D4198A3" w:rsidR="0038583F" w:rsidRPr="0038583F" w:rsidRDefault="0038583F" w:rsidP="0038583F">
      <w:pPr>
        <w:pStyle w:val="Heading4"/>
      </w:pPr>
      <w:r>
        <w:t>Right to strike excludes essential workers – adhering to NLRA doesn’t solve that.</w:t>
      </w:r>
    </w:p>
    <w:p w14:paraId="30DEDE0D" w14:textId="61CC1E06" w:rsidR="0038583F" w:rsidRPr="001A6D5A" w:rsidRDefault="0038583F" w:rsidP="0038583F">
      <w:pPr>
        <w:rPr>
          <w:rStyle w:val="Style13ptBold"/>
        </w:rPr>
      </w:pPr>
      <w:proofErr w:type="spellStart"/>
      <w:r w:rsidRPr="001A6D5A">
        <w:rPr>
          <w:rStyle w:val="Style13ptBold"/>
        </w:rPr>
        <w:t>Brudney</w:t>
      </w:r>
      <w:proofErr w:type="spellEnd"/>
      <w:r w:rsidRPr="001A6D5A">
        <w:rPr>
          <w:rStyle w:val="Style13ptBold"/>
        </w:rPr>
        <w:t xml:space="preserve"> 21</w:t>
      </w:r>
    </w:p>
    <w:p w14:paraId="70F977BB" w14:textId="77777777" w:rsidR="0038583F" w:rsidRPr="001A6D5A" w:rsidRDefault="0038583F" w:rsidP="0038583F">
      <w:pPr>
        <w:rPr>
          <w:sz w:val="12"/>
          <w:szCs w:val="12"/>
        </w:rPr>
      </w:pPr>
      <w:r w:rsidRPr="001A6D5A">
        <w:rPr>
          <w:sz w:val="12"/>
          <w:szCs w:val="12"/>
        </w:rPr>
        <w:t xml:space="preserve">James J. </w:t>
      </w:r>
      <w:proofErr w:type="spellStart"/>
      <w:r w:rsidRPr="001A6D5A">
        <w:rPr>
          <w:sz w:val="12"/>
          <w:szCs w:val="12"/>
        </w:rPr>
        <w:t>Brudney</w:t>
      </w:r>
      <w:proofErr w:type="spellEnd"/>
      <w:r w:rsidRPr="001A6D5A">
        <w:rPr>
          <w:sz w:val="12"/>
          <w:szCs w:val="12"/>
        </w:rPr>
        <w:t xml:space="preserve">, Joseph Crowley Chair in Labor and Employment Law, Fordham Law School. Yale Journal of International Law, 2021. “The Right to Strike as Customary International Law” </w:t>
      </w:r>
      <w:hyperlink r:id="rId18" w:history="1">
        <w:r w:rsidRPr="001A6D5A">
          <w:rPr>
            <w:rStyle w:val="Hyperlink"/>
            <w:sz w:val="12"/>
            <w:szCs w:val="12"/>
          </w:rPr>
          <w:t>https://digitalcommons.law.yale.edu/cgi/viewcontent.cgi?article=1710&amp;context=yjil</w:t>
        </w:r>
      </w:hyperlink>
      <w:r w:rsidRPr="001A6D5A">
        <w:rPr>
          <w:sz w:val="12"/>
          <w:szCs w:val="12"/>
        </w:rPr>
        <w:t xml:space="preserve"> </w:t>
      </w:r>
      <w:proofErr w:type="spellStart"/>
      <w:r w:rsidRPr="001A6D5A">
        <w:rPr>
          <w:sz w:val="12"/>
          <w:szCs w:val="12"/>
        </w:rPr>
        <w:t>brett</w:t>
      </w:r>
      <w:proofErr w:type="spellEnd"/>
    </w:p>
    <w:p w14:paraId="2D732710" w14:textId="77777777" w:rsidR="0038583F" w:rsidRPr="00264717" w:rsidRDefault="0038583F" w:rsidP="0038583F">
      <w:pPr>
        <w:rPr>
          <w:sz w:val="10"/>
        </w:rPr>
      </w:pPr>
      <w:r w:rsidRPr="00871571">
        <w:rPr>
          <w:rStyle w:val="StyleUnderline"/>
          <w:highlight w:val="green"/>
        </w:rPr>
        <w:t>The</w:t>
      </w:r>
      <w:r w:rsidRPr="001A6D5A">
        <w:rPr>
          <w:rStyle w:val="StyleUnderline"/>
        </w:rPr>
        <w:t xml:space="preserve"> international </w:t>
      </w:r>
      <w:r w:rsidRPr="00871571">
        <w:rPr>
          <w:rStyle w:val="StyleUnderline"/>
          <w:highlight w:val="green"/>
        </w:rPr>
        <w:t>right to strike</w:t>
      </w:r>
      <w:r w:rsidRPr="001A6D5A">
        <w:rPr>
          <w:rStyle w:val="StyleUnderline"/>
        </w:rPr>
        <w:t xml:space="preserve"> is far from absolute. It </w:t>
      </w:r>
      <w:r w:rsidRPr="00871571">
        <w:rPr>
          <w:rStyle w:val="StyleUnderline"/>
          <w:highlight w:val="green"/>
        </w:rPr>
        <w:t>may be restricted</w:t>
      </w:r>
      <w:r w:rsidRPr="001A6D5A">
        <w:rPr>
          <w:rStyle w:val="StyleUnderline"/>
        </w:rPr>
        <w:t xml:space="preserve"> in exceptional circumstances, or even prohibited, </w:t>
      </w:r>
      <w:r w:rsidRPr="00871571">
        <w:rPr>
          <w:rStyle w:val="StyleUnderline"/>
          <w:highlight w:val="green"/>
        </w:rPr>
        <w:t>pursuant to national regulation</w:t>
      </w:r>
      <w:r w:rsidRPr="00264717">
        <w:rPr>
          <w:sz w:val="10"/>
        </w:rPr>
        <w:t xml:space="preserve">.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 1. Substantive Limitations 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 Each country </w:t>
      </w:r>
      <w:proofErr w:type="spellStart"/>
      <w:r w:rsidRPr="00264717">
        <w:rPr>
          <w:sz w:val="10"/>
        </w:rPr>
        <w:t>hasits</w:t>
      </w:r>
      <w:proofErr w:type="spellEnd"/>
      <w:r w:rsidRPr="00264717">
        <w:rPr>
          <w:sz w:val="10"/>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w:t>
      </w:r>
      <w:r w:rsidRPr="00871571">
        <w:rPr>
          <w:rStyle w:val="StyleUnderline"/>
          <w:highlight w:val="green"/>
        </w:rPr>
        <w:t>one</w:t>
      </w:r>
      <w:r w:rsidRPr="00264717">
        <w:rPr>
          <w:sz w:val="10"/>
        </w:rPr>
        <w:t xml:space="preserve"> on which the CEACR and CFA have offered encouragement and guidance,61 as has the Committee on Economic, Social and Cultural Rights (CESCR).62 </w:t>
      </w:r>
      <w:r w:rsidRPr="001A6D5A">
        <w:rPr>
          <w:rStyle w:val="StyleUnderline"/>
        </w:rPr>
        <w:t xml:space="preserve">A second equally </w:t>
      </w:r>
      <w:r w:rsidRPr="00871571">
        <w:rPr>
          <w:rStyle w:val="StyleUnderline"/>
          <w:highlight w:val="green"/>
        </w:rPr>
        <w:t xml:space="preserve">important restriction </w:t>
      </w:r>
      <w:r w:rsidRPr="001A6D5A">
        <w:rPr>
          <w:rStyle w:val="StyleUnderline"/>
        </w:rPr>
        <w:t xml:space="preserve">on the right to strike </w:t>
      </w:r>
      <w:r w:rsidRPr="00871571">
        <w:rPr>
          <w:rStyle w:val="StyleUnderline"/>
          <w:highlight w:val="green"/>
        </w:rPr>
        <w:t>involves essential services</w:t>
      </w:r>
      <w:r w:rsidRPr="001A6D5A">
        <w:rPr>
          <w:rStyle w:val="StyleUnderline"/>
        </w:rPr>
        <w:t xml:space="preserve"> in the strict sense of the term</w:t>
      </w:r>
      <w:r w:rsidRPr="00264717">
        <w:rPr>
          <w:sz w:val="10"/>
        </w:rPr>
        <w:t xml:space="preserve">. This is an area in which both the CEACR and CFA have developed a detailed set of applications and guidelines. 63 </w:t>
      </w:r>
      <w:r w:rsidRPr="001A6D5A">
        <w:rPr>
          <w:rStyle w:val="StyleUnderline"/>
        </w:rPr>
        <w:t xml:space="preserve">The two committees consider that essential services, for the purposes of restricting or prohibiting the right to strike, are only those </w:t>
      </w:r>
      <w:r w:rsidRPr="00871571">
        <w:rPr>
          <w:rStyle w:val="StyleUnderline"/>
          <w:highlight w:val="green"/>
        </w:rPr>
        <w:t xml:space="preserve">“the interruption of which would endanger the </w:t>
      </w:r>
      <w:r w:rsidRPr="001A6D5A">
        <w:rPr>
          <w:rStyle w:val="StyleUnderline"/>
        </w:rPr>
        <w:t xml:space="preserve">life, personal safety or health of the whole or part of the </w:t>
      </w:r>
      <w:r w:rsidRPr="00871571">
        <w:rPr>
          <w:rStyle w:val="StyleUnderline"/>
          <w:highlight w:val="green"/>
        </w:rPr>
        <w:t>population</w:t>
      </w:r>
      <w:r w:rsidRPr="001A6D5A">
        <w:rPr>
          <w:rStyle w:val="StyleUnderline"/>
        </w:rPr>
        <w:t>.</w:t>
      </w:r>
      <w:r w:rsidRPr="00264717">
        <w:rPr>
          <w:sz w:val="10"/>
        </w:rPr>
        <w:t xml:space="preserve">”64 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w:t>
      </w:r>
      <w:r w:rsidRPr="00264717">
        <w:rPr>
          <w:rStyle w:val="StyleUnderline"/>
        </w:rPr>
        <w:t xml:space="preserve">The two </w:t>
      </w:r>
      <w:r w:rsidRPr="00871571">
        <w:rPr>
          <w:rStyle w:val="StyleUnderline"/>
          <w:highlight w:val="green"/>
        </w:rPr>
        <w:t>ILO</w:t>
      </w:r>
      <w:r w:rsidRPr="00264717">
        <w:rPr>
          <w:rStyle w:val="StyleUnderline"/>
        </w:rPr>
        <w:t xml:space="preserve"> supervisory </w:t>
      </w:r>
      <w:r w:rsidRPr="00871571">
        <w:rPr>
          <w:rStyle w:val="StyleUnderline"/>
          <w:highlight w:val="green"/>
        </w:rPr>
        <w:t>committees</w:t>
      </w:r>
      <w:r w:rsidRPr="00264717">
        <w:rPr>
          <w:rStyle w:val="StyleUnderline"/>
        </w:rPr>
        <w:t xml:space="preserve"> also have </w:t>
      </w:r>
      <w:r w:rsidRPr="00871571">
        <w:rPr>
          <w:rStyle w:val="StyleUnderline"/>
          <w:highlight w:val="green"/>
        </w:rPr>
        <w:t>made clear</w:t>
      </w:r>
      <w:r w:rsidRPr="00264717">
        <w:rPr>
          <w:rStyle w:val="StyleUnderline"/>
        </w:rPr>
        <w:t xml:space="preserve"> </w:t>
      </w:r>
      <w:r w:rsidRPr="00871571">
        <w:rPr>
          <w:rStyle w:val="StyleUnderline"/>
          <w:highlight w:val="green"/>
        </w:rPr>
        <w:t>that</w:t>
      </w:r>
      <w:r w:rsidRPr="00264717">
        <w:rPr>
          <w:rStyle w:val="StyleUnderline"/>
        </w:rPr>
        <w:t xml:space="preserve"> the </w:t>
      </w:r>
      <w:r w:rsidRPr="00871571">
        <w:rPr>
          <w:rStyle w:val="StyleUnderline"/>
          <w:highlight w:val="green"/>
        </w:rPr>
        <w:t>essential services</w:t>
      </w:r>
      <w:r w:rsidRPr="00264717">
        <w:rPr>
          <w:rStyle w:val="StyleUnderline"/>
        </w:rPr>
        <w:t xml:space="preserve"> concept </w:t>
      </w:r>
      <w:r w:rsidRPr="00871571">
        <w:rPr>
          <w:rStyle w:val="StyleUnderline"/>
          <w:highlight w:val="green"/>
        </w:rPr>
        <w:t>is not static</w:t>
      </w:r>
      <w:r w:rsidRPr="00264717">
        <w:rPr>
          <w:rStyle w:val="StyleUnderline"/>
        </w:rPr>
        <w:t xml:space="preserve"> in nature. Thus, </w:t>
      </w:r>
      <w:r w:rsidRPr="00871571">
        <w:rPr>
          <w:rStyle w:val="StyleUnderline"/>
          <w:highlight w:val="green"/>
        </w:rPr>
        <w:t>a non-essential service may become essential</w:t>
      </w:r>
      <w:r w:rsidRPr="00264717">
        <w:rPr>
          <w:rStyle w:val="StyleUnderline"/>
        </w:rPr>
        <w:t xml:space="preserve"> if the strike exceeds a certain duration or extent, or as a function of the special characteristics of a country. 66 </w:t>
      </w:r>
      <w:r w:rsidRPr="00871571">
        <w:rPr>
          <w:rStyle w:val="StyleUnderline"/>
          <w:highlight w:val="green"/>
        </w:rPr>
        <w:t>One example is</w:t>
      </w:r>
      <w:r w:rsidRPr="00264717">
        <w:rPr>
          <w:rStyle w:val="StyleUnderline"/>
        </w:rPr>
        <w:t xml:space="preserve"> that of </w:t>
      </w:r>
      <w:r w:rsidRPr="00871571">
        <w:rPr>
          <w:rStyle w:val="StyleUnderline"/>
          <w:highlight w:val="green"/>
        </w:rPr>
        <w:t>a</w:t>
      </w:r>
      <w:r w:rsidRPr="00264717">
        <w:rPr>
          <w:rStyle w:val="StyleUnderline"/>
        </w:rPr>
        <w:t xml:space="preserve">n island </w:t>
      </w:r>
      <w:r w:rsidRPr="00871571">
        <w:rPr>
          <w:rStyle w:val="StyleUnderline"/>
          <w:highlight w:val="green"/>
        </w:rPr>
        <w:t>State where</w:t>
      </w:r>
      <w:r w:rsidRPr="00264717">
        <w:rPr>
          <w:rStyle w:val="StyleUnderline"/>
        </w:rPr>
        <w:t xml:space="preserve"> at some point ferry </w:t>
      </w:r>
      <w:r w:rsidRPr="00871571">
        <w:rPr>
          <w:rStyle w:val="StyleUnderline"/>
          <w:highlight w:val="green"/>
        </w:rPr>
        <w:t>transportation services become essential to bring food</w:t>
      </w:r>
      <w:r w:rsidRPr="00264717">
        <w:rPr>
          <w:rStyle w:val="StyleUnderline"/>
        </w:rPr>
        <w:t xml:space="preserve"> and medical supplies </w:t>
      </w:r>
      <w:r w:rsidRPr="00871571">
        <w:rPr>
          <w:rStyle w:val="StyleUnderline"/>
          <w:highlight w:val="green"/>
        </w:rPr>
        <w:t>to the population</w:t>
      </w:r>
      <w:r w:rsidRPr="00264717">
        <w:rPr>
          <w:sz w:val="10"/>
        </w:rPr>
        <w:t xml:space="preserve">.67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 </w:t>
      </w:r>
      <w:r w:rsidRPr="00264717">
        <w:rPr>
          <w:rStyle w:val="StyleUnderline"/>
        </w:rPr>
        <w:t xml:space="preserve">In addition, in circumstances where a total prohibition on the right to strike is not appropriate, </w:t>
      </w:r>
      <w:r w:rsidRPr="00871571">
        <w:rPr>
          <w:rStyle w:val="StyleUnderline"/>
          <w:highlight w:val="green"/>
        </w:rPr>
        <w:t>the</w:t>
      </w:r>
      <w:r w:rsidRPr="00264717">
        <w:rPr>
          <w:rStyle w:val="StyleUnderline"/>
        </w:rPr>
        <w:t xml:space="preserve"> </w:t>
      </w:r>
      <w:r w:rsidRPr="00871571">
        <w:rPr>
          <w:rStyle w:val="StyleUnderline"/>
          <w:highlight w:val="green"/>
        </w:rPr>
        <w:t xml:space="preserve">magnitude of impact </w:t>
      </w:r>
      <w:r w:rsidRPr="00264717">
        <w:rPr>
          <w:rStyle w:val="StyleUnderline"/>
        </w:rPr>
        <w:t xml:space="preserve">on the basic needs of consumers or the general public, or the need for safe operation of facilities, </w:t>
      </w:r>
      <w:r w:rsidRPr="00871571">
        <w:rPr>
          <w:rStyle w:val="StyleUnderline"/>
          <w:highlight w:val="green"/>
        </w:rPr>
        <w:t>may justify introduction of</w:t>
      </w:r>
      <w:r w:rsidRPr="00264717">
        <w:rPr>
          <w:rStyle w:val="StyleUnderline"/>
        </w:rPr>
        <w:t xml:space="preserve"> a negotiated </w:t>
      </w:r>
      <w:r w:rsidRPr="00871571">
        <w:rPr>
          <w:rStyle w:val="StyleUnderline"/>
          <w:highlight w:val="green"/>
        </w:rPr>
        <w:t>minimum service</w:t>
      </w:r>
      <w:r w:rsidRPr="00264717">
        <w:rPr>
          <w:rStyle w:val="StyleUnderline"/>
        </w:rPr>
        <w:t xml:space="preserve">.72 Such a service, however, must truly be a minimum service, that is one </w:t>
      </w:r>
      <w:r w:rsidRPr="00871571">
        <w:rPr>
          <w:rStyle w:val="StyleUnderline"/>
          <w:highlight w:val="green"/>
        </w:rPr>
        <w:t>limited to meeting</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basic needs</w:t>
      </w:r>
      <w:r w:rsidRPr="00264717">
        <w:rPr>
          <w:rStyle w:val="StyleUnderline"/>
        </w:rPr>
        <w:t xml:space="preserve"> </w:t>
      </w:r>
      <w:r w:rsidRPr="00871571">
        <w:rPr>
          <w:rStyle w:val="StyleUnderline"/>
          <w:highlight w:val="green"/>
        </w:rPr>
        <w:t xml:space="preserve">of the population </w:t>
      </w:r>
      <w:r w:rsidRPr="00264717">
        <w:rPr>
          <w:rStyle w:val="StyleUnderline"/>
        </w:rPr>
        <w:t xml:space="preserve">or the minimum requirements of the service, </w:t>
      </w:r>
      <w:r w:rsidRPr="00871571">
        <w:rPr>
          <w:rStyle w:val="StyleUnderline"/>
          <w:highlight w:val="green"/>
        </w:rPr>
        <w:t>while maintaining</w:t>
      </w:r>
      <w:r w:rsidRPr="00264717">
        <w:rPr>
          <w:rStyle w:val="StyleUnderline"/>
        </w:rPr>
        <w:t xml:space="preserve"> </w:t>
      </w:r>
      <w:r w:rsidRPr="00871571">
        <w:rPr>
          <w:rStyle w:val="StyleUnderline"/>
          <w:highlight w:val="green"/>
        </w:rPr>
        <w:t>the effectiveness of the</w:t>
      </w:r>
      <w:r w:rsidRPr="00264717">
        <w:rPr>
          <w:rStyle w:val="StyleUnderline"/>
        </w:rPr>
        <w:t xml:space="preserve"> </w:t>
      </w:r>
      <w:r w:rsidRPr="00871571">
        <w:rPr>
          <w:rStyle w:val="StyleUnderline"/>
          <w:highlight w:val="green"/>
        </w:rPr>
        <w:t>pressure</w:t>
      </w:r>
      <w:r w:rsidRPr="00264717">
        <w:rPr>
          <w:rStyle w:val="StyleUnderline"/>
        </w:rPr>
        <w:t xml:space="preserve"> brought to bear </w:t>
      </w:r>
      <w:r w:rsidRPr="00871571">
        <w:rPr>
          <w:rStyle w:val="StyleUnderline"/>
          <w:highlight w:val="green"/>
        </w:rPr>
        <w:t>through the strike</w:t>
      </w:r>
      <w:r w:rsidRPr="00264717">
        <w:rPr>
          <w:rStyle w:val="StyleUnderline"/>
        </w:rPr>
        <w:t xml:space="preserve"> by a majority of workers</w:t>
      </w:r>
      <w:r w:rsidRPr="00264717">
        <w:rPr>
          <w:sz w:val="10"/>
        </w:rPr>
        <w:t xml:space="preserve">.73 The third substantive restriction on the right to strike under Convention 87 relates to situations of acute national or local crisis, although only for a limited period and only to the extent necessary to meet the requirements of the situation.74 </w:t>
      </w:r>
      <w:r w:rsidRPr="00264717">
        <w:rPr>
          <w:rStyle w:val="StyleUnderline"/>
        </w:rPr>
        <w:t xml:space="preserve">With respect to all three forms of substantive restriction, the CFA and CEACR have indicated that certain </w:t>
      </w:r>
      <w:r w:rsidRPr="00871571">
        <w:rPr>
          <w:rStyle w:val="StyleUnderline"/>
          <w:highlight w:val="green"/>
        </w:rPr>
        <w:t xml:space="preserve">alternative options </w:t>
      </w:r>
      <w:r w:rsidRPr="00264717">
        <w:rPr>
          <w:rStyle w:val="StyleUnderline"/>
        </w:rPr>
        <w:t xml:space="preserve">should be guaranteed for workers who are deprived of the right to strike. These options </w:t>
      </w:r>
      <w:r w:rsidRPr="00871571">
        <w:rPr>
          <w:rStyle w:val="StyleUnderline"/>
          <w:highlight w:val="green"/>
        </w:rPr>
        <w:t>include</w:t>
      </w:r>
      <w:r w:rsidRPr="00264717">
        <w:rPr>
          <w:rStyle w:val="StyleUnderline"/>
        </w:rPr>
        <w:t xml:space="preserve"> impartial conciliation followed by </w:t>
      </w:r>
      <w:r w:rsidRPr="00871571">
        <w:rPr>
          <w:rStyle w:val="StyleUnderline"/>
          <w:highlight w:val="green"/>
        </w:rPr>
        <w:t xml:space="preserve">arbitration </w:t>
      </w:r>
      <w:r w:rsidRPr="00264717">
        <w:rPr>
          <w:rStyle w:val="StyleUnderline"/>
        </w:rPr>
        <w:t xml:space="preserve">procedures </w:t>
      </w:r>
      <w:r w:rsidRPr="00871571">
        <w:rPr>
          <w:rStyle w:val="StyleUnderline"/>
          <w:highlight w:val="green"/>
        </w:rPr>
        <w:t>in which any awards are binding on both parties</w:t>
      </w:r>
      <w:r w:rsidRPr="00264717">
        <w:rPr>
          <w:rStyle w:val="StyleUnderline"/>
        </w:rPr>
        <w:t xml:space="preserve"> </w:t>
      </w:r>
      <w:r w:rsidRPr="00871571">
        <w:rPr>
          <w:rStyle w:val="StyleUnderline"/>
          <w:highlight w:val="green"/>
        </w:rPr>
        <w:t>and</w:t>
      </w:r>
      <w:r w:rsidRPr="00264717">
        <w:rPr>
          <w:rStyle w:val="StyleUnderline"/>
        </w:rPr>
        <w:t xml:space="preserve"> are to be </w:t>
      </w:r>
      <w:r w:rsidRPr="00871571">
        <w:rPr>
          <w:rStyle w:val="StyleUnderline"/>
          <w:highlight w:val="green"/>
        </w:rPr>
        <w:t>implemented in full and rapid terms</w:t>
      </w:r>
      <w:r w:rsidRPr="00264717">
        <w:rPr>
          <w:sz w:val="10"/>
        </w:rPr>
        <w:t>.75</w:t>
      </w:r>
    </w:p>
    <w:p w14:paraId="35AE5A78" w14:textId="77777777" w:rsidR="0038583F" w:rsidRPr="007520ED" w:rsidRDefault="0038583F" w:rsidP="0038583F">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Essential worker strikes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w:t>
      </w:r>
    </w:p>
    <w:p w14:paraId="7CD17645" w14:textId="77777777" w:rsidR="0038583F" w:rsidRDefault="0038583F" w:rsidP="0038583F">
      <w:pPr>
        <w:rPr>
          <w:rStyle w:val="Style13ptBold"/>
          <w:rFonts w:asciiTheme="minorHAnsi" w:hAnsiTheme="minorHAnsi" w:cstheme="minorHAnsi"/>
        </w:rPr>
      </w:pPr>
      <w:r w:rsidRPr="006838E1">
        <w:rPr>
          <w:rStyle w:val="Style13ptBold"/>
          <w:rFonts w:asciiTheme="minorHAnsi" w:hAnsiTheme="minorHAnsi" w:cstheme="minorHAnsi"/>
        </w:rPr>
        <w:t>Lopes et al 19</w:t>
      </w:r>
    </w:p>
    <w:p w14:paraId="0AB33C9E" w14:textId="77777777" w:rsidR="0038583F" w:rsidRPr="00264717" w:rsidRDefault="0038583F" w:rsidP="0038583F">
      <w:pPr>
        <w:rPr>
          <w:rFonts w:asciiTheme="minorHAnsi" w:hAnsiTheme="minorHAnsi" w:cstheme="minorHAnsi"/>
          <w:sz w:val="12"/>
          <w:szCs w:val="12"/>
        </w:rPr>
      </w:pPr>
      <w:r w:rsidRPr="00264717">
        <w:rPr>
          <w:rFonts w:asciiTheme="minorHAnsi" w:hAnsiTheme="minorHAnsi" w:cstheme="minorHAnsi"/>
          <w:sz w:val="12"/>
          <w:szCs w:val="12"/>
        </w:rPr>
        <w:t>Mariana Souza Lopes--</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Belo Horizonte, MG, Brazil. Melissa Luciana de Araújo--</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Urban Agriculture, Belo Horizonte, MG, Brazil. Aline Cristine Souza Lopes--Nutrition Department, </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PHN, (2019) </w:t>
      </w:r>
      <w:hyperlink r:id="rId19" w:history="1">
        <w:r w:rsidRPr="00264717">
          <w:rPr>
            <w:rStyle w:val="Hyperlink"/>
            <w:rFonts w:asciiTheme="minorHAnsi" w:hAnsiTheme="minorHAnsi" w:cstheme="minorHAnsi"/>
            <w:sz w:val="12"/>
            <w:szCs w:val="12"/>
          </w:rPr>
          <w:t>https://www.cambridge.org/core/journals/public-health-nutrition/article/national-general-truck-drivers-strike-and-food-security-in-a-brazilian-metropolis/90C14AC48923A17597DED720365E810B</w:t>
        </w:r>
      </w:hyperlink>
      <w:r w:rsidRPr="00264717">
        <w:rPr>
          <w:rFonts w:asciiTheme="minorHAnsi" w:hAnsiTheme="minorHAnsi" w:cstheme="minorHAnsi"/>
          <w:sz w:val="12"/>
          <w:szCs w:val="12"/>
        </w:rPr>
        <w:t xml:space="preserve">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19291D24" w14:textId="77777777" w:rsidR="0038583F" w:rsidRPr="004A1182" w:rsidRDefault="0038583F" w:rsidP="0038583F">
      <w:pPr>
        <w:rPr>
          <w:rFonts w:asciiTheme="minorHAnsi" w:hAnsiTheme="minorHAnsi" w:cstheme="minorHAnsi"/>
          <w:sz w:val="12"/>
        </w:rPr>
      </w:pPr>
      <w:r w:rsidRPr="00871571">
        <w:rPr>
          <w:rStyle w:val="StyleUnderline"/>
          <w:highlight w:val="green"/>
        </w:rPr>
        <w:t>Food security</w:t>
      </w:r>
      <w:r w:rsidRPr="00264717">
        <w:rPr>
          <w:rStyle w:val="StyleUnderline"/>
        </w:rPr>
        <w:t xml:space="preserve"> exists when people have, </w:t>
      </w:r>
      <w:proofErr w:type="gramStart"/>
      <w:r w:rsidRPr="00264717">
        <w:rPr>
          <w:rStyle w:val="StyleUnderline"/>
        </w:rPr>
        <w:t>at all times</w:t>
      </w:r>
      <w:proofErr w:type="gramEnd"/>
      <w:r w:rsidRPr="00264717">
        <w:rPr>
          <w:rStyle w:val="StyleUnderline"/>
        </w:rPr>
        <w:t xml:space="preserve">, a guaranteed and adequate food supply. Food security involves access to sufficient, </w:t>
      </w:r>
      <w:proofErr w:type="gramStart"/>
      <w:r w:rsidRPr="00264717">
        <w:rPr>
          <w:rStyle w:val="StyleUnderline"/>
        </w:rPr>
        <w:t>safe</w:t>
      </w:r>
      <w:proofErr w:type="gramEnd"/>
      <w:r w:rsidRPr="00264717">
        <w:rPr>
          <w:rStyle w:val="StyleUnderline"/>
        </w:rPr>
        <w:t xml:space="preserve"> and nutritious food that meets individual dietary requirements and food preferences for a healthy life without restricting access to other fundamental needs( 1 ) and sovereignty( 2 ). Therefore, the risk of food insecurity </w:t>
      </w:r>
      <w:r w:rsidRPr="00871571">
        <w:rPr>
          <w:rStyle w:val="StyleUnderline"/>
          <w:highlight w:val="green"/>
        </w:rPr>
        <w:t>is influenced by</w:t>
      </w:r>
      <w:r w:rsidRPr="00264717">
        <w:rPr>
          <w:rStyle w:val="StyleUnderline"/>
        </w:rPr>
        <w:t xml:space="preserve"> the </w:t>
      </w:r>
      <w:r w:rsidRPr="00871571">
        <w:rPr>
          <w:rStyle w:val="StyleUnderline"/>
          <w:highlight w:val="green"/>
        </w:rPr>
        <w:t>availability, price</w:t>
      </w:r>
      <w:r w:rsidRPr="00264717">
        <w:rPr>
          <w:rStyle w:val="StyleUnderline"/>
        </w:rPr>
        <w:t xml:space="preserve">, </w:t>
      </w:r>
      <w:proofErr w:type="gramStart"/>
      <w:r w:rsidRPr="00264717">
        <w:rPr>
          <w:rStyle w:val="StyleUnderline"/>
        </w:rPr>
        <w:t>access</w:t>
      </w:r>
      <w:proofErr w:type="gramEnd"/>
      <w:r w:rsidRPr="00264717">
        <w:rPr>
          <w:rStyle w:val="StyleUnderline"/>
        </w:rPr>
        <w:t xml:space="preserve"> </w:t>
      </w:r>
      <w:r w:rsidRPr="00871571">
        <w:rPr>
          <w:rStyle w:val="StyleUnderline"/>
          <w:highlight w:val="green"/>
        </w:rPr>
        <w:t>and</w:t>
      </w:r>
      <w:r w:rsidRPr="00264717">
        <w:rPr>
          <w:rStyle w:val="StyleUnderline"/>
        </w:rPr>
        <w:t xml:space="preserve"> quality of the </w:t>
      </w:r>
      <w:r w:rsidRPr="00871571">
        <w:rPr>
          <w:rStyle w:val="StyleUnderline"/>
          <w:highlight w:val="green"/>
        </w:rPr>
        <w:t>food supply</w:t>
      </w:r>
      <w:r w:rsidRPr="00264717">
        <w:rPr>
          <w:rStyle w:val="StyleUnderline"/>
        </w:rPr>
        <w:t xml:space="preserve"> to the consumer, </w:t>
      </w:r>
      <w:r w:rsidRPr="00871571">
        <w:rPr>
          <w:rStyle w:val="StyleUnderline"/>
          <w:highlight w:val="green"/>
        </w:rPr>
        <w:t>especially in a crisis situation</w:t>
      </w:r>
      <w:r w:rsidRPr="004A1182">
        <w:rPr>
          <w:sz w:val="12"/>
        </w:rPr>
        <w:t xml:space="preserve">( 3 ). Studies that have explored the global food crisis and market instability indicate that there is an independent association between crisis situations and food security( 4 , 5 ). For example, a recent Brazilian study showed that there was a marked increase in the prevalence of food insecurity during the Brazilian economic crisis( 4 ). In Brazil, the </w:t>
      </w:r>
      <w:proofErr w:type="spellStart"/>
      <w:r w:rsidRPr="004A1182">
        <w:rPr>
          <w:sz w:val="12"/>
        </w:rPr>
        <w:t>Centrais</w:t>
      </w:r>
      <w:proofErr w:type="spellEnd"/>
      <w:r w:rsidRPr="004A1182">
        <w:rPr>
          <w:sz w:val="12"/>
        </w:rPr>
        <w:t xml:space="preserve"> de </w:t>
      </w:r>
      <w:proofErr w:type="spellStart"/>
      <w:r w:rsidRPr="004A1182">
        <w:rPr>
          <w:sz w:val="12"/>
        </w:rPr>
        <w:t>Abastecimento</w:t>
      </w:r>
      <w:proofErr w:type="spellEnd"/>
      <w:r w:rsidRPr="004A1182">
        <w:rPr>
          <w:sz w:val="12"/>
        </w:rPr>
        <w:t xml:space="preserve"> de Minas Gerais S.A. (CEASA-MINAS) distributes produce. The aims of the CEASA-MINAS are to: (</w:t>
      </w:r>
      <w:proofErr w:type="spellStart"/>
      <w:r w:rsidRPr="004A1182">
        <w:rPr>
          <w:sz w:val="12"/>
        </w:rPr>
        <w:t>i</w:t>
      </w:r>
      <w:proofErr w:type="spellEnd"/>
      <w:r w:rsidRPr="004A1182">
        <w:rPr>
          <w:sz w:val="12"/>
        </w:rPr>
        <w:t xml:space="preserve">) improve the process of marketing and distribution of products; and (ii) connect producers and consumers in urban </w:t>
      </w:r>
      <w:proofErr w:type="spellStart"/>
      <w:r w:rsidRPr="004A1182">
        <w:rPr>
          <w:sz w:val="12"/>
        </w:rPr>
        <w:t>centres</w:t>
      </w:r>
      <w:proofErr w:type="spellEnd"/>
      <w:r w:rsidRPr="004A1182">
        <w:rPr>
          <w:sz w:val="12"/>
        </w:rPr>
        <w:t xml:space="preserve">. The CEASA-MINAS is supported by mixed-capital (public and private) resources and operates under governmental supervision. Consequently, the CEASA-MINAS plays an important role in guaranteeing food security and the human right to food( 6 ). The state of Minas Gerais is the third-largest economy in Brazil and has one of the best transport networks in the country. The CEASA-MINAS has six units in this state and its headquarters is in the city of </w:t>
      </w:r>
      <w:proofErr w:type="spellStart"/>
      <w:r w:rsidRPr="004A1182">
        <w:rPr>
          <w:sz w:val="12"/>
        </w:rPr>
        <w:t>Contagem</w:t>
      </w:r>
      <w:proofErr w:type="spellEnd"/>
      <w:r w:rsidRPr="004A1182">
        <w:rPr>
          <w:sz w:val="12"/>
        </w:rPr>
        <w:t xml:space="preserve">, in the metropolitan region of Belo Horizonte. The headquarters is the principal unit and is named CEASA-Minas Grande BH( 7 ). In 2018, the CEASA-Minas Grande BH traded about 2000 </w:t>
      </w:r>
      <w:proofErr w:type="spellStart"/>
      <w:r w:rsidRPr="004A1182">
        <w:rPr>
          <w:sz w:val="12"/>
        </w:rPr>
        <w:t>tonnes</w:t>
      </w:r>
      <w:proofErr w:type="spellEnd"/>
      <w:r w:rsidRPr="004A1182">
        <w:rPr>
          <w:sz w:val="12"/>
        </w:rPr>
        <w:t xml:space="preserve"> of food, which corresponded to 80 % of the total market in the state( 8 ). Therefore, this business unit is the subject of the present study. The supply of unprocessed or minimally processed foods* in the CEASA-MINAS is self-supplied by the state of Minas Gerais. </w:t>
      </w:r>
      <w:proofErr w:type="gramStart"/>
      <w:r w:rsidRPr="004A1182">
        <w:rPr>
          <w:sz w:val="12"/>
        </w:rPr>
        <w:t>In spite of</w:t>
      </w:r>
      <w:proofErr w:type="gramEnd"/>
      <w:r w:rsidRPr="004A1182">
        <w:rPr>
          <w:sz w:val="12"/>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r w:rsidRPr="004A1182">
        <w:rPr>
          <w:sz w:val="12"/>
        </w:rPr>
        <w:t>centre</w:t>
      </w:r>
      <w:proofErr w:type="spellEnd"/>
      <w:r w:rsidRPr="004A1182">
        <w:rPr>
          <w:sz w:val="12"/>
        </w:rPr>
        <w:t xml:space="preserve">( 10 ).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 </w:t>
      </w:r>
      <w:r w:rsidRPr="00264717">
        <w:rPr>
          <w:rStyle w:val="StyleUnderline"/>
        </w:rPr>
        <w:t xml:space="preserve">Consequently, </w:t>
      </w:r>
      <w:r w:rsidRPr="00871571">
        <w:rPr>
          <w:rStyle w:val="StyleUnderline"/>
          <w:highlight w:val="green"/>
        </w:rPr>
        <w:t xml:space="preserve">a </w:t>
      </w:r>
      <w:r w:rsidRPr="00264717">
        <w:rPr>
          <w:rStyle w:val="StyleUnderline"/>
        </w:rPr>
        <w:t xml:space="preserve">national general truck drivers’ </w:t>
      </w:r>
      <w:r w:rsidRPr="00871571">
        <w:rPr>
          <w:rStyle w:val="StyleUnderline"/>
          <w:highlight w:val="green"/>
        </w:rPr>
        <w:t>strike</w:t>
      </w:r>
      <w:r w:rsidRPr="00264717">
        <w:rPr>
          <w:rStyle w:val="StyleUnderline"/>
        </w:rPr>
        <w:t xml:space="preserve"> </w:t>
      </w:r>
      <w:r w:rsidRPr="00871571">
        <w:rPr>
          <w:rStyle w:val="StyleUnderline"/>
          <w:highlight w:val="green"/>
        </w:rPr>
        <w:t>may have</w:t>
      </w:r>
      <w:r w:rsidRPr="00264717">
        <w:rPr>
          <w:rStyle w:val="StyleUnderline"/>
        </w:rPr>
        <w:t xml:space="preserve"> important </w:t>
      </w:r>
      <w:r w:rsidRPr="00871571">
        <w:rPr>
          <w:rStyle w:val="StyleUnderline"/>
          <w:highlight w:val="green"/>
        </w:rPr>
        <w:t>consequences for the</w:t>
      </w:r>
      <w:r w:rsidRPr="00264717">
        <w:rPr>
          <w:rStyle w:val="StyleUnderline"/>
        </w:rPr>
        <w:t xml:space="preserve"> economy and </w:t>
      </w:r>
      <w:r w:rsidRPr="00871571">
        <w:rPr>
          <w:rStyle w:val="StyleUnderline"/>
          <w:highlight w:val="green"/>
        </w:rPr>
        <w:t>food supply chain</w:t>
      </w:r>
      <w:r w:rsidRPr="00264717">
        <w:rPr>
          <w:rStyle w:val="StyleUnderline"/>
        </w:rPr>
        <w:t xml:space="preserve"> of a country that is dependent on road networks. </w:t>
      </w:r>
      <w:r w:rsidRPr="00871571">
        <w:rPr>
          <w:rStyle w:val="StyleUnderline"/>
          <w:highlight w:val="green"/>
        </w:rPr>
        <w:t>Such</w:t>
      </w:r>
      <w:r w:rsidRPr="00264717">
        <w:rPr>
          <w:rStyle w:val="StyleUnderline"/>
        </w:rPr>
        <w:t xml:space="preserve"> an event </w:t>
      </w:r>
      <w:r w:rsidRPr="00871571">
        <w:rPr>
          <w:rStyle w:val="StyleUnderline"/>
          <w:highlight w:val="green"/>
        </w:rPr>
        <w:t>occurred</w:t>
      </w:r>
      <w:r w:rsidRPr="00264717">
        <w:rPr>
          <w:rStyle w:val="StyleUnderline"/>
        </w:rPr>
        <w:t xml:space="preserve"> </w:t>
      </w:r>
      <w:r w:rsidRPr="00871571">
        <w:rPr>
          <w:rStyle w:val="StyleUnderline"/>
          <w:highlight w:val="green"/>
        </w:rPr>
        <w:t>on</w:t>
      </w:r>
      <w:r w:rsidRPr="00264717">
        <w:rPr>
          <w:rStyle w:val="StyleUnderline"/>
        </w:rPr>
        <w:t xml:space="preserve"> 21–30 </w:t>
      </w:r>
      <w:r w:rsidRPr="00871571">
        <w:rPr>
          <w:rStyle w:val="StyleUnderline"/>
          <w:highlight w:val="green"/>
        </w:rPr>
        <w:t>May 2018</w:t>
      </w:r>
      <w:r w:rsidRPr="00264717">
        <w:rPr>
          <w:rStyle w:val="StyleUnderline"/>
        </w:rPr>
        <w:t xml:space="preserve">. </w:t>
      </w:r>
      <w:r w:rsidRPr="00871571">
        <w:rPr>
          <w:rStyle w:val="StyleUnderline"/>
          <w:highlight w:val="green"/>
        </w:rPr>
        <w:t>During this</w:t>
      </w:r>
      <w:r w:rsidRPr="00264717">
        <w:rPr>
          <w:rStyle w:val="StyleUnderline"/>
        </w:rPr>
        <w:t xml:space="preserve"> </w:t>
      </w:r>
      <w:proofErr w:type="gramStart"/>
      <w:r w:rsidRPr="00264717">
        <w:rPr>
          <w:rStyle w:val="StyleUnderline"/>
        </w:rPr>
        <w:t>10 d</w:t>
      </w:r>
      <w:proofErr w:type="gramEnd"/>
      <w:r w:rsidRPr="00264717">
        <w:rPr>
          <w:rStyle w:val="StyleUnderline"/>
        </w:rPr>
        <w:t xml:space="preserve"> </w:t>
      </w:r>
      <w:r w:rsidRPr="00871571">
        <w:rPr>
          <w:rStyle w:val="StyleUnderline"/>
          <w:highlight w:val="green"/>
        </w:rPr>
        <w:t>strike</w:t>
      </w:r>
      <w:r w:rsidRPr="00264717">
        <w:rPr>
          <w:rStyle w:val="StyleUnderline"/>
        </w:rPr>
        <w:t xml:space="preserve">, </w:t>
      </w:r>
      <w:r w:rsidRPr="00871571">
        <w:rPr>
          <w:rStyle w:val="StyleUnderline"/>
          <w:highlight w:val="green"/>
        </w:rPr>
        <w:t>Brazilians experienced</w:t>
      </w:r>
      <w:r w:rsidRPr="00264717">
        <w:rPr>
          <w:rStyle w:val="StyleUnderline"/>
        </w:rPr>
        <w:t xml:space="preserve"> an </w:t>
      </w:r>
      <w:r w:rsidRPr="00871571">
        <w:rPr>
          <w:rStyle w:val="StyleUnderline"/>
          <w:highlight w:val="green"/>
        </w:rPr>
        <w:t>extreme</w:t>
      </w:r>
      <w:r w:rsidRPr="00264717">
        <w:rPr>
          <w:rStyle w:val="StyleUnderline"/>
        </w:rPr>
        <w:t xml:space="preserve"> event characterized by roadblocks and the </w:t>
      </w:r>
      <w:r w:rsidRPr="00871571">
        <w:rPr>
          <w:rStyle w:val="StyleUnderline"/>
          <w:highlight w:val="green"/>
        </w:rPr>
        <w:t>unavailability of</w:t>
      </w:r>
      <w:r w:rsidRPr="00264717">
        <w:rPr>
          <w:rStyle w:val="StyleUnderline"/>
        </w:rPr>
        <w:t xml:space="preserve"> fuel, medicine, </w:t>
      </w:r>
      <w:r w:rsidRPr="00871571">
        <w:rPr>
          <w:rStyle w:val="StyleUnderline"/>
          <w:highlight w:val="green"/>
        </w:rPr>
        <w:t>food</w:t>
      </w:r>
      <w:r w:rsidRPr="00264717">
        <w:rPr>
          <w:rStyle w:val="StyleUnderline"/>
        </w:rPr>
        <w:t xml:space="preserve">, </w:t>
      </w:r>
      <w:r w:rsidRPr="00871571">
        <w:rPr>
          <w:rStyle w:val="StyleUnderline"/>
          <w:highlight w:val="green"/>
        </w:rPr>
        <w:t>and</w:t>
      </w:r>
      <w:r w:rsidRPr="00264717">
        <w:rPr>
          <w:rStyle w:val="StyleUnderline"/>
        </w:rPr>
        <w:t xml:space="preserve"> the inputs for food </w:t>
      </w:r>
      <w:r w:rsidRPr="00871571">
        <w:rPr>
          <w:rStyle w:val="StyleUnderline"/>
          <w:highlight w:val="green"/>
        </w:rPr>
        <w:t>production processes</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 xml:space="preserve">disruption </w:t>
      </w:r>
      <w:r w:rsidRPr="00264717">
        <w:rPr>
          <w:rStyle w:val="StyleUnderline"/>
        </w:rPr>
        <w:t xml:space="preserve">of the supply of animal feed </w:t>
      </w:r>
      <w:r w:rsidRPr="00871571">
        <w:rPr>
          <w:rStyle w:val="StyleUnderline"/>
          <w:highlight w:val="green"/>
        </w:rPr>
        <w:t>had a devastating impact</w:t>
      </w:r>
      <w:r w:rsidRPr="00264717">
        <w:rPr>
          <w:rStyle w:val="StyleUnderline"/>
        </w:rPr>
        <w:t xml:space="preserve">: </w:t>
      </w:r>
      <w:r w:rsidRPr="00871571">
        <w:rPr>
          <w:rStyle w:val="StyleUnderline"/>
          <w:highlight w:val="green"/>
        </w:rPr>
        <w:t>millions of chickens and pigs</w:t>
      </w:r>
      <w:r w:rsidRPr="00264717">
        <w:rPr>
          <w:rStyle w:val="StyleUnderline"/>
        </w:rPr>
        <w:t xml:space="preserve"> were </w:t>
      </w:r>
      <w:r w:rsidRPr="00871571">
        <w:rPr>
          <w:rStyle w:val="StyleUnderline"/>
          <w:highlight w:val="green"/>
        </w:rPr>
        <w:t>slaughtered</w:t>
      </w:r>
      <w:r w:rsidRPr="00264717">
        <w:rPr>
          <w:rStyle w:val="StyleUnderline"/>
        </w:rPr>
        <w:t xml:space="preserve"> because producers had no food for them( 12 ). The drivers were on strike </w:t>
      </w:r>
      <w:proofErr w:type="gramStart"/>
      <w:r w:rsidRPr="00264717">
        <w:rPr>
          <w:rStyle w:val="StyleUnderline"/>
        </w:rPr>
        <w:t>in order to</w:t>
      </w:r>
      <w:proofErr w:type="gramEnd"/>
      <w:r w:rsidRPr="00264717">
        <w:rPr>
          <w:rStyle w:val="StyleUnderline"/>
        </w:rPr>
        <w:t xml:space="preserve"> make diesel oil tax-free and to obtain better working conditions( 13 ).</w:t>
      </w:r>
      <w:r>
        <w:rPr>
          <w:rStyle w:val="StyleUnderline"/>
        </w:rPr>
        <w:t xml:space="preserve"> </w:t>
      </w:r>
      <w:r w:rsidRPr="00264717">
        <w:rPr>
          <w:rStyle w:val="StyleUnderline"/>
        </w:rPr>
        <w:t xml:space="preserve">Despite the drivers’ important claims, </w:t>
      </w:r>
      <w:r w:rsidRPr="00871571">
        <w:rPr>
          <w:rStyle w:val="StyleUnderline"/>
          <w:highlight w:val="green"/>
        </w:rPr>
        <w:t xml:space="preserve">in </w:t>
      </w:r>
      <w:proofErr w:type="gramStart"/>
      <w:r w:rsidRPr="00871571">
        <w:rPr>
          <w:rStyle w:val="StyleUnderline"/>
          <w:highlight w:val="green"/>
        </w:rPr>
        <w:t>a crisis situation</w:t>
      </w:r>
      <w:proofErr w:type="gramEnd"/>
      <w:r w:rsidRPr="00264717">
        <w:rPr>
          <w:rStyle w:val="StyleUnderline"/>
        </w:rPr>
        <w:t xml:space="preserve">, 200 km can be as long as 2000 km and the </w:t>
      </w:r>
      <w:r w:rsidRPr="00871571">
        <w:rPr>
          <w:rStyle w:val="StyleUnderline"/>
          <w:highlight w:val="green"/>
        </w:rPr>
        <w:t xml:space="preserve">repercussions </w:t>
      </w:r>
      <w:r w:rsidRPr="00264717">
        <w:rPr>
          <w:rStyle w:val="StyleUnderline"/>
        </w:rPr>
        <w:t xml:space="preserve">may </w:t>
      </w:r>
      <w:r w:rsidRPr="00871571">
        <w:rPr>
          <w:rStyle w:val="Emphasis"/>
          <w:highlight w:val="green"/>
        </w:rPr>
        <w:t>result in negative impacts for food security</w:t>
      </w:r>
      <w:r w:rsidRPr="00264717">
        <w:rPr>
          <w:rStyle w:val="StyleUnderline"/>
        </w:rPr>
        <w:t xml:space="preserve">. Given the importance of transport conditions for the food security of the Brazilian population, the present paper aimed to </w:t>
      </w:r>
      <w:proofErr w:type="spellStart"/>
      <w:r w:rsidRPr="00264717">
        <w:rPr>
          <w:rStyle w:val="StyleUnderline"/>
        </w:rPr>
        <w:t>analyse</w:t>
      </w:r>
      <w:proofErr w:type="spellEnd"/>
      <w:r w:rsidRPr="00264717">
        <w:rPr>
          <w:rStyle w:val="StyleUnderline"/>
        </w:rPr>
        <w:t xml:space="preserve"> the impact of the national general truck drivers’ strike on the availability, variety and price of unprocessed foods sold by a food supply </w:t>
      </w:r>
      <w:proofErr w:type="spellStart"/>
      <w:r w:rsidRPr="00264717">
        <w:rPr>
          <w:rStyle w:val="StyleUnderline"/>
        </w:rPr>
        <w:t>centre</w:t>
      </w:r>
      <w:proofErr w:type="spellEnd"/>
      <w:r w:rsidRPr="00264717">
        <w:rPr>
          <w:rStyle w:val="StyleUnderline"/>
        </w:rPr>
        <w:t xml:space="preserve"> in a Brazilian metropolis</w:t>
      </w:r>
      <w:r w:rsidRPr="004A1182">
        <w:rPr>
          <w:rFonts w:asciiTheme="minorHAnsi" w:hAnsiTheme="minorHAnsi" w:cstheme="minorHAnsi"/>
          <w:sz w:val="12"/>
        </w:rPr>
        <w:t>.</w:t>
      </w:r>
    </w:p>
    <w:p w14:paraId="594FBA34" w14:textId="77777777" w:rsidR="0038583F" w:rsidRPr="006838E1" w:rsidRDefault="0038583F" w:rsidP="0038583F">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62A74BB5" w14:textId="77777777" w:rsidR="0038583F" w:rsidRDefault="0038583F" w:rsidP="0038583F">
      <w:pPr>
        <w:rPr>
          <w:rStyle w:val="Style13ptBold"/>
          <w:rFonts w:asciiTheme="minorHAnsi" w:hAnsiTheme="minorHAnsi" w:cstheme="minorHAnsi"/>
        </w:rPr>
      </w:pPr>
      <w:r w:rsidRPr="006838E1">
        <w:rPr>
          <w:rStyle w:val="Style13ptBold"/>
          <w:rFonts w:asciiTheme="minorHAnsi" w:hAnsiTheme="minorHAnsi" w:cstheme="minorHAnsi"/>
        </w:rPr>
        <w:t>Hartley et al 12</w:t>
      </w:r>
    </w:p>
    <w:p w14:paraId="47105165" w14:textId="77777777" w:rsidR="0038583F" w:rsidRPr="00264717" w:rsidRDefault="0038583F" w:rsidP="0038583F">
      <w:pPr>
        <w:rPr>
          <w:rFonts w:asciiTheme="minorHAnsi" w:hAnsiTheme="minorHAnsi" w:cstheme="minorHAnsi"/>
          <w:sz w:val="12"/>
          <w:szCs w:val="12"/>
        </w:rPr>
      </w:pPr>
      <w:r w:rsidRPr="00264717">
        <w:rPr>
          <w:rFonts w:asciiTheme="minorHAnsi" w:hAnsiTheme="minorHAnsi" w:cstheme="minorHAnsi"/>
          <w:sz w:val="12"/>
          <w:szCs w:val="12"/>
        </w:rPr>
        <w:t xml:space="preserve">(Major General John Hartley AO (Retd), CEO and Institute, Director Future Directions International, Roundtable Chairman. Alyson Clarke, FDI Executive Officer Gary </w:t>
      </w:r>
      <w:proofErr w:type="spellStart"/>
      <w:r w:rsidRPr="00264717">
        <w:rPr>
          <w:rFonts w:asciiTheme="minorHAnsi" w:hAnsiTheme="minorHAnsi" w:cstheme="minorHAnsi"/>
          <w:sz w:val="12"/>
          <w:szCs w:val="12"/>
        </w:rPr>
        <w:t>Kleyn</w:t>
      </w:r>
      <w:proofErr w:type="spellEnd"/>
      <w:r w:rsidRPr="00264717">
        <w:rPr>
          <w:rFonts w:asciiTheme="minorHAnsi" w:hAnsiTheme="minorHAnsi" w:cstheme="minorHAnsi"/>
          <w:sz w:val="12"/>
          <w:szCs w:val="12"/>
        </w:rPr>
        <w:t xml:space="preserve">, Manager, FDI Global Food and Water Crises Research </w:t>
      </w:r>
      <w:proofErr w:type="spellStart"/>
      <w:r w:rsidRPr="00264717">
        <w:rPr>
          <w:rFonts w:asciiTheme="minorHAnsi" w:hAnsiTheme="minorHAnsi" w:cstheme="minorHAnsi"/>
          <w:sz w:val="12"/>
          <w:szCs w:val="12"/>
        </w:rPr>
        <w:t>Programme</w:t>
      </w:r>
      <w:proofErr w:type="spellEnd"/>
      <w:r w:rsidRPr="00264717">
        <w:rPr>
          <w:rFonts w:asciiTheme="minorHAnsi" w:hAnsiTheme="minorHAnsi" w:cstheme="minorHAnsi"/>
          <w:sz w:val="12"/>
          <w:szCs w:val="12"/>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580F6615" w14:textId="77777777" w:rsidR="0038583F" w:rsidRPr="008C0082" w:rsidRDefault="0038583F" w:rsidP="0038583F">
      <w:pPr>
        <w:rPr>
          <w:rFonts w:asciiTheme="minorHAnsi" w:hAnsiTheme="minorHAnsi" w:cstheme="minorHAnsi"/>
          <w:sz w:val="12"/>
        </w:rPr>
      </w:pPr>
      <w:r w:rsidRPr="008C0082">
        <w:rPr>
          <w:sz w:val="12"/>
        </w:rPr>
        <w:t xml:space="preserve">There is little dispute that conflict can lead to food and water crises. </w:t>
      </w:r>
      <w:r w:rsidRPr="00264717">
        <w:rPr>
          <w:rStyle w:val="StyleUnderline"/>
        </w:rPr>
        <w:t xml:space="preserve">This paper will consider parts of the world, however, where </w:t>
      </w:r>
      <w:r w:rsidRPr="00871571">
        <w:rPr>
          <w:rStyle w:val="StyleUnderline"/>
          <w:highlight w:val="green"/>
        </w:rPr>
        <w:t>food</w:t>
      </w:r>
      <w:r w:rsidRPr="00264717">
        <w:rPr>
          <w:rStyle w:val="StyleUnderline"/>
        </w:rPr>
        <w:t xml:space="preserve"> and water </w:t>
      </w:r>
      <w:r w:rsidRPr="00871571">
        <w:rPr>
          <w:rStyle w:val="StyleUnderline"/>
          <w:highlight w:val="green"/>
        </w:rPr>
        <w:t>insecurity</w:t>
      </w:r>
      <w:r w:rsidRPr="00264717">
        <w:rPr>
          <w:rStyle w:val="StyleUnderline"/>
        </w:rPr>
        <w:t xml:space="preserve"> </w:t>
      </w:r>
      <w:r w:rsidRPr="00871571">
        <w:rPr>
          <w:rStyle w:val="StyleUnderline"/>
          <w:highlight w:val="green"/>
        </w:rPr>
        <w:t>can</w:t>
      </w:r>
      <w:r w:rsidRPr="00264717">
        <w:rPr>
          <w:rStyle w:val="StyleUnderline"/>
        </w:rPr>
        <w:t xml:space="preserve"> be the cause of conflict and, at worst, </w:t>
      </w:r>
      <w:r w:rsidRPr="00871571">
        <w:rPr>
          <w:rStyle w:val="StyleUnderline"/>
          <w:highlight w:val="green"/>
        </w:rPr>
        <w:t>result in war</w:t>
      </w:r>
      <w:r w:rsidRPr="008C0082">
        <w:rPr>
          <w:sz w:val="12"/>
        </w:rPr>
        <w:t xml:space="preserve">. While dealing predominately with food and water issues, the paper also </w:t>
      </w:r>
      <w:proofErr w:type="spellStart"/>
      <w:r w:rsidRPr="008C0082">
        <w:rPr>
          <w:sz w:val="12"/>
        </w:rPr>
        <w:t>recognises</w:t>
      </w:r>
      <w:proofErr w:type="spellEnd"/>
      <w:r w:rsidRPr="008C0082">
        <w:rPr>
          <w:sz w:val="12"/>
        </w:rPr>
        <w:t xml:space="preserve"> the nexus that exists between food and water and energy security. There is a growing appreciation that the conflicts in the next century will most likely be fought over a lack of resources. Yet, in a sense, this is not new. </w:t>
      </w:r>
      <w:r w:rsidRPr="00264717">
        <w:rPr>
          <w:rStyle w:val="StyleUnderline"/>
        </w:rPr>
        <w:t xml:space="preserve">Researchers point to </w:t>
      </w:r>
      <w:r w:rsidRPr="00871571">
        <w:rPr>
          <w:rStyle w:val="StyleUnderline"/>
          <w:highlight w:val="green"/>
        </w:rPr>
        <w:t>the</w:t>
      </w:r>
      <w:r w:rsidRPr="00264717">
        <w:rPr>
          <w:rStyle w:val="StyleUnderline"/>
        </w:rPr>
        <w:t xml:space="preserve"> </w:t>
      </w:r>
      <w:r w:rsidRPr="00871571">
        <w:rPr>
          <w:rStyle w:val="StyleUnderline"/>
          <w:highlight w:val="green"/>
        </w:rPr>
        <w:t>French and Russian revolutions</w:t>
      </w:r>
      <w:r w:rsidRPr="00264717">
        <w:rPr>
          <w:rStyle w:val="StyleUnderline"/>
        </w:rPr>
        <w:t xml:space="preserve"> as conflicts </w:t>
      </w:r>
      <w:r w:rsidRPr="00871571">
        <w:rPr>
          <w:rStyle w:val="StyleUnderline"/>
          <w:highlight w:val="green"/>
        </w:rPr>
        <w:t>induced by</w:t>
      </w:r>
      <w:r w:rsidRPr="00264717">
        <w:rPr>
          <w:rStyle w:val="StyleUnderline"/>
        </w:rPr>
        <w:t xml:space="preserve"> a </w:t>
      </w:r>
      <w:r w:rsidRPr="00871571">
        <w:rPr>
          <w:rStyle w:val="StyleUnderline"/>
          <w:highlight w:val="green"/>
        </w:rPr>
        <w:t>lack of</w:t>
      </w:r>
      <w:r w:rsidRPr="00264717">
        <w:rPr>
          <w:rStyle w:val="StyleUnderline"/>
        </w:rPr>
        <w:t xml:space="preserve"> </w:t>
      </w:r>
      <w:r w:rsidRPr="00871571">
        <w:rPr>
          <w:rStyle w:val="StyleUnderline"/>
          <w:highlight w:val="green"/>
        </w:rPr>
        <w:t>food</w:t>
      </w:r>
      <w:r w:rsidRPr="00264717">
        <w:rPr>
          <w:rStyle w:val="StyleUnderline"/>
        </w:rPr>
        <w:t xml:space="preserve">. More recently, Germany’s World War Two efforts are said to have been inspired, at least in part, by its perceived need to gain access to more food. Yet the general sense among those that attended FDI’s recent workshops, was that </w:t>
      </w:r>
      <w:r w:rsidRPr="00871571">
        <w:rPr>
          <w:rStyle w:val="StyleUnderline"/>
          <w:highlight w:val="green"/>
        </w:rPr>
        <w:t>the scale</w:t>
      </w:r>
      <w:r w:rsidRPr="00264717">
        <w:rPr>
          <w:rStyle w:val="StyleUnderline"/>
        </w:rPr>
        <w:t xml:space="preserve"> of the problem in the future </w:t>
      </w:r>
      <w:r w:rsidRPr="00871571">
        <w:rPr>
          <w:rStyle w:val="StyleUnderline"/>
          <w:highlight w:val="green"/>
        </w:rPr>
        <w:t xml:space="preserve">could be significantly greater </w:t>
      </w:r>
      <w:proofErr w:type="gramStart"/>
      <w:r w:rsidRPr="00264717">
        <w:rPr>
          <w:rStyle w:val="StyleUnderline"/>
        </w:rPr>
        <w:t>as a result of</w:t>
      </w:r>
      <w:proofErr w:type="gramEnd"/>
      <w:r w:rsidRPr="00264717">
        <w:rPr>
          <w:rStyle w:val="StyleUnderline"/>
        </w:rPr>
        <w:t xml:space="preserve"> population pressures, changing weather, </w:t>
      </w:r>
      <w:proofErr w:type="spellStart"/>
      <w:r w:rsidRPr="00264717">
        <w:rPr>
          <w:rStyle w:val="StyleUnderline"/>
        </w:rPr>
        <w:t>urbanisation</w:t>
      </w:r>
      <w:proofErr w:type="spellEnd"/>
      <w:r w:rsidRPr="00264717">
        <w:rPr>
          <w:rStyle w:val="StyleUnderline"/>
        </w:rPr>
        <w:t xml:space="preserve">, migration, loss of arable land and other farm inputs, and increased affluence </w:t>
      </w:r>
      <w:r w:rsidRPr="00871571">
        <w:rPr>
          <w:rStyle w:val="StyleUnderline"/>
          <w:highlight w:val="green"/>
        </w:rPr>
        <w:t>in the developing world</w:t>
      </w:r>
      <w:r w:rsidRPr="008C0082">
        <w:rPr>
          <w:sz w:val="12"/>
        </w:rPr>
        <w:t xml:space="preserve">. In his book, Small Farmers Secure Food, Lindsay Falvey, a participant in FDI’s March 2012 workshop on the issue of food and conflict, clearly expresses the problem and why countries across the globe are starting to take note. </w:t>
      </w:r>
      <w:r w:rsidRPr="00264717">
        <w:rPr>
          <w:rStyle w:val="StyleUnderline"/>
        </w:rPr>
        <w:t>He writes (p.36), “…</w:t>
      </w:r>
      <w:r w:rsidRPr="00871571">
        <w:rPr>
          <w:rStyle w:val="StyleUnderline"/>
          <w:highlight w:val="green"/>
        </w:rPr>
        <w:t>if people are hungry</w:t>
      </w:r>
      <w:r w:rsidRPr="00264717">
        <w:rPr>
          <w:rStyle w:val="StyleUnderline"/>
        </w:rPr>
        <w:t xml:space="preserve">, especially in cities, </w:t>
      </w:r>
      <w:r w:rsidRPr="00871571">
        <w:rPr>
          <w:rStyle w:val="StyleUnderline"/>
          <w:highlight w:val="green"/>
        </w:rPr>
        <w:t>the state is not stable</w:t>
      </w:r>
      <w:r w:rsidRPr="00264717">
        <w:rPr>
          <w:rStyle w:val="StyleUnderline"/>
        </w:rPr>
        <w:t xml:space="preserve"> – riots, violence, </w:t>
      </w:r>
      <w:r w:rsidRPr="00871571">
        <w:rPr>
          <w:rStyle w:val="StyleUnderline"/>
          <w:highlight w:val="green"/>
        </w:rPr>
        <w:t>breakdown of law and order and</w:t>
      </w:r>
      <w:r w:rsidRPr="00264717">
        <w:rPr>
          <w:rStyle w:val="StyleUnderline"/>
        </w:rPr>
        <w:t xml:space="preserve"> migration result.” “Hunger feeds anarchy.” This view is also shared by Julian Cribb, who in his book, The Coming Famine, writes that if “large regions of the world run short of food, land or water in the decades that lie ahead, then wholesale, </w:t>
      </w:r>
      <w:r w:rsidRPr="00871571">
        <w:rPr>
          <w:rStyle w:val="StyleUnderline"/>
          <w:highlight w:val="green"/>
        </w:rPr>
        <w:t>bloody wars</w:t>
      </w:r>
      <w:r w:rsidRPr="00264717">
        <w:rPr>
          <w:rStyle w:val="StyleUnderline"/>
        </w:rPr>
        <w:t xml:space="preserve"> are liable to </w:t>
      </w:r>
      <w:r w:rsidRPr="00871571">
        <w:rPr>
          <w:rStyle w:val="StyleUnderline"/>
          <w:highlight w:val="green"/>
        </w:rPr>
        <w:t>follow</w:t>
      </w:r>
      <w:r w:rsidRPr="00264717">
        <w:rPr>
          <w:rStyle w:val="StyleUnderline"/>
        </w:rPr>
        <w:t>.” He continues: “</w:t>
      </w:r>
      <w:r w:rsidRPr="00871571">
        <w:rPr>
          <w:rStyle w:val="Emphasis"/>
          <w:highlight w:val="green"/>
        </w:rPr>
        <w:t>An increasingly credible scenario for</w:t>
      </w:r>
      <w:r w:rsidRPr="00264717">
        <w:rPr>
          <w:rStyle w:val="Emphasis"/>
        </w:rPr>
        <w:t xml:space="preserve"> </w:t>
      </w:r>
      <w:r w:rsidRPr="00871571">
        <w:rPr>
          <w:rStyle w:val="Emphasis"/>
          <w:highlight w:val="green"/>
        </w:rPr>
        <w:t>World War 3</w:t>
      </w:r>
      <w:r w:rsidRPr="00264717">
        <w:rPr>
          <w:rStyle w:val="Emphasis"/>
        </w:rPr>
        <w:t xml:space="preserve"> </w:t>
      </w:r>
      <w:r w:rsidRPr="00871571">
        <w:rPr>
          <w:rStyle w:val="Emphasis"/>
          <w:highlight w:val="green"/>
        </w:rPr>
        <w:t>is</w:t>
      </w:r>
      <w:r w:rsidRPr="00264717">
        <w:rPr>
          <w:rStyle w:val="Emphasis"/>
        </w:rPr>
        <w:t xml:space="preserve"> not so much a confrontation of </w:t>
      </w:r>
      <w:proofErr w:type="gramStart"/>
      <w:r w:rsidRPr="00264717">
        <w:rPr>
          <w:rStyle w:val="Emphasis"/>
        </w:rPr>
        <w:t>super powers</w:t>
      </w:r>
      <w:proofErr w:type="gramEnd"/>
      <w:r w:rsidRPr="00264717">
        <w:rPr>
          <w:rStyle w:val="Emphasis"/>
        </w:rPr>
        <w:t xml:space="preserve"> and their allies, as </w:t>
      </w:r>
      <w:r w:rsidRPr="00871571">
        <w:rPr>
          <w:rStyle w:val="Emphasis"/>
          <w:highlight w:val="green"/>
        </w:rPr>
        <w:t>a festering</w:t>
      </w:r>
      <w:r w:rsidRPr="00264717">
        <w:rPr>
          <w:rStyle w:val="Emphasis"/>
        </w:rPr>
        <w:t xml:space="preserve">, self-perpetuating </w:t>
      </w:r>
      <w:r w:rsidRPr="00871571">
        <w:rPr>
          <w:rStyle w:val="Emphasis"/>
          <w:highlight w:val="green"/>
        </w:rPr>
        <w:t>chain of resource conflicts</w:t>
      </w:r>
      <w:r w:rsidRPr="008C0082">
        <w:rPr>
          <w:sz w:val="12"/>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r w:rsidRPr="00264717">
        <w:rPr>
          <w:rStyle w:val="StyleUnderline"/>
        </w:rPr>
        <w:t xml:space="preserve">As another workshop participant put it, </w:t>
      </w:r>
      <w:r w:rsidRPr="00871571">
        <w:rPr>
          <w:rStyle w:val="StyleUnderline"/>
          <w:highlight w:val="green"/>
        </w:rPr>
        <w:t>people</w:t>
      </w:r>
      <w:r w:rsidRPr="00264717">
        <w:rPr>
          <w:rStyle w:val="StyleUnderline"/>
        </w:rPr>
        <w:t xml:space="preserve"> do not go to war to kill; they </w:t>
      </w:r>
      <w:r w:rsidRPr="00871571">
        <w:rPr>
          <w:rStyle w:val="StyleUnderline"/>
          <w:highlight w:val="green"/>
        </w:rPr>
        <w:t>go to war</w:t>
      </w:r>
      <w:r w:rsidRPr="00264717">
        <w:rPr>
          <w:rStyle w:val="StyleUnderline"/>
        </w:rPr>
        <w:t xml:space="preserve"> </w:t>
      </w:r>
      <w:r w:rsidRPr="00871571">
        <w:rPr>
          <w:rStyle w:val="StyleUnderline"/>
          <w:highlight w:val="green"/>
        </w:rPr>
        <w:t>over resources</w:t>
      </w:r>
      <w:r w:rsidRPr="00264717">
        <w:rPr>
          <w:rStyle w:val="StyleUnderline"/>
        </w:rPr>
        <w:t xml:space="preserve">, either to protect or to gain the resources for themselves. Another observed that hunger results in passivity not conflict. Conflict is over resources, not because people are going hungry. </w:t>
      </w:r>
      <w:r w:rsidRPr="00264717">
        <w:rPr>
          <w:rStyle w:val="Emphasis"/>
        </w:rPr>
        <w:t xml:space="preserve">A study by the International Peace Research Institute indicates that </w:t>
      </w:r>
      <w:r w:rsidRPr="00871571">
        <w:rPr>
          <w:rStyle w:val="Emphasis"/>
          <w:highlight w:val="green"/>
        </w:rPr>
        <w:t xml:space="preserve">where food security is an issue, it is more likely to result in </w:t>
      </w:r>
      <w:r w:rsidRPr="00264717">
        <w:rPr>
          <w:rStyle w:val="Emphasis"/>
        </w:rPr>
        <w:t xml:space="preserve">some form of </w:t>
      </w:r>
      <w:r w:rsidRPr="00871571">
        <w:rPr>
          <w:rStyle w:val="Emphasis"/>
          <w:highlight w:val="green"/>
        </w:rPr>
        <w:t>conflict</w:t>
      </w:r>
      <w:r w:rsidRPr="00264717">
        <w:rPr>
          <w:rStyle w:val="StyleUnderline"/>
        </w:rPr>
        <w:t xml:space="preserve">. Darfur, Rwanda, </w:t>
      </w:r>
      <w:proofErr w:type="gramStart"/>
      <w:r w:rsidRPr="00264717">
        <w:rPr>
          <w:rStyle w:val="StyleUnderline"/>
        </w:rPr>
        <w:t>Eritrea</w:t>
      </w:r>
      <w:proofErr w:type="gramEnd"/>
      <w:r w:rsidRPr="00264717">
        <w:rPr>
          <w:rStyle w:val="StyleUnderline"/>
        </w:rPr>
        <w:t xml:space="preserve"> and the Balkans experienced such wars. </w:t>
      </w:r>
      <w:r w:rsidRPr="00871571">
        <w:rPr>
          <w:rStyle w:val="StyleUnderline"/>
          <w:highlight w:val="green"/>
        </w:rPr>
        <w:t>Governments</w:t>
      </w:r>
      <w:r w:rsidRPr="00264717">
        <w:rPr>
          <w:rStyle w:val="StyleUnderline"/>
        </w:rPr>
        <w:t xml:space="preserve">, especially in developed countries, </w:t>
      </w:r>
      <w:r w:rsidRPr="00871571">
        <w:rPr>
          <w:rStyle w:val="StyleUnderline"/>
          <w:highlight w:val="green"/>
        </w:rPr>
        <w:t xml:space="preserve">are increasingly aware of </w:t>
      </w:r>
      <w:r w:rsidRPr="00264717">
        <w:rPr>
          <w:rStyle w:val="StyleUnderline"/>
        </w:rPr>
        <w:t xml:space="preserve">this phenomenon. The UK Ministry of </w:t>
      </w:r>
      <w:proofErr w:type="spellStart"/>
      <w:r w:rsidRPr="00264717">
        <w:rPr>
          <w:rStyle w:val="StyleUnderline"/>
        </w:rPr>
        <w:t>Defence</w:t>
      </w:r>
      <w:proofErr w:type="spellEnd"/>
      <w:r w:rsidRPr="00264717">
        <w:rPr>
          <w:rStyle w:val="StyleUnderline"/>
        </w:rPr>
        <w:t xml:space="preserve">, the CIA, the US Center for Strategic and International Studies and the Oslo Peace Research Institute, all identify </w:t>
      </w:r>
      <w:r w:rsidRPr="00871571">
        <w:rPr>
          <w:rStyle w:val="StyleUnderline"/>
          <w:highlight w:val="green"/>
        </w:rPr>
        <w:t xml:space="preserve">famine as a </w:t>
      </w:r>
      <w:r w:rsidRPr="00264717">
        <w:rPr>
          <w:rStyle w:val="StyleUnderline"/>
        </w:rPr>
        <w:t xml:space="preserve">potential </w:t>
      </w:r>
      <w:r w:rsidRPr="00871571">
        <w:rPr>
          <w:rStyle w:val="StyleUnderline"/>
          <w:highlight w:val="green"/>
        </w:rPr>
        <w:t xml:space="preserve">trigger for </w:t>
      </w:r>
      <w:r w:rsidRPr="00264717">
        <w:rPr>
          <w:rStyle w:val="StyleUnderline"/>
        </w:rPr>
        <w:t xml:space="preserve">conflicts and possibly even </w:t>
      </w:r>
      <w:r w:rsidRPr="00871571">
        <w:rPr>
          <w:rStyle w:val="StyleUnderline"/>
          <w:highlight w:val="green"/>
        </w:rPr>
        <w:t>nuclear war</w:t>
      </w:r>
      <w:r w:rsidRPr="008C0082">
        <w:rPr>
          <w:rFonts w:asciiTheme="minorHAnsi" w:hAnsiTheme="minorHAnsi" w:cstheme="minorHAnsi"/>
          <w:sz w:val="12"/>
        </w:rPr>
        <w:t>.</w:t>
      </w:r>
    </w:p>
    <w:sectPr w:rsidR="0038583F" w:rsidRPr="008C0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3E692C"/>
    <w:multiLevelType w:val="hybridMultilevel"/>
    <w:tmpl w:val="F9469E28"/>
    <w:lvl w:ilvl="0" w:tplc="2F9E4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37AA"/>
    <w:rsid w:val="000139A3"/>
    <w:rsid w:val="000437AA"/>
    <w:rsid w:val="000875C8"/>
    <w:rsid w:val="000A06CE"/>
    <w:rsid w:val="00100833"/>
    <w:rsid w:val="00104529"/>
    <w:rsid w:val="00105942"/>
    <w:rsid w:val="00107396"/>
    <w:rsid w:val="00120DCE"/>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8583F"/>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4255A"/>
    <w:rsid w:val="00766EA0"/>
    <w:rsid w:val="00791DA7"/>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2610"/>
    <w:rsid w:val="00CF59A8"/>
    <w:rsid w:val="00D325A9"/>
    <w:rsid w:val="00D36A8A"/>
    <w:rsid w:val="00D61409"/>
    <w:rsid w:val="00D6691E"/>
    <w:rsid w:val="00D71170"/>
    <w:rsid w:val="00D97F1B"/>
    <w:rsid w:val="00DA1C92"/>
    <w:rsid w:val="00DA25D4"/>
    <w:rsid w:val="00DA6538"/>
    <w:rsid w:val="00DE6AD1"/>
    <w:rsid w:val="00E15E75"/>
    <w:rsid w:val="00E5262C"/>
    <w:rsid w:val="00EC7DC4"/>
    <w:rsid w:val="00ED30CF"/>
    <w:rsid w:val="00F176EF"/>
    <w:rsid w:val="00F17E8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97EA"/>
  <w15:chartTrackingRefBased/>
  <w15:docId w15:val="{85DF5A75-CB5D-4DFC-B882-65CA6FF3F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06CE"/>
    <w:pPr>
      <w:spacing w:after="0" w:line="240" w:lineRule="auto"/>
    </w:pPr>
    <w:rPr>
      <w:rFonts w:ascii="Calibri" w:hAnsi="Calibri" w:cs="Calibri"/>
    </w:rPr>
  </w:style>
  <w:style w:type="paragraph" w:styleId="Heading1">
    <w:name w:val="heading 1"/>
    <w:aliases w:val="Pocket"/>
    <w:basedOn w:val="Normal"/>
    <w:next w:val="Normal"/>
    <w:link w:val="Heading1Char"/>
    <w:qFormat/>
    <w:rsid w:val="000A06C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06C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0A06C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0A06C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A06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6CE"/>
  </w:style>
  <w:style w:type="character" w:customStyle="1" w:styleId="Heading1Char">
    <w:name w:val="Heading 1 Char"/>
    <w:aliases w:val="Pocket Char"/>
    <w:basedOn w:val="DefaultParagraphFont"/>
    <w:link w:val="Heading1"/>
    <w:rsid w:val="000A06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06C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A06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A06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A06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06CE"/>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0A06CE"/>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A06CE"/>
    <w:rPr>
      <w:color w:val="auto"/>
      <w:u w:val="none"/>
    </w:rPr>
  </w:style>
  <w:style w:type="character" w:styleId="FollowedHyperlink">
    <w:name w:val="FollowedHyperlink"/>
    <w:basedOn w:val="DefaultParagraphFont"/>
    <w:uiPriority w:val="99"/>
    <w:semiHidden/>
    <w:unhideWhenUsed/>
    <w:rsid w:val="000A06CE"/>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3858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8583F"/>
    <w:pPr>
      <w:widowControl w:val="0"/>
      <w:ind w:left="720"/>
    </w:pPr>
    <w:rPr>
      <w:b/>
      <w:iCs/>
      <w:u w:val="single"/>
    </w:rPr>
  </w:style>
  <w:style w:type="character" w:styleId="UnresolvedMention">
    <w:name w:val="Unresolved Mention"/>
    <w:basedOn w:val="DefaultParagraphFont"/>
    <w:uiPriority w:val="99"/>
    <w:semiHidden/>
    <w:unhideWhenUsed/>
    <w:rsid w:val="003858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896185%5d//SJWen" TargetMode="External"/><Relationship Id="rId13" Type="http://schemas.openxmlformats.org/officeDocument/2006/relationships/hyperlink" Target="https://global-labour-university.org/fileadmin/GLU_Working_Papers/GLU_WP_No.40.pdf"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www.epi.org/blog/thousands-of-workers-have-gone-on-strike-during-the-coronavirus-labor-law-must-be-reformed-to-strengthen-this-fundamental-right/" TargetMode="External"/><Relationship Id="rId2" Type="http://schemas.openxmlformats.org/officeDocument/2006/relationships/numbering" Target="numbering.xml"/><Relationship Id="rId16" Type="http://schemas.openxmlformats.org/officeDocument/2006/relationships/hyperlink" Target="https://thebulletin.org/doomsday-clock/current-tim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ci-hub.se/https://onlinelibrary.wiley.com/doi/10.1111/j.1564-913X.2005.tb00569.x" TargetMode="External"/><Relationship Id="rId5" Type="http://schemas.openxmlformats.org/officeDocument/2006/relationships/webSettings" Target="webSettings.xml"/><Relationship Id="rId15" Type="http://schemas.openxmlformats.org/officeDocument/2006/relationships/hyperlink" Target="https://thebulletin.org/doomsday-clock/current-time/" TargetMode="External"/><Relationship Id="rId10" Type="http://schemas.openxmlformats.org/officeDocument/2006/relationships/hyperlink" Target="https://www.armscontrol.org/act/2019-11/features/cyber-battles-nuclear-outcomes-dangerous-new-pathways-escalation" TargetMode="External"/><Relationship Id="rId19" Type="http://schemas.openxmlformats.org/officeDocument/2006/relationships/hyperlink" Target="https://www.cambridge.org/core/journals/public-health-nutrition/article/national-general-truck-drivers-strike-and-food-security-in-a-brazilian-metropolis/90C14AC48923A17597DED720365E810B" TargetMode="External"/><Relationship Id="rId4" Type="http://schemas.openxmlformats.org/officeDocument/2006/relationships/settings" Target="settings.xml"/><Relationship Id="rId9" Type="http://schemas.openxmlformats.org/officeDocument/2006/relationships/hyperlink" Target="https://fas.org/irp/threat/terrorism/sup2.pdf%5d//SJWen" TargetMode="External"/><Relationship Id="rId14" Type="http://schemas.openxmlformats.org/officeDocument/2006/relationships/hyperlink" Target="https://www.un.org/pga/73/2018/10/25/report-of-the-international-court-of-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10738</Words>
  <Characters>61212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8</cp:revision>
  <dcterms:created xsi:type="dcterms:W3CDTF">2021-11-20T23:24:00Z</dcterms:created>
  <dcterms:modified xsi:type="dcterms:W3CDTF">2021-11-21T01:32:00Z</dcterms:modified>
</cp:coreProperties>
</file>