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444B80F8" w:rsidR="00C946BB" w:rsidRDefault="00976DBD" w:rsidP="00C946BB">
      <w:pPr>
        <w:pStyle w:val="Heading1"/>
      </w:pPr>
      <w:r>
        <w:t>100 Seconds 1AC</w:t>
      </w:r>
      <w:r w:rsidR="00063F05">
        <w:t xml:space="preserve"> v</w:t>
      </w:r>
      <w:r w:rsidR="001D6DFB">
        <w:t>6</w:t>
      </w:r>
    </w:p>
    <w:p w14:paraId="12AF0054" w14:textId="05675D1A" w:rsidR="00976DBD" w:rsidRDefault="00976DBD" w:rsidP="00F035F2">
      <w:pPr>
        <w:pStyle w:val="Heading2"/>
      </w:pPr>
      <w:r>
        <w:t>[11:58:20]</w:t>
      </w:r>
    </w:p>
    <w:p w14:paraId="50E0226C" w14:textId="0A456CFC" w:rsidR="00976DBD" w:rsidRPr="00640188" w:rsidRDefault="00FD5028" w:rsidP="00976DBD">
      <w:pPr>
        <w:pStyle w:val="Heading4"/>
      </w:pPr>
      <w:r w:rsidRPr="00FD5028">
        <w:rPr>
          <w:b w:val="0"/>
          <w:bCs/>
          <w:sz w:val="8"/>
          <w:szCs w:val="8"/>
        </w:rPr>
        <w:t xml:space="preserve">[Mecklin </w:t>
      </w:r>
      <w:r w:rsidR="00211AF9">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r w:rsidRPr="00640188">
        <w:rPr>
          <w:rStyle w:val="Style13ptBold"/>
        </w:rPr>
        <w:t>Mecklin 22</w:t>
      </w:r>
    </w:p>
    <w:p w14:paraId="6FFDAFA9" w14:textId="5A578C61" w:rsidR="00FD5028" w:rsidRPr="00466312" w:rsidRDefault="00FD5028" w:rsidP="00466312">
      <w:r w:rsidRPr="00466312">
        <w:t xml:space="preserve">John Mecklin, editor, Science and Security Board, Bulletin of the Atomic Scientists. “At doom’s doorstep: it is 100 seconds to midnight.” </w:t>
      </w:r>
      <w:r w:rsidR="00466312" w:rsidRPr="00466312">
        <w:t xml:space="preserve">January 20, 2022. </w:t>
      </w:r>
      <w:r w:rsidR="00466312">
        <w:t xml:space="preserve">Bulletin of the Atomic Scientists. </w:t>
      </w:r>
      <w:hyperlink r:id="rId8" w:history="1">
        <w:r w:rsidR="00702C91" w:rsidRPr="005D4645">
          <w:rPr>
            <w:rStyle w:val="Hyperlink"/>
          </w:rPr>
          <w:t>https://thebulletin.org/doomsday-clock/current-time/</w:t>
        </w:r>
      </w:hyperlink>
      <w:r w:rsidRPr="00466312">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w:t>
      </w:r>
      <w:r w:rsidRPr="00155F16">
        <w:rPr>
          <w:u w:val="single"/>
        </w:rPr>
        <w:t>change in US leadership alone was not enough to reverse negative international security trends that had been long in developing and continued across the threat horizon in 2021. US relations with Russia and China remain tense, with all three countries engaged in an array of nuclear modernization and expansion efforts—including China’s apparent large-scale program to increase its deployment of silo-based long-range n</w:t>
      </w:r>
      <w:r w:rsidRPr="00CF24D6">
        <w:rPr>
          <w:u w:val="single"/>
        </w:rPr>
        <w:t xml:space="preserve">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155F16">
        <w:rPr>
          <w:b/>
          <w:bCs/>
          <w:u w:val="single"/>
        </w:rPr>
        <w:t>stuck in an extremely dangerous moment.</w:t>
      </w:r>
      <w:r w:rsidRPr="00155F16">
        <w:rPr>
          <w:u w:val="single"/>
        </w:rPr>
        <w:t xml:space="preserve"> In</w:t>
      </w:r>
      <w:r w:rsidRPr="00640188">
        <w:rPr>
          <w:u w:val="single"/>
        </w:rPr>
        <w:t xml:space="preserve">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2021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effect.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gigatonnes,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Agreement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For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its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The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cyberattackers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it.</w:t>
      </w:r>
      <w:r w:rsidR="00425327" w:rsidRPr="001A5C8F">
        <w:rPr>
          <w:rStyle w:val="StyleUnderline"/>
        </w:rPr>
        <w:t>Finally</w:t>
      </w:r>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centimer.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US and other leaders should work through the World Health Organization and other international institutions to reduce biological risks of all kinds through better monitoring of animal-human interactions, improvements in international disease surveillance and reporting, increased production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 xml:space="preserve">[Sinott-Armstrong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neuroethics, the philosophy of law, and the philosophy of cognitive science], "Consequentialism", The Stanford Encyclopedia of Philosophy (Spring 2014 Edition), Edward N. Zalta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extinction—Parli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(This could happen, e.g.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(Actually, we use an extra trick here: we imagine that the delegates act as if the Parliament's decision were a stochastic variable such that the probability of the Parliament taking action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are;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however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71AEC190" w14:textId="6516E43D" w:rsidR="00F035F2" w:rsidRDefault="001A5C8F" w:rsidP="00F035F2">
      <w:pPr>
        <w:pStyle w:val="Heading4"/>
        <w:numPr>
          <w:ilvl w:val="0"/>
          <w:numId w:val="20"/>
        </w:numPr>
      </w:pPr>
      <w:r w:rsidRPr="001A5C8F">
        <w:rPr>
          <w:b w:val="0"/>
          <w:bCs/>
          <w:sz w:val="8"/>
          <w:szCs w:val="8"/>
        </w:rPr>
        <w:t>[Mecklin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9CF1972" w:rsidR="00F035F2" w:rsidRPr="001A5C8F" w:rsidRDefault="001A5C8F" w:rsidP="001A5C8F">
      <w:pPr>
        <w:rPr>
          <w:rStyle w:val="Style13ptBold"/>
        </w:rPr>
      </w:pPr>
      <w:r w:rsidRPr="001A5C8F">
        <w:rPr>
          <w:rStyle w:val="Style13ptBold"/>
        </w:rPr>
        <w:t>Mecklin 2</w:t>
      </w:r>
      <w:r w:rsidR="00AE2312">
        <w:rPr>
          <w:rStyle w:val="Style13ptBold"/>
        </w:rPr>
        <w:t>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674195B8" w14:textId="5D18BF26" w:rsidR="008F0048" w:rsidRPr="008F0048" w:rsidRDefault="00686AD3" w:rsidP="008F0048">
      <w:pPr>
        <w:rPr>
          <w:u w:val="single"/>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The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cyber attacks,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5A19B4CB" w14:textId="0FA1A7DE" w:rsidR="008F0048" w:rsidRDefault="008F0048" w:rsidP="008F0048">
      <w:pPr>
        <w:pStyle w:val="Heading4"/>
        <w:numPr>
          <w:ilvl w:val="0"/>
          <w:numId w:val="20"/>
        </w:numPr>
      </w:pPr>
      <w:r>
        <w:t>Statistics disprove calc indicts—predictions don’t fail</w:t>
      </w:r>
    </w:p>
    <w:p w14:paraId="2739C0BD" w14:textId="77777777" w:rsidR="008F0048" w:rsidRPr="00240676" w:rsidRDefault="008F0048" w:rsidP="008F0048">
      <w:pPr>
        <w:rPr>
          <w:rStyle w:val="Style13ptBold"/>
        </w:rPr>
      </w:pPr>
      <w:r>
        <w:rPr>
          <w:rStyle w:val="Style13ptBold"/>
        </w:rPr>
        <w:t>Otis 21</w:t>
      </w:r>
    </w:p>
    <w:p w14:paraId="6DA3E933" w14:textId="77777777" w:rsidR="008F0048" w:rsidRPr="00240676" w:rsidRDefault="008F0048" w:rsidP="008F0048">
      <w:pPr>
        <w:rPr>
          <w:sz w:val="16"/>
        </w:rPr>
      </w:pPr>
      <w:r w:rsidRPr="00240676">
        <w:rPr>
          <w:sz w:val="16"/>
        </w:rPr>
        <w:t>Nicholas G. Otis</w:t>
      </w:r>
      <w:r w:rsidRPr="00240676">
        <w:rPr>
          <w:rFonts w:ascii="Cambria Math" w:hAnsi="Cambria Math" w:cs="Cambria Math"/>
          <w:sz w:val="16"/>
        </w:rPr>
        <w:t xml:space="preserve"> (</w:t>
      </w:r>
      <w:r w:rsidRPr="00240676">
        <w:rPr>
          <w:sz w:val="16"/>
        </w:rPr>
        <w:t xml:space="preserve">U.C. Berkeley). “Forecasting in the Field.” March 25, 2021. JDN. </w:t>
      </w:r>
      <w:hyperlink r:id="rId19" w:history="1">
        <w:r w:rsidRPr="00240676">
          <w:rPr>
            <w:rStyle w:val="Hyperlink"/>
            <w:sz w:val="16"/>
          </w:rPr>
          <w:t>https://www.nicholasotis.com/Publications/Otis_2021_FieldForecasting.pdf</w:t>
        </w:r>
      </w:hyperlink>
    </w:p>
    <w:p w14:paraId="443641DD" w14:textId="77777777" w:rsidR="008F0048" w:rsidRPr="00240676" w:rsidRDefault="008F0048" w:rsidP="008F0048">
      <w:pPr>
        <w:rPr>
          <w:sz w:val="16"/>
        </w:rPr>
      </w:pPr>
    </w:p>
    <w:p w14:paraId="678CD0EB" w14:textId="7B5A9526" w:rsidR="008F0048" w:rsidRPr="008F0048" w:rsidRDefault="008F0048" w:rsidP="008F0048">
      <w:pPr>
        <w:rPr>
          <w:sz w:val="16"/>
        </w:rPr>
      </w:pPr>
      <w:r w:rsidRPr="00240676">
        <w:rPr>
          <w:u w:val="single"/>
        </w:rPr>
        <w:t xml:space="preserve">Who knows what about the impacts of large policy interventions? </w:t>
      </w:r>
      <w:r w:rsidRPr="004F2C1A">
        <w:rPr>
          <w:highlight w:val="green"/>
          <w:u w:val="single"/>
        </w:rPr>
        <w:t xml:space="preserve">This paper uses </w:t>
      </w:r>
      <w:r w:rsidRPr="004F2C1A">
        <w:rPr>
          <w:b/>
          <w:highlight w:val="green"/>
          <w:u w:val="single"/>
          <w:bdr w:val="single" w:sz="18" w:space="0" w:color="auto"/>
        </w:rPr>
        <w:t>20,000 forecasts</w:t>
      </w:r>
      <w:r w:rsidRPr="004F2C1A">
        <w:rPr>
          <w:highlight w:val="green"/>
          <w:u w:val="single"/>
        </w:rPr>
        <w:t xml:space="preserve"> of 50</w:t>
      </w:r>
      <w:r w:rsidRPr="00240676">
        <w:rPr>
          <w:u w:val="single"/>
        </w:rPr>
        <w:t xml:space="preserve"> causal </w:t>
      </w:r>
      <w:r w:rsidRPr="004F2C1A">
        <w:rPr>
          <w:highlight w:val="green"/>
          <w:u w:val="single"/>
        </w:rPr>
        <w:t>effects from three large experiments</w:t>
      </w:r>
      <w:r w:rsidRPr="00240676">
        <w:rPr>
          <w:u w:val="single"/>
        </w:rPr>
        <w:t xml:space="preserve"> in Kenya made by academics, people similar to intervention recipients, and nonexperts to examine belief accuracy. Average </w:t>
      </w:r>
      <w:r w:rsidRPr="004F2C1A">
        <w:rPr>
          <w:b/>
          <w:highlight w:val="green"/>
          <w:u w:val="single"/>
          <w:bdr w:val="single" w:sz="18" w:space="0" w:color="auto"/>
        </w:rPr>
        <w:t>predicted effects track</w:t>
      </w:r>
      <w:r w:rsidRPr="00240676">
        <w:rPr>
          <w:sz w:val="16"/>
          <w:bdr w:val="single" w:sz="18" w:space="0" w:color="auto"/>
        </w:rPr>
        <w:t xml:space="preserve"> experimental </w:t>
      </w:r>
      <w:r w:rsidRPr="004F2C1A">
        <w:rPr>
          <w:b/>
          <w:highlight w:val="green"/>
          <w:u w:val="single"/>
          <w:bdr w:val="single" w:sz="18" w:space="0" w:color="auto"/>
        </w:rPr>
        <w:t>results well</w:t>
      </w:r>
      <w:r w:rsidRPr="00240676">
        <w:rPr>
          <w:sz w:val="16"/>
        </w:rPr>
        <w:t xml:space="preserve">: average absolute error from the mean academic forecast is only 0.11 standard deviations, and the average correlation between predicted and observed effects is 0.75. Recipient types are less accurate than academics on average, but are at least as accurate for interventions and outcomes that are likely to be more familiar to them. </w:t>
      </w:r>
      <w:r w:rsidRPr="00240676">
        <w:rPr>
          <w:u w:val="single"/>
        </w:rPr>
        <w:t xml:space="preserve">The mean forecast of each group outperforms more than 75% of the comprising individuals, and </w:t>
      </w:r>
      <w:r w:rsidRPr="004F2C1A">
        <w:rPr>
          <w:highlight w:val="green"/>
          <w:u w:val="single"/>
        </w:rPr>
        <w:t xml:space="preserve">averaging </w:t>
      </w:r>
      <w:r w:rsidRPr="004F2C1A">
        <w:rPr>
          <w:b/>
          <w:highlight w:val="green"/>
          <w:u w:val="single"/>
          <w:bdr w:val="single" w:sz="18" w:space="0" w:color="auto"/>
        </w:rPr>
        <w:t>just five forecasts</w:t>
      </w:r>
      <w:r w:rsidRPr="004F2C1A">
        <w:rPr>
          <w:highlight w:val="green"/>
          <w:u w:val="single"/>
        </w:rPr>
        <w:t xml:space="preserve"> substantially reduces error</w:t>
      </w:r>
      <w:r w:rsidRPr="00240676">
        <w:rPr>
          <w:u w:val="single"/>
        </w:rPr>
        <w:t>, indicating strong “wisdom-of-crowds” effects.</w:t>
      </w:r>
      <w:r w:rsidRPr="00240676">
        <w:rPr>
          <w:sz w:val="16"/>
        </w:rPr>
        <w:t xml:space="preserve"> Three measures of academic expertise (rank, citations, and conducting research in East Africa) and two measures of confidence do not correlate with accuracy. </w:t>
      </w:r>
      <w:r w:rsidRPr="00240676">
        <w:rPr>
          <w:u w:val="single"/>
        </w:rPr>
        <w:t xml:space="preserve">Among recipient-types, </w:t>
      </w:r>
      <w:r w:rsidRPr="004F2C1A">
        <w:rPr>
          <w:highlight w:val="green"/>
          <w:u w:val="single"/>
        </w:rPr>
        <w:t>high-accuracy “</w:t>
      </w:r>
      <w:r w:rsidRPr="004F2C1A">
        <w:rPr>
          <w:b/>
          <w:highlight w:val="green"/>
          <w:u w:val="single"/>
          <w:bdr w:val="single" w:sz="18" w:space="0" w:color="auto"/>
        </w:rPr>
        <w:t>superforecasters</w:t>
      </w:r>
      <w:r w:rsidRPr="004F2C1A">
        <w:rPr>
          <w:highlight w:val="green"/>
          <w:u w:val="single"/>
        </w:rPr>
        <w:t>” can be identified using observables</w:t>
      </w:r>
      <w:r w:rsidRPr="00240676">
        <w:rPr>
          <w:u w:val="single"/>
        </w:rPr>
        <w:t>. Small groups of these superforecasters are as accurate as academic respondents.</w:t>
      </w:r>
      <w:r w:rsidRPr="00240676">
        <w:rPr>
          <w:sz w:val="16"/>
        </w:rPr>
        <w:t xml:space="preserve"> I conclude by providing applications to intervention choice, information maximization, and hypothesis testing.</w:t>
      </w:r>
    </w:p>
    <w:p w14:paraId="2037B2E5" w14:textId="68D981EF" w:rsidR="008F0048" w:rsidRDefault="008F0048" w:rsidP="008F0048">
      <w:pPr>
        <w:pStyle w:val="Heading4"/>
        <w:numPr>
          <w:ilvl w:val="0"/>
          <w:numId w:val="20"/>
        </w:numPr>
      </w:pPr>
      <w:r>
        <w:t xml:space="preserve">A </w:t>
      </w:r>
      <w:r w:rsidRPr="00C67DF7">
        <w:rPr>
          <w:u w:val="single"/>
        </w:rPr>
        <w:t>degree of uncertainty</w:t>
      </w:r>
      <w:r>
        <w:t xml:space="preserve"> is acceptable and </w:t>
      </w:r>
      <w:r w:rsidRPr="00C67DF7">
        <w:rPr>
          <w:u w:val="single"/>
        </w:rPr>
        <w:t>good</w:t>
      </w:r>
      <w:r>
        <w:t>—reject over-simplistic theories</w:t>
      </w:r>
    </w:p>
    <w:p w14:paraId="13D6C7C5" w14:textId="77777777" w:rsidR="008F0048" w:rsidRPr="00966BF1" w:rsidRDefault="008F0048" w:rsidP="008F0048">
      <w:pPr>
        <w:rPr>
          <w:rStyle w:val="Style13ptBold"/>
        </w:rPr>
      </w:pPr>
      <w:r>
        <w:rPr>
          <w:rStyle w:val="Style13ptBold"/>
        </w:rPr>
        <w:t>Goodin 95</w:t>
      </w:r>
    </w:p>
    <w:p w14:paraId="31BA9C78" w14:textId="77777777" w:rsidR="008F0048" w:rsidRPr="00966BF1" w:rsidRDefault="008F0048" w:rsidP="008F0048">
      <w:pPr>
        <w:rPr>
          <w:sz w:val="16"/>
        </w:rPr>
      </w:pPr>
      <w:r w:rsidRPr="00966BF1">
        <w:rPr>
          <w:sz w:val="16"/>
        </w:rPr>
        <w:t xml:space="preserve">Robert E. Goodin (Research School of Social Sciences, Australia National University). “Utilitarianism as a Public Philosophy.” Cambridge University Press. 1995. JDN. </w:t>
      </w:r>
      <w:hyperlink r:id="rId20" w:history="1">
        <w:r w:rsidRPr="00966BF1">
          <w:rPr>
            <w:rStyle w:val="Hyperlink"/>
            <w:sz w:val="16"/>
          </w:rPr>
          <w:t>https://www.utilitarianism.com/utilitarian.pdf</w:t>
        </w:r>
      </w:hyperlink>
    </w:p>
    <w:p w14:paraId="5F118182" w14:textId="77777777" w:rsidR="008F0048" w:rsidRPr="00173C4B" w:rsidRDefault="008F0048" w:rsidP="008F0048">
      <w:pPr>
        <w:rPr>
          <w:sz w:val="16"/>
        </w:rPr>
      </w:pPr>
    </w:p>
    <w:p w14:paraId="3DA230DE" w14:textId="77777777" w:rsidR="008F0048" w:rsidRPr="00240676" w:rsidRDefault="008F0048" w:rsidP="008F0048">
      <w:pPr>
        <w:rPr>
          <w:sz w:val="16"/>
        </w:rPr>
      </w:pPr>
      <w:r w:rsidRPr="00240676">
        <w:rPr>
          <w:sz w:val="16"/>
        </w:rPr>
        <w:t xml:space="preserve">That concession, if true, means that </w:t>
      </w:r>
      <w:r w:rsidRPr="004F2C1A">
        <w:rPr>
          <w:b/>
          <w:highlight w:val="green"/>
          <w:u w:val="single"/>
          <w:bdr w:val="single" w:sz="18" w:space="0" w:color="auto"/>
        </w:rPr>
        <w:t>there will inevitably be</w:t>
      </w:r>
      <w:r w:rsidRPr="00173C4B">
        <w:rPr>
          <w:sz w:val="16"/>
          <w:bdr w:val="single" w:sz="18" w:space="0" w:color="auto"/>
        </w:rPr>
        <w:t xml:space="preserve"> some (perhaps substantial) </w:t>
      </w:r>
      <w:r w:rsidRPr="004F2C1A">
        <w:rPr>
          <w:b/>
          <w:highlight w:val="green"/>
          <w:u w:val="single"/>
          <w:bdr w:val="single" w:sz="18" w:space="0" w:color="auto"/>
        </w:rPr>
        <w:t>imprecision</w:t>
      </w:r>
      <w:r w:rsidRPr="004F2C1A">
        <w:rPr>
          <w:highlight w:val="green"/>
          <w:u w:val="single"/>
        </w:rPr>
        <w:t xml:space="preserve"> in</w:t>
      </w:r>
      <w:r w:rsidRPr="00240676">
        <w:rPr>
          <w:u w:val="single"/>
        </w:rPr>
        <w:t xml:space="preserve"> our public </w:t>
      </w:r>
      <w:r w:rsidRPr="004F2C1A">
        <w:rPr>
          <w:highlight w:val="green"/>
          <w:u w:val="single"/>
        </w:rPr>
        <w:t>util</w:t>
      </w:r>
      <w:r w:rsidRPr="00240676">
        <w:rPr>
          <w:sz w:val="16"/>
        </w:rPr>
        <w:t xml:space="preserve">ity </w:t>
      </w:r>
      <w:r w:rsidRPr="004F2C1A">
        <w:rPr>
          <w:highlight w:val="green"/>
          <w:u w:val="single"/>
        </w:rPr>
        <w:t>calc</w:t>
      </w:r>
      <w:r w:rsidRPr="00240676">
        <w:rPr>
          <w:sz w:val="16"/>
        </w:rPr>
        <w:t xml:space="preserve">ulations. </w:t>
      </w:r>
      <w:r w:rsidRPr="00240676">
        <w:rPr>
          <w:u w:val="single"/>
        </w:rPr>
        <w:t>It follows that util</w:t>
      </w:r>
      <w:r w:rsidRPr="00240676">
        <w:rPr>
          <w:sz w:val="16"/>
        </w:rPr>
        <w:t xml:space="preserve">itarian policy recommendations </w:t>
      </w:r>
      <w:r w:rsidRPr="00240676">
        <w:rPr>
          <w:u w:val="single"/>
        </w:rPr>
        <w:t xml:space="preserve">will therefore still be somewhat indeterminate. </w:t>
      </w:r>
      <w:r w:rsidRPr="004F2C1A">
        <w:rPr>
          <w:highlight w:val="green"/>
          <w:u w:val="single"/>
        </w:rPr>
        <w:t>That is not</w:t>
      </w:r>
      <w:r w:rsidRPr="00240676">
        <w:rPr>
          <w:u w:val="single"/>
        </w:rPr>
        <w:t xml:space="preserve"> necessarily </w:t>
      </w:r>
      <w:r w:rsidRPr="004F2C1A">
        <w:rPr>
          <w:highlight w:val="green"/>
          <w:u w:val="single"/>
        </w:rPr>
        <w:t>a</w:t>
      </w:r>
      <w:r w:rsidRPr="00240676">
        <w:rPr>
          <w:u w:val="single"/>
        </w:rPr>
        <w:t xml:space="preserve"> telling </w:t>
      </w:r>
      <w:r w:rsidRPr="004F2C1A">
        <w:rPr>
          <w:highlight w:val="green"/>
          <w:u w:val="single"/>
        </w:rPr>
        <w:t>criticism</w:t>
      </w:r>
      <w:r w:rsidRPr="00173C4B">
        <w:rPr>
          <w:u w:val="single"/>
        </w:rPr>
        <w:t xml:space="preserve"> of util</w:t>
      </w:r>
      <w:r w:rsidRPr="00240676">
        <w:rPr>
          <w:sz w:val="16"/>
        </w:rPr>
        <w:t xml:space="preserve">itarianism, though. </w:t>
      </w:r>
      <w:r w:rsidRPr="004F2C1A">
        <w:rPr>
          <w:highlight w:val="green"/>
          <w:u w:val="single"/>
        </w:rPr>
        <w:t>It</w:t>
      </w:r>
      <w:r w:rsidRPr="00240676">
        <w:rPr>
          <w:u w:val="single"/>
        </w:rPr>
        <w:t xml:space="preserve"> merely </w:t>
      </w:r>
      <w:r w:rsidRPr="004F2C1A">
        <w:rPr>
          <w:highlight w:val="green"/>
          <w:u w:val="single"/>
        </w:rPr>
        <w:t>amounts to saying</w:t>
      </w:r>
      <w:r w:rsidRPr="00240676">
        <w:rPr>
          <w:u w:val="single"/>
        </w:rPr>
        <w:t xml:space="preserve"> that </w:t>
      </w:r>
      <w:r w:rsidRPr="004F2C1A">
        <w:rPr>
          <w:highlight w:val="green"/>
          <w:u w:val="single"/>
        </w:rPr>
        <w:t>util</w:t>
      </w:r>
      <w:r w:rsidRPr="00240676">
        <w:rPr>
          <w:sz w:val="16"/>
        </w:rPr>
        <w:t xml:space="preserve">itarianism </w:t>
      </w:r>
      <w:r w:rsidRPr="004F2C1A">
        <w:rPr>
          <w:highlight w:val="green"/>
          <w:u w:val="single"/>
        </w:rPr>
        <w:t>leaves</w:t>
      </w:r>
      <w:r w:rsidRPr="00240676">
        <w:rPr>
          <w:u w:val="single"/>
        </w:rPr>
        <w:t xml:space="preserve"> some </w:t>
      </w:r>
      <w:r w:rsidRPr="004F2C1A">
        <w:rPr>
          <w:highlight w:val="green"/>
          <w:u w:val="single"/>
        </w:rPr>
        <w:t>room for public debate</w:t>
      </w:r>
      <w:r w:rsidRPr="00240676">
        <w:rPr>
          <w:u w:val="single"/>
        </w:rPr>
        <w:t xml:space="preserve"> and deliberation - </w:t>
      </w:r>
      <w:r w:rsidRPr="004F2C1A">
        <w:rPr>
          <w:highlight w:val="green"/>
          <w:u w:val="single"/>
        </w:rPr>
        <w:t>in other words, for politics</w:t>
      </w:r>
      <w:r w:rsidRPr="00240676">
        <w:rPr>
          <w:u w:val="single"/>
        </w:rPr>
        <w:t xml:space="preserve"> as it is ordinarily conceived. </w:t>
      </w:r>
      <w:r w:rsidRPr="004F2C1A">
        <w:rPr>
          <w:b/>
          <w:highlight w:val="green"/>
          <w:u w:val="single"/>
          <w:bdr w:val="single" w:sz="18" w:space="0" w:color="auto"/>
        </w:rPr>
        <w:t>We would</w:t>
      </w:r>
      <w:r w:rsidRPr="00173C4B">
        <w:rPr>
          <w:sz w:val="16"/>
          <w:bdr w:val="single" w:sz="18" w:space="0" w:color="auto"/>
        </w:rPr>
        <w:t xml:space="preserve">, I think, </w:t>
      </w:r>
      <w:r w:rsidRPr="004F2C1A">
        <w:rPr>
          <w:b/>
          <w:highlight w:val="green"/>
          <w:u w:val="single"/>
          <w:bdr w:val="single" w:sz="18" w:space="0" w:color="auto"/>
        </w:rPr>
        <w:t>worry about any</w:t>
      </w:r>
      <w:r w:rsidRPr="00173C4B">
        <w:rPr>
          <w:sz w:val="16"/>
          <w:bdr w:val="single" w:sz="18" w:space="0" w:color="auto"/>
        </w:rPr>
        <w:t xml:space="preserve"> political </w:t>
      </w:r>
      <w:r w:rsidRPr="004F2C1A">
        <w:rPr>
          <w:b/>
          <w:highlight w:val="green"/>
          <w:u w:val="single"/>
          <w:bdr w:val="single" w:sz="18" w:space="0" w:color="auto"/>
        </w:rPr>
        <w:t>theory that did not</w:t>
      </w:r>
      <w:r w:rsidRPr="00240676">
        <w:rPr>
          <w:u w:val="single"/>
        </w:rPr>
        <w:t xml:space="preserve"> do that.</w:t>
      </w:r>
      <w:r w:rsidRPr="00240676">
        <w:rPr>
          <w:sz w:val="16"/>
        </w:rPr>
        <w:t xml:space="preserve"> Furthermore, </w:t>
      </w:r>
      <w:r w:rsidRPr="00240676">
        <w:rPr>
          <w:u w:val="single"/>
        </w:rPr>
        <w:t>even where util</w:t>
      </w:r>
      <w:r w:rsidRPr="00240676">
        <w:rPr>
          <w:sz w:val="16"/>
        </w:rPr>
        <w:t xml:space="preserve">itarianism </w:t>
      </w:r>
      <w:r w:rsidRPr="00240676">
        <w:rPr>
          <w:u w:val="single"/>
        </w:rPr>
        <w:t>proves indeterminate, it sets the terms of that public debate.</w:t>
      </w:r>
      <w:r w:rsidRPr="00240676">
        <w:rPr>
          <w:sz w:val="16"/>
        </w:rPr>
        <w:t xml:space="preserve"> It tells us what sorts of considerations ought to weigh with us, often while allowing that how heavily each of them actually weighs is legitimately open to dispute. Even where utilitarianism is indeterminate, it is not silent. To fill in those lacunae, we do not need to tum to some other principles altogether. Rather, in such cases utilitarianism speaks with many voices, and political argument in such a setting can (utilitarians would say "should") consist simply in a debate among them. </w:t>
      </w:r>
      <w:r w:rsidRPr="004F2C1A">
        <w:rPr>
          <w:highlight w:val="green"/>
          <w:u w:val="single"/>
        </w:rPr>
        <w:t xml:space="preserve">Once we have at least </w:t>
      </w:r>
      <w:r w:rsidRPr="004F2C1A">
        <w:rPr>
          <w:b/>
          <w:highlight w:val="green"/>
          <w:u w:val="single"/>
          <w:bdr w:val="single" w:sz="18" w:space="0" w:color="auto"/>
        </w:rPr>
        <w:t>rough-and-ready</w:t>
      </w:r>
      <w:r w:rsidRPr="00240676">
        <w:rPr>
          <w:u w:val="single"/>
        </w:rPr>
        <w:t xml:space="preserve"> interpersonal </w:t>
      </w:r>
      <w:r w:rsidRPr="004F2C1A">
        <w:rPr>
          <w:highlight w:val="green"/>
          <w:u w:val="single"/>
        </w:rPr>
        <w:t>comparisons</w:t>
      </w:r>
      <w:r w:rsidRPr="00240676">
        <w:rPr>
          <w:u w:val="single"/>
        </w:rPr>
        <w:t xml:space="preserve"> on the table, </w:t>
      </w:r>
      <w:r w:rsidRPr="004F2C1A">
        <w:rPr>
          <w:highlight w:val="green"/>
          <w:u w:val="single"/>
        </w:rPr>
        <w:t>we can resume discussing</w:t>
      </w:r>
      <w:r w:rsidRPr="00240676">
        <w:rPr>
          <w:u w:val="single"/>
        </w:rPr>
        <w:t xml:space="preserve"> the util</w:t>
      </w:r>
      <w:r w:rsidRPr="00240676">
        <w:rPr>
          <w:sz w:val="16"/>
        </w:rPr>
        <w:t xml:space="preserve">itarian </w:t>
      </w:r>
      <w:r w:rsidRPr="00240676">
        <w:rPr>
          <w:u w:val="single"/>
        </w:rPr>
        <w:t>merits of alternative distributions of the national dividend.</w:t>
      </w:r>
      <w:r w:rsidRPr="00240676">
        <w:rPr>
          <w:sz w:val="16"/>
        </w:rPr>
        <w:t xml:space="preserve"> Of course, which distribution utilitarianism recommends naturally depends upon certain crucial empirical facts of the matter. That in itself has long been taken to be a criticism of utilitarianism. If the facts of the matter tum out one particular way, utilitarianism might find itself recommending distributional policies that are intuitively outrageous.</w:t>
      </w:r>
    </w:p>
    <w:p w14:paraId="123989EC" w14:textId="77777777" w:rsidR="008F0048" w:rsidRDefault="008F0048" w:rsidP="008F0048"/>
    <w:p w14:paraId="34CAE861" w14:textId="77777777" w:rsidR="008F0048" w:rsidRPr="001A5C8F" w:rsidRDefault="008F0048" w:rsidP="008F0048"/>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 xml:space="preserve">[Boley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r w:rsidRPr="002D41AD">
        <w:rPr>
          <w:rStyle w:val="Style13ptBold"/>
        </w:rPr>
        <w:t xml:space="preserve">Boley and Byers 21 </w:t>
      </w:r>
    </w:p>
    <w:p w14:paraId="738818D0" w14:textId="3F60BC5B" w:rsidR="00C86F63"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21" w:history="1">
        <w:r w:rsidRPr="00CA59D5">
          <w:rPr>
            <w:rStyle w:val="Hyperlink"/>
            <w:sz w:val="16"/>
          </w:rPr>
          <w:t>https://doi.org/10.1038/s41598-021-89909-7</w:t>
        </w:r>
      </w:hyperlink>
      <w:r w:rsidRPr="00CA59D5">
        <w:rPr>
          <w:sz w:val="16"/>
        </w:rPr>
        <w:t xml:space="preserve"> </w:t>
      </w:r>
      <w:hyperlink r:id="rId22"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bookmarkStart w:id="0" w:name="_Hlk101351994"/>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bookmarkEnd w:id="0"/>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Starlink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defence. Occultations are another issue: even a satellite that is unilluminated (i.e.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(i.e.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5BC9E7BA" w14:textId="2D8206B9" w:rsidR="006400A4" w:rsidRDefault="006400A4" w:rsidP="006400A4">
      <w:pPr>
        <w:pStyle w:val="Heading4"/>
      </w:pPr>
      <w:r>
        <w:t xml:space="preserve">“First-come, first-served” </w:t>
      </w:r>
      <w:r w:rsidR="00250A10">
        <w:t>triggers</w:t>
      </w:r>
      <w:r>
        <w:t xml:space="preserve"> war</w:t>
      </w:r>
      <w:r w:rsidR="00250A10">
        <w:t xml:space="preserve"> – 3 </w:t>
      </w:r>
      <w:r w:rsidR="00694A04">
        <w:t>reasons:</w:t>
      </w:r>
    </w:p>
    <w:p w14:paraId="587071C6" w14:textId="75D86E6E" w:rsidR="00351ED8" w:rsidRDefault="00862A12" w:rsidP="00C86F63">
      <w:pPr>
        <w:pStyle w:val="Heading4"/>
      </w:pPr>
      <w:r w:rsidRPr="00862A12">
        <w:rPr>
          <w:b w:val="0"/>
          <w:bCs/>
          <w:sz w:val="8"/>
          <w:szCs w:val="8"/>
        </w:rPr>
        <w:t xml:space="preserve">[Boley and Byers 2] </w:t>
      </w:r>
      <w:r w:rsidR="006400A4">
        <w:t xml:space="preserve">A] </w:t>
      </w:r>
      <w:r w:rsidR="00250A10">
        <w:t>Crowding</w:t>
      </w:r>
    </w:p>
    <w:p w14:paraId="0187818A" w14:textId="679674FB" w:rsidR="00351ED8" w:rsidRPr="00351ED8" w:rsidRDefault="00C86F63" w:rsidP="00351ED8">
      <w:pPr>
        <w:rPr>
          <w:rStyle w:val="Style13ptBold"/>
        </w:rPr>
      </w:pPr>
      <w:r w:rsidRPr="00351ED8">
        <w:rPr>
          <w:rStyle w:val="Style13ptBold"/>
        </w:rPr>
        <w:t>Boley and Byers 2</w:t>
      </w:r>
    </w:p>
    <w:p w14:paraId="1CFB65E5" w14:textId="778D4470" w:rsidR="00C86F63" w:rsidRPr="00DD2AAF" w:rsidRDefault="00C86F63" w:rsidP="00C86F63">
      <w:pPr>
        <w:rPr>
          <w:sz w:val="16"/>
        </w:rPr>
      </w:pPr>
      <w:r w:rsidRPr="00CA59D5">
        <w:rPr>
          <w:sz w:val="16"/>
        </w:rPr>
        <w:t xml:space="preserve">Boley, A.C., Byers, M. Satellite mega-constellations create risks in Low Earth Orbit, the atmosphere and on Earth. Sci Rep 11, 10642 (2021). </w:t>
      </w:r>
      <w:hyperlink r:id="rId23" w:history="1">
        <w:r w:rsidRPr="00CA59D5">
          <w:rPr>
            <w:rStyle w:val="Hyperlink"/>
            <w:sz w:val="16"/>
          </w:rPr>
          <w:t>https://doi.org/10.1038/s41598-021-89909-7</w:t>
        </w:r>
      </w:hyperlink>
      <w:r w:rsidRPr="00CA59D5">
        <w:rPr>
          <w:sz w:val="16"/>
        </w:rPr>
        <w:t xml:space="preserve"> </w:t>
      </w:r>
      <w:hyperlink r:id="rId24"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Failures will increase these numbers, although the long-term failure rate is difficult to project. Figure 3 is similar to the righthand portion of Fig. 2 but includes the Starlink and OneWeb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Starlink and OneWeb mega-constellations as filed (and amended) with the FCC. Provided that the orbits are nearly circular, the number densities in those shells will exceed 10–6 km−3. </w:t>
      </w:r>
      <w:r w:rsidRPr="00C93EDB">
        <w:rPr>
          <w:rStyle w:val="StyleUnderline"/>
        </w:rPr>
        <w:t>Because the collisional cross-section in those shells is also high, they represent regions that have a high collision risk whenever debris is too small to be tracked or collision avoidance manoeuvres are impossible for other reasons</w:t>
      </w:r>
      <w:r w:rsidRPr="00C93EDB">
        <w:t>. Deorbiting</w:t>
      </w:r>
      <w:r w:rsidRPr="00351ED8">
        <w:t xml:space="preserve"> satellites will be tracked and operational satellites can manoeuvre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manoeuvres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decaying through the shells used by Starlink</w:t>
      </w:r>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Starlink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Starlink constellation of 12,000 satellites (i.e.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2DAD9276" w14:textId="2D321251" w:rsidR="006400A4" w:rsidRDefault="006400A4" w:rsidP="006400A4">
      <w:pPr>
        <w:pStyle w:val="Heading4"/>
      </w:pPr>
      <w:r w:rsidRPr="00862A12">
        <w:rPr>
          <w:b w:val="0"/>
          <w:bCs/>
          <w:sz w:val="8"/>
          <w:szCs w:val="8"/>
        </w:rPr>
        <w:t xml:space="preserve">[Breen 18] </w:t>
      </w:r>
      <w:r w:rsidR="00F15042">
        <w:t xml:space="preserve">That’s </w:t>
      </w:r>
      <w:r w:rsidRPr="00425327">
        <w:rPr>
          <w:u w:val="single"/>
        </w:rPr>
        <w:t>irreversible</w:t>
      </w:r>
    </w:p>
    <w:p w14:paraId="76D885D1" w14:textId="77777777" w:rsidR="006400A4" w:rsidRPr="00B029C3" w:rsidRDefault="006400A4" w:rsidP="006400A4">
      <w:pPr>
        <w:rPr>
          <w:rStyle w:val="Style13ptBold"/>
        </w:rPr>
      </w:pPr>
      <w:r w:rsidRPr="00B029C3">
        <w:rPr>
          <w:rStyle w:val="Style13ptBold"/>
        </w:rPr>
        <w:t xml:space="preserve">Breen 18 </w:t>
      </w:r>
    </w:p>
    <w:p w14:paraId="6B9291AB" w14:textId="77777777" w:rsidR="006400A4" w:rsidRPr="00FA367E" w:rsidRDefault="006400A4" w:rsidP="006400A4">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6" w:history="1">
        <w:r w:rsidRPr="00FA367E">
          <w:rPr>
            <w:rStyle w:val="Hyperlink"/>
            <w:sz w:val="16"/>
          </w:rPr>
          <w:t>https://apps.dtic.mil/dtic/tr/fulltext/u2/1059769.pdf</w:t>
        </w:r>
      </w:hyperlink>
      <w:r w:rsidRPr="00FA367E">
        <w:rPr>
          <w:sz w:val="16"/>
        </w:rPr>
        <w:t xml:space="preserve"> //avery</w:t>
      </w:r>
      <w:r>
        <w:rPr>
          <w:sz w:val="16"/>
        </w:rPr>
        <w:t xml:space="preserve"> -recut CAT</w:t>
      </w:r>
    </w:p>
    <w:p w14:paraId="70EB38F1" w14:textId="77777777" w:rsidR="006400A4" w:rsidRPr="00B029C3" w:rsidRDefault="006400A4" w:rsidP="006400A4">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w:t>
      </w:r>
      <w:r w:rsidRPr="00F15042">
        <w:rPr>
          <w:rStyle w:val="StyleUnderline"/>
        </w:rPr>
        <w:t>example, imagine a hypothetical future scenario where LEO has been banned for satellite usage due to the immense amount of traffic, which no long</w:t>
      </w:r>
      <w:r w:rsidRPr="00B029C3">
        <w:rPr>
          <w:rStyle w:val="StyleUnderline"/>
        </w:rPr>
        <w:t xml:space="preserve">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 xml:space="preserve">.437 Armed conflict or even war in space would be the most dangerous possibility resulting from space debris collisions. Vitaly Adushkin,from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0CF6247F" w14:textId="24A5D420" w:rsidR="00F82A54" w:rsidRDefault="00463DF6" w:rsidP="00463DF6">
      <w:pPr>
        <w:pStyle w:val="Heading4"/>
      </w:pPr>
      <w:r>
        <w:t>B] Commercial uses inherently escalate</w:t>
      </w:r>
      <w:r w:rsidR="00C32873">
        <w:t xml:space="preserve"> and are coopted by </w:t>
      </w:r>
      <w:r>
        <w:t>military ones</w:t>
      </w:r>
    </w:p>
    <w:p w14:paraId="5744408C" w14:textId="4FB3646D" w:rsidR="00463DF6" w:rsidRDefault="00F82A54" w:rsidP="00463DF6">
      <w:pPr>
        <w:pStyle w:val="Heading4"/>
      </w:pPr>
      <w:r w:rsidRPr="00F82A54">
        <w:rPr>
          <w:b w:val="0"/>
          <w:bCs/>
          <w:sz w:val="12"/>
          <w:szCs w:val="12"/>
        </w:rPr>
        <w:t xml:space="preserve">[Freund 22] </w:t>
      </w:r>
      <w:r w:rsidR="00463DF6">
        <w:t>Ukraine proves</w:t>
      </w:r>
    </w:p>
    <w:p w14:paraId="760D021D" w14:textId="460932A1" w:rsidR="00463DF6" w:rsidRDefault="00463DF6" w:rsidP="00463DF6">
      <w:pPr>
        <w:rPr>
          <w:rStyle w:val="Style13ptBold"/>
        </w:rPr>
      </w:pPr>
      <w:r>
        <w:rPr>
          <w:rStyle w:val="Style13ptBold"/>
        </w:rPr>
        <w:t>Freund 22</w:t>
      </w:r>
    </w:p>
    <w:p w14:paraId="05B7511E" w14:textId="4DF90BBD" w:rsidR="00463DF6" w:rsidRPr="00463DF6" w:rsidRDefault="00463DF6" w:rsidP="00463DF6">
      <w:r w:rsidRPr="00463DF6">
        <w:t>Alexander Freund</w:t>
      </w:r>
      <w:r>
        <w:t xml:space="preserve">, </w:t>
      </w:r>
      <w:r w:rsidR="00D919F7">
        <w:t xml:space="preserve">journalist, </w:t>
      </w:r>
      <w:r w:rsidRPr="00463DF6">
        <w:t>DW.com, Science, Ukraine is using Elon Musk's Starlink for drone strikes Date 27.03.2022</w:t>
      </w:r>
      <w:r>
        <w:t xml:space="preserve"> </w:t>
      </w:r>
      <w:r w:rsidRPr="00463DF6">
        <w:t xml:space="preserve">Author Alexander Freund </w:t>
      </w:r>
      <w:hyperlink r:id="rId27" w:history="1">
        <w:r w:rsidRPr="00463DF6">
          <w:rPr>
            <w:rStyle w:val="Hyperlink"/>
          </w:rPr>
          <w:t>https://www.dw.com/en/ukraine-is-using-elon-musks-starlink-for-drone-strikes/a-61270528</w:t>
        </w:r>
      </w:hyperlink>
      <w:r w:rsidRPr="00463DF6">
        <w:t xml:space="preserve"> -CAT</w:t>
      </w:r>
    </w:p>
    <w:p w14:paraId="38E26CE8" w14:textId="68C8C9AE" w:rsidR="00463DF6" w:rsidRPr="00051B53" w:rsidRDefault="00D919F7" w:rsidP="00D919F7">
      <w:pPr>
        <w:rPr>
          <w:sz w:val="14"/>
        </w:rPr>
      </w:pPr>
      <w:r w:rsidRPr="00051B53">
        <w:rPr>
          <w:sz w:val="14"/>
        </w:rPr>
        <w:t xml:space="preserve">Just after Russia's invasion began in late February, Ukrainian Vice Prime Minister Mykhailo Fedorov took to Twitter to ask US billionaire Elon Musk to activate his Starlink satellites for use in Ukraine. Musk swiftly tweeted his response: "Starlink service is now active in Ukraine. More terminals en route." Soon after, a number of terminals and powerful batteries arrived in Ukraine. Others soon followed. Fedorov took to Twitter again to express his gratitude: "Starlink — here. Thanks, @elonmusk." No secret dispatches, no long debates, no governmental or parliamentary controls: just a very public deal between a politician whose country has been attacked and an enigmatic billionaire who went on to challenge the aggressor, Russian President Vladimir Putin, to "single combat." What at first looked like a PR coup now seems to be playing a significant role in Ukraine's defense. </w:t>
      </w:r>
      <w:r w:rsidRPr="00F82A54">
        <w:rPr>
          <w:rStyle w:val="StyleUnderline"/>
        </w:rPr>
        <w:t>'Create target acquisition'</w:t>
      </w:r>
      <w:r w:rsidRPr="00051B53">
        <w:rPr>
          <w:sz w:val="14"/>
        </w:rPr>
        <w:t xml:space="preserve"> </w:t>
      </w:r>
      <w:r w:rsidRPr="00F82A54">
        <w:rPr>
          <w:rStyle w:val="StyleUnderline"/>
        </w:rPr>
        <w:t xml:space="preserve">British media have reported that </w:t>
      </w:r>
      <w:r w:rsidRPr="00F82A54">
        <w:rPr>
          <w:rStyle w:val="StyleUnderline"/>
          <w:highlight w:val="green"/>
        </w:rPr>
        <w:t>Ukraine</w:t>
      </w:r>
      <w:r w:rsidRPr="00F82A54">
        <w:rPr>
          <w:rStyle w:val="StyleUnderline"/>
        </w:rPr>
        <w:t xml:space="preserve">'s army </w:t>
      </w:r>
      <w:r w:rsidRPr="00F82A54">
        <w:rPr>
          <w:rStyle w:val="StyleUnderline"/>
          <w:highlight w:val="green"/>
        </w:rPr>
        <w:t xml:space="preserve">is making very successful use of Starlink for drone attacks </w:t>
      </w:r>
      <w:r w:rsidRPr="00F82A54">
        <w:rPr>
          <w:rStyle w:val="StyleUnderline"/>
        </w:rPr>
        <w:t xml:space="preserve">on Russian tanks and positions. The Telegraph reported that </w:t>
      </w:r>
      <w:r w:rsidRPr="00F82A54">
        <w:rPr>
          <w:rStyle w:val="StyleUnderline"/>
          <w:highlight w:val="green"/>
        </w:rPr>
        <w:t>Starlink is of particular military significance</w:t>
      </w:r>
      <w:r w:rsidRPr="00F82A54">
        <w:rPr>
          <w:rStyle w:val="StyleUnderline"/>
        </w:rPr>
        <w:t xml:space="preserve"> in areas where the infrastructure is weak and there is no internet connection</w:t>
      </w:r>
      <w:r w:rsidRPr="00051B53">
        <w:rPr>
          <w:sz w:val="14"/>
        </w:rPr>
        <w:t xml:space="preserve">. </w:t>
      </w:r>
      <w:r w:rsidRPr="00F82A54">
        <w:rPr>
          <w:rStyle w:val="StyleUnderline"/>
        </w:rPr>
        <w:t xml:space="preserve">According to The Telegraph, the aerial reconnaissance unit Aerorozvidka is using Starlink </w:t>
      </w:r>
      <w:r w:rsidRPr="00F82A54">
        <w:rPr>
          <w:rStyle w:val="StyleUnderline"/>
          <w:highlight w:val="green"/>
        </w:rPr>
        <w:t>to monitor and coordinate unmanned aerial vehicles</w:t>
      </w:r>
      <w:r w:rsidRPr="00F82A54">
        <w:rPr>
          <w:rStyle w:val="StyleUnderline"/>
        </w:rPr>
        <w:t xml:space="preserve">, enabling soldiers to </w:t>
      </w:r>
      <w:r w:rsidRPr="00F82A54">
        <w:rPr>
          <w:rStyle w:val="StyleUnderline"/>
          <w:highlight w:val="green"/>
        </w:rPr>
        <w:t>fire anti-tank weapons with targeted precision</w:t>
      </w:r>
      <w:r w:rsidRPr="00051B53">
        <w:rPr>
          <w:sz w:val="14"/>
        </w:rPr>
        <w:t xml:space="preserve">. </w:t>
      </w:r>
      <w:r w:rsidRPr="00F82A54">
        <w:rPr>
          <w:rStyle w:val="StyleUnderline"/>
        </w:rPr>
        <w:t xml:space="preserve">Only the system's high data rates can provide the stable communication required, The Telegraph reported. An officer with the Aerorozvidka unit described the system to The Times: "We use Starlink equipment and connect the drone team with our artillery team," he said. "If we use a drone with thermal vision at night, </w:t>
      </w:r>
      <w:r w:rsidRPr="00C32873">
        <w:rPr>
          <w:rStyle w:val="StyleUnderline"/>
          <w:highlight w:val="green"/>
        </w:rPr>
        <w:t>the drone must connect through Starlink</w:t>
      </w:r>
      <w:r w:rsidRPr="00F82A54">
        <w:rPr>
          <w:rStyle w:val="StyleUnderline"/>
        </w:rPr>
        <w:t xml:space="preserve"> </w:t>
      </w:r>
      <w:r w:rsidRPr="00C32873">
        <w:rPr>
          <w:rStyle w:val="StyleUnderline"/>
          <w:highlight w:val="green"/>
        </w:rPr>
        <w:t>to</w:t>
      </w:r>
      <w:r w:rsidRPr="00F82A54">
        <w:rPr>
          <w:rStyle w:val="StyleUnderline"/>
        </w:rPr>
        <w:t xml:space="preserve"> the artillery guy and </w:t>
      </w:r>
      <w:r w:rsidRPr="00C32873">
        <w:rPr>
          <w:rStyle w:val="StyleUnderline"/>
          <w:highlight w:val="green"/>
        </w:rPr>
        <w:t>create target acquisition</w:t>
      </w:r>
      <w:r w:rsidRPr="00F82A54">
        <w:rPr>
          <w:rStyle w:val="StyleUnderline"/>
        </w:rPr>
        <w:t>."</w:t>
      </w:r>
      <w:r w:rsidRPr="00051B53">
        <w:rPr>
          <w:sz w:val="14"/>
        </w:rPr>
        <w:t xml:space="preserve"> The Times reported that the Aerorozvidka team runs about 300 information-gathering missions each day. Attacks are then carried out at night, according to the newspaper, because the drones, some of which are equipped with thermal cameras, are almost impossible to see in the dark. Satellites like Starlink's have been considered for getting information to conflict regions Many possible uses </w:t>
      </w:r>
      <w:r w:rsidRPr="00C32873">
        <w:rPr>
          <w:rStyle w:val="StyleUnderline"/>
        </w:rPr>
        <w:t xml:space="preserve">Starlink </w:t>
      </w:r>
      <w:r w:rsidRPr="00C32873">
        <w:rPr>
          <w:rStyle w:val="StyleUnderline"/>
          <w:highlight w:val="green"/>
        </w:rPr>
        <w:t>satellites are intended to provide internet to</w:t>
      </w:r>
      <w:r w:rsidRPr="00C32873">
        <w:rPr>
          <w:rStyle w:val="StyleUnderline"/>
        </w:rPr>
        <w:t xml:space="preserve"> undersupplied </w:t>
      </w:r>
      <w:r w:rsidRPr="00C32873">
        <w:rPr>
          <w:rStyle w:val="StyleUnderline"/>
          <w:highlight w:val="green"/>
        </w:rPr>
        <w:t>regions far from urban centers</w:t>
      </w:r>
      <w:r w:rsidRPr="00C32873">
        <w:rPr>
          <w:rStyle w:val="StyleUnderline"/>
        </w:rPr>
        <w:t xml:space="preserve">. The potential for using satellites to get information to people in regions where the internet is censored had been discussed. </w:t>
      </w:r>
      <w:r w:rsidRPr="00C32873">
        <w:rPr>
          <w:rStyle w:val="StyleUnderline"/>
          <w:highlight w:val="green"/>
        </w:rPr>
        <w:t>Few</w:t>
      </w:r>
      <w:r w:rsidRPr="00C32873">
        <w:rPr>
          <w:rStyle w:val="StyleUnderline"/>
        </w:rPr>
        <w:t xml:space="preserve">, however, had </w:t>
      </w:r>
      <w:r w:rsidRPr="00C32873">
        <w:rPr>
          <w:rStyle w:val="StyleUnderline"/>
          <w:highlight w:val="green"/>
        </w:rPr>
        <w:t>imagined that its initial use would be in a European war zone</w:t>
      </w:r>
      <w:r w:rsidRPr="00C32873">
        <w:rPr>
          <w:rStyle w:val="StyleUnderline"/>
        </w:rPr>
        <w:t xml:space="preserve"> in which one of the aggressor's first acts at the start of the invasion was to target and destroy power supplies and internet connections</w:t>
      </w:r>
      <w:r w:rsidRPr="00051B53">
        <w:rPr>
          <w:sz w:val="14"/>
        </w:rPr>
        <w:t xml:space="preserve">. Ukrainians have — or have regained — access to information. According to The Telegraph, Starlink is one of the most popular app downloads in Ukraine, enabling more than 100,000 people to stay updated about what is happening in the war, and to keep in touch with the outside world. Ukrainian President Volodymyr Zelenskyy uses the Starlink satellites to make speeches to the nation and to national parliaments around the world. Quite apart from its military usefulness, Starlink has become vital to Ukraine, both for obtaining worldwide support and for maintaining the unbroken resistance of the people. Target for Russia? With Russia trying to target and destroy Ukrainian infrastructure, including power and internet, the connection will likely be even more important in the coming weeks and months. </w:t>
      </w:r>
      <w:r w:rsidRPr="00C32873">
        <w:rPr>
          <w:rStyle w:val="StyleUnderline"/>
          <w:highlight w:val="green"/>
        </w:rPr>
        <w:t>This</w:t>
      </w:r>
      <w:r w:rsidRPr="00C32873">
        <w:rPr>
          <w:rStyle w:val="StyleUnderline"/>
        </w:rPr>
        <w:t xml:space="preserve">, of course, also </w:t>
      </w:r>
      <w:r w:rsidRPr="00C32873">
        <w:rPr>
          <w:rStyle w:val="StyleUnderline"/>
          <w:highlight w:val="green"/>
        </w:rPr>
        <w:t>means</w:t>
      </w:r>
      <w:r w:rsidRPr="00C32873">
        <w:rPr>
          <w:rStyle w:val="StyleUnderline"/>
        </w:rPr>
        <w:t xml:space="preserve"> that </w:t>
      </w:r>
      <w:r w:rsidRPr="00C32873">
        <w:rPr>
          <w:rStyle w:val="StyleUnderline"/>
          <w:highlight w:val="green"/>
        </w:rPr>
        <w:t>Starlink reception dishes</w:t>
      </w:r>
      <w:r w:rsidRPr="00C32873">
        <w:rPr>
          <w:rStyle w:val="StyleUnderline"/>
        </w:rPr>
        <w:t xml:space="preserve">, which are </w:t>
      </w:r>
      <w:r w:rsidRPr="00C32873">
        <w:rPr>
          <w:rStyle w:val="StyleUnderline"/>
          <w:highlight w:val="green"/>
        </w:rPr>
        <w:t>not</w:t>
      </w:r>
      <w:r w:rsidRPr="00C32873">
        <w:rPr>
          <w:rStyle w:val="StyleUnderline"/>
        </w:rPr>
        <w:t xml:space="preserve"> exactly </w:t>
      </w:r>
      <w:r w:rsidRPr="00C32873">
        <w:rPr>
          <w:rStyle w:val="StyleUnderline"/>
          <w:highlight w:val="green"/>
        </w:rPr>
        <w:t>inconspicuous</w:t>
      </w:r>
      <w:r w:rsidRPr="00C32873">
        <w:rPr>
          <w:rStyle w:val="StyleUnderline"/>
        </w:rPr>
        <w:t xml:space="preserve">, </w:t>
      </w:r>
      <w:r w:rsidRPr="00C32873">
        <w:rPr>
          <w:rStyle w:val="Emphasis"/>
          <w:highlight w:val="green"/>
        </w:rPr>
        <w:t>will be targets for Russian troops</w:t>
      </w:r>
      <w:r w:rsidRPr="00C32873">
        <w:rPr>
          <w:rStyle w:val="StyleUnderline"/>
        </w:rPr>
        <w:t xml:space="preserve">. The biggest danger, however, is that the reception equipment </w:t>
      </w:r>
      <w:r w:rsidRPr="00C32873">
        <w:rPr>
          <w:rStyle w:val="StyleUnderline"/>
          <w:highlight w:val="green"/>
        </w:rPr>
        <w:t>can be geolocated</w:t>
      </w:r>
      <w:r w:rsidRPr="00C32873">
        <w:rPr>
          <w:rStyle w:val="StyleUnderline"/>
        </w:rPr>
        <w:t xml:space="preserve"> </w:t>
      </w:r>
      <w:r w:rsidRPr="00C32873">
        <w:rPr>
          <w:rStyle w:val="StyleUnderline"/>
          <w:highlight w:val="green"/>
        </w:rPr>
        <w:t>while in operation</w:t>
      </w:r>
      <w:r w:rsidRPr="00C32873">
        <w:rPr>
          <w:rStyle w:val="StyleUnderline"/>
        </w:rPr>
        <w:t xml:space="preserve">. Shortly after the first terminals were delivered in early March, Musk tweeted: "Turn on Starlink only when needed and </w:t>
      </w:r>
      <w:r w:rsidRPr="00C32873">
        <w:rPr>
          <w:rStyle w:val="StyleUnderline"/>
          <w:highlight w:val="green"/>
        </w:rPr>
        <w:t>place</w:t>
      </w:r>
      <w:r w:rsidRPr="00C32873">
        <w:rPr>
          <w:rStyle w:val="StyleUnderline"/>
        </w:rPr>
        <w:t xml:space="preserve"> antenna </w:t>
      </w:r>
      <w:r w:rsidRPr="00C32873">
        <w:rPr>
          <w:rStyle w:val="StyleUnderline"/>
          <w:highlight w:val="green"/>
        </w:rPr>
        <w:t>as far away from people as possible</w:t>
      </w:r>
      <w:r w:rsidRPr="00C32873">
        <w:rPr>
          <w:rStyle w:val="StyleUnderline"/>
        </w:rPr>
        <w:t>."</w:t>
      </w:r>
      <w:r w:rsidRPr="00051B53">
        <w:rPr>
          <w:sz w:val="14"/>
        </w:rPr>
        <w:t xml:space="preserve"> In addition to targeted attacks, Russia is apparently also trying to use jammers to block internet access from space. But SpaceX says it already has a solution: On Twitter, Musk wrote that a new software update lowers power consumption and can bypass jamming transmitters. The Kremlin considers Musk's support of Ukraine an aggression. Dmitry Rogozin, the head of the Russian space agency Roscosmos, called Starlink's activities interference. "When Russia implements its highest national interests on the territory of Ukraine, Elon Musk appears with his Starlink, which was previously declared purely civilian," he said on state-funded Russian broadcaster RT. Musk's response was as laconic as ever. "Ukraine civilian Internet was experiencing strange outages - bad weather perhaps? - so SpaceX is helping fix it," he tweeted.</w:t>
      </w:r>
    </w:p>
    <w:p w14:paraId="24DD21D7" w14:textId="71CD866F" w:rsidR="00463DF6" w:rsidRPr="00C32873" w:rsidRDefault="00C32873" w:rsidP="00C32873">
      <w:pPr>
        <w:pStyle w:val="Heading4"/>
      </w:pPr>
      <w:r w:rsidRPr="00B2185E">
        <w:rPr>
          <w:b w:val="0"/>
          <w:bCs/>
          <w:sz w:val="12"/>
          <w:szCs w:val="12"/>
        </w:rPr>
        <w:t>[</w:t>
      </w:r>
      <w:r>
        <w:rPr>
          <w:b w:val="0"/>
          <w:bCs/>
          <w:sz w:val="12"/>
          <w:szCs w:val="12"/>
        </w:rPr>
        <w:t>Baen 22</w:t>
      </w:r>
      <w:r w:rsidRPr="00B2185E">
        <w:rPr>
          <w:b w:val="0"/>
          <w:bCs/>
          <w:sz w:val="12"/>
          <w:szCs w:val="12"/>
        </w:rPr>
        <w:t>]</w:t>
      </w:r>
      <w:r>
        <w:t xml:space="preserve"> </w:t>
      </w:r>
      <w:r w:rsidR="0063240D">
        <w:rPr>
          <w:u w:val="single"/>
        </w:rPr>
        <w:t>Even the U.S. wants a stake in the game</w:t>
      </w:r>
    </w:p>
    <w:p w14:paraId="6012D966" w14:textId="2729B2A6" w:rsidR="00463DF6" w:rsidRDefault="00463DF6" w:rsidP="00463DF6">
      <w:pPr>
        <w:rPr>
          <w:rStyle w:val="Style13ptBold"/>
        </w:rPr>
      </w:pPr>
      <w:r>
        <w:rPr>
          <w:rStyle w:val="Style13ptBold"/>
        </w:rPr>
        <w:t>Baen 22</w:t>
      </w:r>
    </w:p>
    <w:p w14:paraId="6E5886E5" w14:textId="066416F9" w:rsidR="00463DF6" w:rsidRPr="00051B53" w:rsidRDefault="00051B53" w:rsidP="00051B53">
      <w:pPr>
        <w:rPr>
          <w:sz w:val="12"/>
          <w:szCs w:val="12"/>
        </w:rPr>
      </w:pPr>
      <w:r w:rsidRPr="00051B53">
        <w:rPr>
          <w:sz w:val="12"/>
          <w:szCs w:val="12"/>
        </w:rPr>
        <w:t xml:space="preserve">Specialist Maxine Baen, writing for the US Army’s website, army.mil Army tests commercial satellite internet in pilot program By Spc. Maxine Baen February 28, 2022 </w:t>
      </w:r>
      <w:hyperlink r:id="rId28" w:history="1">
        <w:r w:rsidRPr="00051B53">
          <w:rPr>
            <w:rStyle w:val="Hyperlink"/>
            <w:sz w:val="12"/>
            <w:szCs w:val="12"/>
          </w:rPr>
          <w:t>https://www.army.mil/article/254316/army_tests_commercial_satellite_internet_in_pilot_program</w:t>
        </w:r>
      </w:hyperlink>
      <w:r w:rsidRPr="00051B53">
        <w:rPr>
          <w:sz w:val="12"/>
          <w:szCs w:val="12"/>
        </w:rPr>
        <w:t xml:space="preserve"> -CAT</w:t>
      </w:r>
    </w:p>
    <w:p w14:paraId="38EC3EAA" w14:textId="34E9705B" w:rsidR="00051B53" w:rsidRPr="00615C43" w:rsidRDefault="00051B53" w:rsidP="00051B53">
      <w:pPr>
        <w:rPr>
          <w:sz w:val="12"/>
        </w:rPr>
      </w:pPr>
      <w:r w:rsidRPr="00615C43">
        <w:rPr>
          <w:sz w:val="12"/>
        </w:rPr>
        <w:t xml:space="preserve">FORT BRAGG, N.C. — </w:t>
      </w:r>
      <w:r w:rsidRPr="00051B53">
        <w:rPr>
          <w:rStyle w:val="StyleUnderline"/>
          <w:highlight w:val="green"/>
        </w:rPr>
        <w:t xml:space="preserve">Soldiers </w:t>
      </w:r>
      <w:r w:rsidRPr="00051B53">
        <w:rPr>
          <w:rStyle w:val="StyleUnderline"/>
        </w:rPr>
        <w:t xml:space="preserve">assigned to the 50th Expeditionary Signal Battalion-Enhanced, 35th Corps Signal Brigade </w:t>
      </w:r>
      <w:r w:rsidRPr="00051B53">
        <w:rPr>
          <w:rStyle w:val="StyleUnderline"/>
          <w:highlight w:val="green"/>
        </w:rPr>
        <w:t xml:space="preserve">are </w:t>
      </w:r>
      <w:r w:rsidRPr="00051B53">
        <w:rPr>
          <w:rStyle w:val="StyleUnderline"/>
        </w:rPr>
        <w:t xml:space="preserve">in the early stages of </w:t>
      </w:r>
      <w:r w:rsidRPr="00051B53">
        <w:rPr>
          <w:rStyle w:val="StyleUnderline"/>
          <w:highlight w:val="green"/>
        </w:rPr>
        <w:t xml:space="preserve">using </w:t>
      </w:r>
      <w:r w:rsidRPr="00051B53">
        <w:rPr>
          <w:rStyle w:val="StyleUnderline"/>
        </w:rPr>
        <w:t xml:space="preserve">the </w:t>
      </w:r>
      <w:r w:rsidRPr="00051B53">
        <w:rPr>
          <w:rStyle w:val="StyleUnderline"/>
          <w:highlight w:val="green"/>
        </w:rPr>
        <w:t xml:space="preserve">Starlink </w:t>
      </w:r>
      <w:r w:rsidRPr="00051B53">
        <w:rPr>
          <w:rStyle w:val="StyleUnderline"/>
        </w:rPr>
        <w:t xml:space="preserve">commercial satellite system globally — improving transport diversity options for commanders and pushing data across the Army network at a faster rate. The Starlink system, operated by SpaceX, consists of </w:t>
      </w:r>
      <w:r w:rsidRPr="00051B53">
        <w:rPr>
          <w:rStyle w:val="StyleUnderline"/>
          <w:highlight w:val="green"/>
        </w:rPr>
        <w:t>l</w:t>
      </w:r>
      <w:r w:rsidRPr="00051B53">
        <w:rPr>
          <w:rStyle w:val="StyleUnderline"/>
        </w:rPr>
        <w:t xml:space="preserve">ow </w:t>
      </w:r>
      <w:r w:rsidRPr="00051B53">
        <w:rPr>
          <w:rStyle w:val="StyleUnderline"/>
          <w:highlight w:val="green"/>
        </w:rPr>
        <w:t>e</w:t>
      </w:r>
      <w:r w:rsidRPr="00051B53">
        <w:rPr>
          <w:rStyle w:val="StyleUnderline"/>
        </w:rPr>
        <w:t xml:space="preserve">arth </w:t>
      </w:r>
      <w:r w:rsidRPr="00051B53">
        <w:rPr>
          <w:rStyle w:val="StyleUnderline"/>
          <w:highlight w:val="green"/>
        </w:rPr>
        <w:t>o</w:t>
      </w:r>
      <w:r w:rsidRPr="00051B53">
        <w:rPr>
          <w:rStyle w:val="StyleUnderline"/>
        </w:rPr>
        <w:t xml:space="preserve">rbiting </w:t>
      </w:r>
      <w:r w:rsidRPr="00051B53">
        <w:rPr>
          <w:rStyle w:val="StyleUnderline"/>
          <w:highlight w:val="green"/>
        </w:rPr>
        <w:t xml:space="preserve">satellites </w:t>
      </w:r>
      <w:r w:rsidRPr="00051B53">
        <w:rPr>
          <w:rStyle w:val="StyleUnderline"/>
        </w:rPr>
        <w:t xml:space="preserve">which </w:t>
      </w:r>
      <w:r w:rsidRPr="00051B53">
        <w:rPr>
          <w:rStyle w:val="StyleUnderline"/>
          <w:highlight w:val="green"/>
        </w:rPr>
        <w:t xml:space="preserve">provide high-speed, low-latency broadband </w:t>
      </w:r>
      <w:r w:rsidRPr="00051B53">
        <w:rPr>
          <w:rStyle w:val="StyleUnderline"/>
        </w:rPr>
        <w:t xml:space="preserve">internet across the globe. </w:t>
      </w:r>
      <w:r w:rsidRPr="00051B53">
        <w:rPr>
          <w:rStyle w:val="StyleUnderline"/>
          <w:highlight w:val="green"/>
        </w:rPr>
        <w:t>The terminal is small and lightweight</w:t>
      </w:r>
      <w:r w:rsidRPr="00051B53">
        <w:rPr>
          <w:rStyle w:val="StyleUnderline"/>
        </w:rPr>
        <w:t>, featuring a .6-meter phased array antenna and weighing only 15 pounds</w:t>
      </w:r>
      <w:r w:rsidRPr="00615C43">
        <w:rPr>
          <w:sz w:val="12"/>
        </w:rPr>
        <w:t>. “The benefit of this system is the amount of time it takes for the signal to go up into space and come back down; it saves us a lot of time on latency,” said Chief Warrant Officer 3 Kyle Neese, the senior battalion network technician for the 50th ESB-E. “The old military satellite communication system uses what's called geosynchronous [satellites], which orbit around the equator at a steady pace, but it takes a little over half a second for the signal to travel up and back down. With Starlink, it comes back at more than twice the speed.” The 35th CSB aims to use the Starlink system to achieve faster broadband and increase internet speed capabilities in order to support XVIII Airborne Corps’ warfighters and their mission command systems. “</w:t>
      </w:r>
      <w:r w:rsidRPr="00693E0A">
        <w:rPr>
          <w:rStyle w:val="StyleUnderline"/>
        </w:rPr>
        <w:t xml:space="preserve">The Starlink terminal is being used to provide tactical network speeds of up to 70 megabits per second with approximately a third of the normal latency over military SATCOM” said Neese. “Testing is still being conducted to increase these speeds further in support of troops on ground.” </w:t>
      </w:r>
      <w:r w:rsidRPr="00693E0A">
        <w:rPr>
          <w:rStyle w:val="StyleUnderline"/>
          <w:highlight w:val="green"/>
        </w:rPr>
        <w:t xml:space="preserve">SpaceX is also piloting the creation of a miniature mobile </w:t>
      </w:r>
      <w:r w:rsidRPr="00693E0A">
        <w:rPr>
          <w:rStyle w:val="StyleUnderline"/>
        </w:rPr>
        <w:t xml:space="preserve">satellite </w:t>
      </w:r>
      <w:r w:rsidRPr="00693E0A">
        <w:rPr>
          <w:rStyle w:val="StyleUnderline"/>
          <w:highlight w:val="green"/>
        </w:rPr>
        <w:t xml:space="preserve">antenna to make the </w:t>
      </w:r>
      <w:r w:rsidRPr="00693E0A">
        <w:rPr>
          <w:rStyle w:val="StyleUnderline"/>
        </w:rPr>
        <w:t xml:space="preserve">Starlink </w:t>
      </w:r>
      <w:r w:rsidRPr="00693E0A">
        <w:rPr>
          <w:rStyle w:val="StyleUnderline"/>
          <w:highlight w:val="green"/>
        </w:rPr>
        <w:t>system more portable</w:t>
      </w:r>
      <w:r w:rsidRPr="00615C43">
        <w:rPr>
          <w:sz w:val="12"/>
        </w:rPr>
        <w:t xml:space="preserve">. “So far, we’ve tested version one which comes with a dish, a power injector, and a router. The simplest way to hook the Starlink up to our kit is to take an ethernet cable and plug it into our router, which connects to our cradle point router and the cradle point router connects to our other systems as normal,” said Warrant Officer Corey McClure, a network technician for the 50th ESB-E. “This is the first of its kind to come on the market, and so far, it’s been great. It’s going to allow us to be a lot more flexible in terms of where we can set up and what we can do.” Work is ongoing to assist with compatibility of the Starlink system with some of the current SATCOM equipment that </w:t>
      </w:r>
      <w:r w:rsidRPr="00581EA0">
        <w:rPr>
          <w:rStyle w:val="StyleUnderline"/>
          <w:highlight w:val="green"/>
        </w:rPr>
        <w:t>the Army</w:t>
      </w:r>
      <w:r w:rsidRPr="00615C43">
        <w:rPr>
          <w:sz w:val="12"/>
        </w:rPr>
        <w:t xml:space="preserve"> has in use. “Starlink data rates exceed some of our current capabilities,” said Lt. Col. Mallory Wampler, the commander of the 50th ESB-E. “I know they're still doing some engineering and design modifications to make the equipment more ruggedized like our 1.2 meter Hawkeye terminal, T2C2 and our Phoenix E systems.” </w:t>
      </w:r>
      <w:r w:rsidRPr="00581EA0">
        <w:rPr>
          <w:rStyle w:val="StyleUnderline"/>
        </w:rPr>
        <w:t xml:space="preserve">Wampler said she </w:t>
      </w:r>
      <w:r w:rsidRPr="00581EA0">
        <w:rPr>
          <w:rStyle w:val="StyleUnderline"/>
          <w:highlight w:val="green"/>
        </w:rPr>
        <w:t>hopes to continue leveraging commercial off-the-shelf equipment</w:t>
      </w:r>
      <w:r w:rsidRPr="00581EA0">
        <w:rPr>
          <w:rStyle w:val="StyleUnderline"/>
        </w:rPr>
        <w:t xml:space="preserve"> to keep pace with technology improvements. “</w:t>
      </w:r>
      <w:r w:rsidRPr="00615C43">
        <w:rPr>
          <w:rStyle w:val="Emphasis"/>
          <w:highlight w:val="green"/>
        </w:rPr>
        <w:t>We are always looking</w:t>
      </w:r>
      <w:r w:rsidRPr="00581EA0">
        <w:rPr>
          <w:rStyle w:val="StyleUnderline"/>
        </w:rPr>
        <w:t xml:space="preserve"> to provide the most redundant Primary, Alternate, Contingency and Emergency plan or PACE plan as possible to support the warfighter and all mission command systems.” From the initial implementation of this new equipment, the 50th ESB-E, 35th CSB has been at the spearhead of testing the Starlink system to meet the modern-day demand of signal equipment</w:t>
      </w:r>
      <w:r w:rsidRPr="00615C43">
        <w:rPr>
          <w:sz w:val="12"/>
        </w:rPr>
        <w:t>. “We had the opportunity to work with the joint staff during the Bold Quest exercise last summer,” Wampler said. “We learned it brings a significant capability to the formation, which is good to align with our scalability. The bandwidth throughput is the most crucial factor with this new equipment, and I think it directly aligns with the 18th Airborne Corps’ line of effort when it comes to innovation and modernization. This is the future, and I’m excited to see where this equipment can take us.” As part of XIII Airborne Corps’ Dragon Innovation Program, the 35th CSB is informing senior leaders on innovative ways to increase mission readiness in Corps Signal Brigades as part of the Army’s modernization efforts.</w:t>
      </w:r>
    </w:p>
    <w:p w14:paraId="5BE6B794" w14:textId="1B253E7A" w:rsidR="00F15042" w:rsidRDefault="00BE6BA8" w:rsidP="00BE6BA8">
      <w:pPr>
        <w:pStyle w:val="Heading4"/>
      </w:pPr>
      <w:r w:rsidRPr="00B2185E">
        <w:rPr>
          <w:b w:val="0"/>
          <w:bCs/>
          <w:sz w:val="12"/>
          <w:szCs w:val="12"/>
        </w:rPr>
        <w:t>[Mecklin 3]</w:t>
      </w:r>
      <w:r>
        <w:t xml:space="preserve"> </w:t>
      </w:r>
      <w:r w:rsidR="00F15042">
        <w:t xml:space="preserve">C] </w:t>
      </w:r>
      <w:r w:rsidR="00596E63">
        <w:t>Commercial satellites spark conflicts due to existing tensions between states</w:t>
      </w:r>
    </w:p>
    <w:p w14:paraId="6A55385E" w14:textId="39C44670" w:rsidR="00B2185E" w:rsidRPr="00B2185E" w:rsidRDefault="00B2185E" w:rsidP="00B2185E">
      <w:pPr>
        <w:rPr>
          <w:rStyle w:val="Style13ptBold"/>
        </w:rPr>
      </w:pPr>
      <w:r>
        <w:rPr>
          <w:rStyle w:val="Style13ptBold"/>
        </w:rPr>
        <w:t xml:space="preserve">Mecklin </w:t>
      </w:r>
      <w:r w:rsidR="00AE2312">
        <w:rPr>
          <w:rStyle w:val="Style13ptBold"/>
        </w:rPr>
        <w:t>22</w:t>
      </w:r>
    </w:p>
    <w:p w14:paraId="4F3208A9" w14:textId="77777777" w:rsidR="00BE6BA8" w:rsidRPr="00AA037F" w:rsidRDefault="00BE6BA8" w:rsidP="00BE6BA8">
      <w:r w:rsidRPr="00AA037F">
        <w:t>John Mecklin</w:t>
      </w:r>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9" w:history="1">
        <w:r w:rsidRPr="00AA037F">
          <w:rPr>
            <w:rStyle w:val="Hyperlink"/>
          </w:rPr>
          <w:t>https://doi.org/10.1080/00963402.2021.2020988</w:t>
        </w:r>
      </w:hyperlink>
      <w:r>
        <w:t xml:space="preserve"> </w:t>
      </w:r>
      <w:hyperlink r:id="rId30"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w:t>
      </w:r>
      <w:r w:rsidRPr="00F15042">
        <w:rPr>
          <w:rStyle w:val="StyleUnderline"/>
        </w:rPr>
        <w:t xml:space="preserve">of an earlier era </w:t>
      </w:r>
      <w:r w:rsidRPr="006E07D8">
        <w:rPr>
          <w:rStyle w:val="StyleUnderline"/>
          <w:highlight w:val="green"/>
        </w:rPr>
        <w:t xml:space="preserve">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Latiff, a retired US Air Force major general and Bulletin Science and Security Board member, about the worsening international security situation as countries jockey for both advantage in space. Latiff, who has served on the staffs of US Air Force Headquarters and the Secretary of the Air Force, summed that situation up in this way: “I guess the point is that there’s a lot of aggressive, sort of threatening language that’s out there. So it’s a lot more, seems to be anyway, a lot more dangerous.” In their article, “Cis-lunar space and the security dilemma,” </w:t>
      </w:r>
      <w:r w:rsidRPr="006E07D8">
        <w:rPr>
          <w:rStyle w:val="StyleUnderline"/>
        </w:rPr>
        <w:t xml:space="preserve">University of British Columbia space law experts Michael Byers and Aaron Boley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Sokolski,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Starlink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693E0A">
        <w:rPr>
          <w:rStyle w:val="StyleUnderline"/>
        </w:rPr>
        <w:t xml:space="preserve">may </w:t>
      </w:r>
      <w:r w:rsidRPr="00C03C43">
        <w:rPr>
          <w:rStyle w:val="StyleUnderline"/>
          <w:highlight w:val="green"/>
        </w:rPr>
        <w:t>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cooperative commons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Latiff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63BA30B2" w14:textId="197D7B6F" w:rsidR="00C86F63" w:rsidRDefault="00862A12" w:rsidP="00C86F63">
      <w:pPr>
        <w:pStyle w:val="Heading4"/>
      </w:pPr>
      <w:r w:rsidRPr="00862A12">
        <w:rPr>
          <w:b w:val="0"/>
          <w:bCs/>
          <w:sz w:val="8"/>
          <w:szCs w:val="8"/>
        </w:rPr>
        <w:t xml:space="preserve">[Johson-Freese 17] </w:t>
      </w:r>
      <w:r w:rsidR="00F15042">
        <w:t>Space conflicts go</w:t>
      </w:r>
      <w:r w:rsidR="00C86F63">
        <w:t xml:space="preserve"> nuclear</w:t>
      </w:r>
      <w:r w:rsidR="00DE21DD">
        <w:t xml:space="preserve"> – best models</w:t>
      </w:r>
      <w:r w:rsidR="00F15042">
        <w:t xml:space="preserve"> prove</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Joan Johnson-Freese is a Professor and former Chair of National Security Affairs at the US Naval War College, Newport, Rhode Island, and author of several books. Pg 18-19  SPACE WARFARE IN THE 21ST CENTURY https://www.routledge.com/Space-Warfare-in-the-21st-Century-Arming-the-Heavens/Johnson-Freese/p/book/9781138693883 //avery</w:t>
      </w:r>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Hyten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So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31">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over populated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6311F116" w:rsidR="00EA57AF" w:rsidRDefault="00EA57AF" w:rsidP="00EA57AF">
      <w:pPr>
        <w:pStyle w:val="Heading4"/>
      </w:pPr>
      <w:r>
        <w:t xml:space="preserve">Plan: </w:t>
      </w:r>
      <w:r w:rsidR="00924CB5">
        <w:t xml:space="preserve">The UN ought to be entrusted with the </w:t>
      </w:r>
      <w:r w:rsidR="00924CB5" w:rsidRPr="009B77C0">
        <w:rPr>
          <w:u w:val="single"/>
        </w:rPr>
        <w:t>sole authority to lease orbital slots</w:t>
      </w:r>
      <w:r w:rsidR="00924CB5">
        <w:t xml:space="preserve"> for mega-constellations of satellites.</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296528A8" w14:textId="4A0436E4" w:rsidR="007C56F8" w:rsidRPr="00BC127C" w:rsidRDefault="007C56F8" w:rsidP="007C56F8">
      <w:pPr>
        <w:rPr>
          <w:sz w:val="12"/>
          <w:szCs w:val="12"/>
        </w:rPr>
      </w:pPr>
      <w:r w:rsidRPr="007C56F8">
        <w:rPr>
          <w:sz w:val="12"/>
          <w:szCs w:val="12"/>
        </w:rPr>
        <w:t>The Legal Status of MegaLEO Constellations and Concerns About Appropriation of Large Swaths of Earth Orbit Christopher D. Johnson J. Pelton (ed.), Handbook of Small Satellites, https://doi.org/10.1007/978-3-030-20707-6_95-1</w:t>
      </w:r>
      <w:r w:rsidRPr="007C56F8">
        <w:rPr>
          <w:sz w:val="12"/>
          <w:szCs w:val="12"/>
        </w:rPr>
        <w:cr/>
        <w:t>https://swfound.org/media/206951/johnson2020_referenceworkentry_thelegalstatusofmegaleoconstel.pdf -CAT</w:t>
      </w:r>
    </w:p>
    <w:p w14:paraId="477E3B3C" w14:textId="73E54FF7" w:rsidR="007C56F8" w:rsidRDefault="007C56F8" w:rsidP="007C56F8">
      <w:pPr>
        <w:rPr>
          <w:sz w:val="8"/>
        </w:rPr>
      </w:pPr>
      <w:r w:rsidRPr="00F36491">
        <w:rPr>
          <w:rStyle w:val="StyleUnderline"/>
        </w:rPr>
        <w:t>Yes, This Is Impermissible Appropriation</w:t>
      </w:r>
      <w:r w:rsidR="00F36491" w:rsidRPr="00F36491">
        <w:rPr>
          <w:rStyle w:val="StyleUnderline"/>
        </w:rPr>
        <w:t xml:space="preserve"> </w:t>
      </w:r>
      <w:r w:rsidRPr="00F36491">
        <w:rPr>
          <w:rStyle w:val="StyleUnderline"/>
        </w:rPr>
        <w:t>Article II of the Outer Space Treaty, discussed above, is clear on the point that the</w:t>
      </w:r>
      <w:r w:rsidR="00F36491" w:rsidRPr="00F36491">
        <w:rPr>
          <w:rStyle w:val="StyleUnderline"/>
        </w:rPr>
        <w:t xml:space="preserve"> </w:t>
      </w:r>
      <w:r w:rsidRPr="00F36491">
        <w:rPr>
          <w:rStyle w:val="StyleUnderline"/>
        </w:rPr>
        <w:t>appropriation of outer space, including the appropriation of either void space or of</w:t>
      </w:r>
      <w:r w:rsidR="00F36491" w:rsidRPr="00F36491">
        <w:rPr>
          <w:rStyle w:val="StyleUnderline"/>
        </w:rPr>
        <w:t xml:space="preserve"> </w:t>
      </w:r>
      <w:r w:rsidRPr="00F36491">
        <w:rPr>
          <w:rStyle w:val="StyleUnderline"/>
        </w:rPr>
        <w:t>celestial bodies, is an impermissible and prohibited action under international law.</w:t>
      </w:r>
      <w:r w:rsidR="00F36491" w:rsidRPr="00F36491">
        <w:rPr>
          <w:rStyle w:val="StyleUnderline"/>
        </w:rPr>
        <w:t xml:space="preserve"> </w:t>
      </w:r>
      <w:r w:rsidRPr="00F36491">
        <w:rPr>
          <w:rStyle w:val="StyleUnderline"/>
        </w:rPr>
        <w:t>No means or methods of possession of outer space will legitimize the appropriation</w:t>
      </w:r>
      <w:r w:rsidR="00F36491" w:rsidRPr="00F36491">
        <w:rPr>
          <w:rStyle w:val="StyleUnderline"/>
        </w:rPr>
        <w:t xml:space="preserve"> </w:t>
      </w:r>
      <w:r w:rsidRPr="00F36491">
        <w:rPr>
          <w:rStyle w:val="StyleUnderline"/>
        </w:rPr>
        <w:t>or ownership of outer space, or subsections thereof</w:t>
      </w:r>
      <w:r w:rsidRPr="00BC127C">
        <w:rPr>
          <w:sz w:val="8"/>
        </w:rPr>
        <w:t>.</w:t>
      </w:r>
      <w:r w:rsidR="00F36491" w:rsidRPr="00BC127C">
        <w:rPr>
          <w:sz w:val="8"/>
        </w:rPr>
        <w:t xml:space="preserve"> </w:t>
      </w:r>
      <w:r w:rsidRPr="00F36491">
        <w:rPr>
          <w:rStyle w:val="StyleUnderline"/>
        </w:rPr>
        <w:t>Excludes Others</w:t>
      </w:r>
      <w:r w:rsidR="00F36491" w:rsidRPr="00F36491">
        <w:rPr>
          <w:rStyle w:val="StyleUnderline"/>
        </w:rPr>
        <w:t xml:space="preserve"> </w:t>
      </w:r>
      <w:r w:rsidRPr="00F36491">
        <w:rPr>
          <w:rStyle w:val="StyleUnderline"/>
        </w:rPr>
        <w:t xml:space="preserve">The constellations above, because they seem to so overwhelmingly possess particular orbits through </w:t>
      </w:r>
      <w:r w:rsidRPr="00F36491">
        <w:rPr>
          <w:rStyle w:val="StyleUnderline"/>
          <w:highlight w:val="green"/>
        </w:rPr>
        <w:t>the use of multiple satellites to occupy orbital planes</w:t>
      </w:r>
      <w:r w:rsidRPr="00F36491">
        <w:rPr>
          <w:rStyle w:val="StyleUnderline"/>
        </w:rPr>
        <w:t>, and in a</w:t>
      </w:r>
      <w:r w:rsidR="00F36491" w:rsidRPr="00F36491">
        <w:rPr>
          <w:rStyle w:val="StyleUnderline"/>
        </w:rPr>
        <w:t xml:space="preserve"> </w:t>
      </w:r>
      <w:r w:rsidRPr="00F36491">
        <w:rPr>
          <w:rStyle w:val="StyleUnderline"/>
        </w:rPr>
        <w:t xml:space="preserve">manner that precludes other actors from using those exact planes, </w:t>
      </w:r>
      <w:r w:rsidRPr="00F36491">
        <w:rPr>
          <w:rStyle w:val="StyleUnderline"/>
          <w:highlight w:val="green"/>
        </w:rPr>
        <w:t>constitute an</w:t>
      </w:r>
      <w:r w:rsidR="00F36491" w:rsidRPr="00F36491">
        <w:rPr>
          <w:rStyle w:val="StyleUnderline"/>
          <w:highlight w:val="green"/>
        </w:rPr>
        <w:t xml:space="preserve"> </w:t>
      </w:r>
      <w:r w:rsidRPr="00F36491">
        <w:rPr>
          <w:rStyle w:val="StyleUnderline"/>
          <w:highlight w:val="green"/>
        </w:rPr>
        <w:t>appropriation</w:t>
      </w:r>
      <w:r w:rsidRPr="00F36491">
        <w:rPr>
          <w:rStyle w:val="StyleUnderline"/>
        </w:rPr>
        <w:t xml:space="preserve"> of those orbits</w:t>
      </w:r>
      <w:r w:rsidRPr="00BC127C">
        <w:rPr>
          <w:sz w:val="8"/>
        </w:rPr>
        <w:t>. While the access to outer space is nonrivalrous – in</w:t>
      </w:r>
      <w:r w:rsidR="00F36491" w:rsidRPr="00BC127C">
        <w:rPr>
          <w:sz w:val="8"/>
        </w:rPr>
        <w:t xml:space="preserve"> </w:t>
      </w:r>
      <w:r w:rsidRPr="00BC127C">
        <w:rPr>
          <w:sz w:val="8"/>
        </w:rPr>
        <w:t>the sense that anyone with the technological capacity to launch space objects can</w:t>
      </w:r>
      <w:r w:rsidR="00F36491" w:rsidRPr="00BC127C">
        <w:rPr>
          <w:sz w:val="8"/>
        </w:rPr>
        <w:t xml:space="preserve"> </w:t>
      </w:r>
      <w:r w:rsidRPr="00BC127C">
        <w:rPr>
          <w:sz w:val="8"/>
        </w:rPr>
        <w:t>therefore explore space – it is also true that orbits closer to Earth are unique, and</w:t>
      </w:r>
      <w:r w:rsidR="00F36491" w:rsidRPr="00BC127C">
        <w:rPr>
          <w:sz w:val="8"/>
        </w:rPr>
        <w:t xml:space="preserve"> </w:t>
      </w:r>
      <w:r w:rsidRPr="00BC127C">
        <w:rPr>
          <w:sz w:val="8"/>
        </w:rPr>
        <w:t>when any actor utilizes that orbit to such an extent to these proposed constellations</w:t>
      </w:r>
      <w:r w:rsidR="00F36491" w:rsidRPr="00BC127C">
        <w:rPr>
          <w:sz w:val="8"/>
        </w:rPr>
        <w:t xml:space="preserve"> </w:t>
      </w:r>
      <w:r w:rsidRPr="00BC127C">
        <w:rPr>
          <w:sz w:val="8"/>
        </w:rPr>
        <w:t>will, it means that other actors simply cannot go there.</w:t>
      </w:r>
      <w:r w:rsidR="00F36491" w:rsidRPr="00BC127C">
        <w:rPr>
          <w:sz w:val="8"/>
        </w:rPr>
        <w:t xml:space="preserve"> </w:t>
      </w:r>
      <w:r w:rsidRPr="00BC127C">
        <w:rPr>
          <w:sz w:val="8"/>
        </w:rPr>
        <w:t>The Legal Status of MegaLEO Constellations and Concerns About Appropriation... 15</w:t>
      </w:r>
      <w:r w:rsidR="00F36491" w:rsidRPr="00BC127C">
        <w:rPr>
          <w:sz w:val="8"/>
        </w:rPr>
        <w:t xml:space="preserve"> </w:t>
      </w:r>
      <w:r w:rsidRPr="00941822">
        <w:rPr>
          <w:rStyle w:val="StyleUnderline"/>
          <w:highlight w:val="green"/>
        </w:rPr>
        <w:t>To allow SpaceX</w:t>
      </w:r>
      <w:r w:rsidRPr="00F36491">
        <w:rPr>
          <w:rStyle w:val="StyleUnderline"/>
        </w:rPr>
        <w:t xml:space="preserve">, for example, </w:t>
      </w:r>
      <w:r w:rsidRPr="00941822">
        <w:rPr>
          <w:rStyle w:val="StyleUnderline"/>
          <w:highlight w:val="green"/>
        </w:rPr>
        <w:t>to</w:t>
      </w:r>
      <w:r w:rsidRPr="00F36491">
        <w:rPr>
          <w:rStyle w:val="StyleUnderline"/>
        </w:rPr>
        <w:t xml:space="preserve"> so overwhelmingly </w:t>
      </w:r>
      <w:r w:rsidRPr="00941822">
        <w:rPr>
          <w:rStyle w:val="StyleUnderline"/>
          <w:highlight w:val="green"/>
        </w:rPr>
        <w:t>occupy</w:t>
      </w:r>
      <w:r w:rsidRPr="00F36491">
        <w:rPr>
          <w:rStyle w:val="StyleUnderline"/>
        </w:rPr>
        <w:t xml:space="preserve"> a number of</w:t>
      </w:r>
      <w:r w:rsidR="00F36491" w:rsidRPr="00F36491">
        <w:rPr>
          <w:rStyle w:val="StyleUnderline"/>
        </w:rPr>
        <w:t xml:space="preserve"> </w:t>
      </w:r>
      <w:r w:rsidRPr="00941822">
        <w:rPr>
          <w:rStyle w:val="StyleUnderline"/>
          <w:highlight w:val="green"/>
        </w:rPr>
        <w:t>altitudes</w:t>
      </w:r>
      <w:r w:rsidRPr="00F36491">
        <w:rPr>
          <w:rStyle w:val="StyleUnderline"/>
        </w:rPr>
        <w:t xml:space="preserve"> with so many of their spacecraft, essentially </w:t>
      </w:r>
      <w:r w:rsidRPr="00941822">
        <w:rPr>
          <w:rStyle w:val="StyleUnderline"/>
          <w:highlight w:val="green"/>
        </w:rPr>
        <w:t>means that SpaceX will</w:t>
      </w:r>
      <w:r w:rsidR="00F36491" w:rsidRPr="00F36491">
        <w:rPr>
          <w:rStyle w:val="StyleUnderline"/>
        </w:rPr>
        <w:t xml:space="preserve"> </w:t>
      </w:r>
      <w:r w:rsidRPr="00F36491">
        <w:rPr>
          <w:rStyle w:val="StyleUnderline"/>
        </w:rPr>
        <w:t xml:space="preserve">henceforth </w:t>
      </w:r>
      <w:r w:rsidRPr="00941822">
        <w:rPr>
          <w:rStyle w:val="StyleUnderline"/>
          <w:highlight w:val="green"/>
        </w:rPr>
        <w:t>be the sole owner</w:t>
      </w:r>
      <w:r w:rsidRPr="00F36491">
        <w:rPr>
          <w:rStyle w:val="StyleUnderline"/>
        </w:rPr>
        <w:t xml:space="preserve"> and user </w:t>
      </w:r>
      <w:r w:rsidRPr="00941822">
        <w:rPr>
          <w:rStyle w:val="StyleUnderline"/>
          <w:highlight w:val="green"/>
        </w:rPr>
        <w:t>of that orbit</w:t>
      </w:r>
      <w:r w:rsidRPr="00F36491">
        <w:rPr>
          <w:rStyle w:val="StyleUnderline"/>
        </w:rPr>
        <w:t xml:space="preserve"> (at least until their satellites are</w:t>
      </w:r>
      <w:r w:rsidR="00F36491" w:rsidRPr="00F36491">
        <w:rPr>
          <w:rStyle w:val="StyleUnderline"/>
        </w:rPr>
        <w:t xml:space="preserve"> </w:t>
      </w:r>
      <w:r w:rsidRPr="00F36491">
        <w:rPr>
          <w:rStyle w:val="StyleUnderline"/>
        </w:rPr>
        <w:t>removed). No other actors can realistically expect to operate there until that time. No</w:t>
      </w:r>
      <w:r w:rsidR="00F36491" w:rsidRPr="00F36491">
        <w:rPr>
          <w:rStyle w:val="StyleUnderline"/>
        </w:rPr>
        <w:t xml:space="preserve"> </w:t>
      </w:r>
      <w:r w:rsidRPr="00F36491">
        <w:rPr>
          <w:rStyle w:val="StyleUnderline"/>
        </w:rPr>
        <w:t>other operator would dare run the risk of possible collision with so many other</w:t>
      </w:r>
      <w:r w:rsidR="00F36491" w:rsidRPr="00F36491">
        <w:rPr>
          <w:rStyle w:val="StyleUnderline"/>
        </w:rPr>
        <w:t xml:space="preserve"> </w:t>
      </w:r>
      <w:r w:rsidRPr="00F36491">
        <w:rPr>
          <w:rStyle w:val="StyleUnderline"/>
        </w:rPr>
        <w:t>spacecraft in that orbit. Consequently, the sole occupant will be SpaceX, and if</w:t>
      </w:r>
      <w:r w:rsidR="00F36491" w:rsidRPr="00F36491">
        <w:rPr>
          <w:rStyle w:val="StyleUnderline"/>
        </w:rPr>
        <w:t xml:space="preserve"> </w:t>
      </w:r>
      <w:r w:rsidRPr="00F36491">
        <w:rPr>
          <w:rStyle w:val="StyleUnderline"/>
        </w:rPr>
        <w:t>“possession is 9/10th of the law,” then SpaceX appears to be the owner of that orbit</w:t>
      </w:r>
      <w:r w:rsidRPr="00BC127C">
        <w:rPr>
          <w:sz w:val="8"/>
        </w:rPr>
        <w:t>.</w:t>
      </w:r>
      <w:r w:rsidR="00F36491" w:rsidRPr="00BC127C">
        <w:rPr>
          <w:sz w:val="8"/>
        </w:rPr>
        <w:t xml:space="preserve"> </w:t>
      </w:r>
      <w:r w:rsidRPr="00BC127C">
        <w:rPr>
          <w:sz w:val="8"/>
        </w:rPr>
        <w:t>Done Without Coordination</w:t>
      </w:r>
      <w:r w:rsidR="00F36491" w:rsidRPr="00BC127C">
        <w:rPr>
          <w:sz w:val="8"/>
        </w:rPr>
        <w:t xml:space="preserve"> </w:t>
      </w:r>
      <w:r w:rsidRPr="00BC127C">
        <w:rPr>
          <w:sz w:val="8"/>
        </w:rPr>
        <w:t>Additionally, SpaceX and other operators of megaconstellations are doing so without</w:t>
      </w:r>
      <w:r w:rsidR="00F36491" w:rsidRPr="00BC127C">
        <w:rPr>
          <w:sz w:val="8"/>
        </w:rPr>
        <w:t xml:space="preserve"> </w:t>
      </w:r>
      <w:r w:rsidRPr="00BC127C">
        <w:rPr>
          <w:sz w:val="8"/>
        </w:rPr>
        <w:t>any real international conversation or agreement, which is especially egregious and</w:t>
      </w:r>
      <w:r w:rsidR="00F36491" w:rsidRPr="00BC127C">
        <w:rPr>
          <w:sz w:val="8"/>
        </w:rPr>
        <w:t xml:space="preserve"> </w:t>
      </w:r>
      <w:r w:rsidRPr="00BC127C">
        <w:rPr>
          <w:sz w:val="8"/>
        </w:rPr>
        <w:t xml:space="preserve">transgressive of the norms of outer space. </w:t>
      </w:r>
      <w:r w:rsidRPr="00941822">
        <w:rPr>
          <w:rStyle w:val="StyleUnderline"/>
        </w:rPr>
        <w:t>Compared to the regime for GSO, as</w:t>
      </w:r>
      <w:r w:rsidR="00F36491" w:rsidRPr="00941822">
        <w:rPr>
          <w:rStyle w:val="StyleUnderline"/>
        </w:rPr>
        <w:t xml:space="preserve"> </w:t>
      </w:r>
      <w:r w:rsidRPr="00941822">
        <w:rPr>
          <w:rStyle w:val="StyleUnderline"/>
        </w:rPr>
        <w:t>administered by the ITU and national frequency administrators, Low Earth Orbit is</w:t>
      </w:r>
      <w:r w:rsidR="00F36491" w:rsidRPr="00941822">
        <w:rPr>
          <w:rStyle w:val="StyleUnderline"/>
        </w:rPr>
        <w:t xml:space="preserve"> </w:t>
      </w:r>
      <w:r w:rsidRPr="00941822">
        <w:rPr>
          <w:rStyle w:val="StyleUnderline"/>
        </w:rPr>
        <w:t xml:space="preserve">essentially ungoverned, and </w:t>
      </w:r>
      <w:r w:rsidRPr="00941822">
        <w:rPr>
          <w:rStyle w:val="StyleUnderline"/>
          <w:highlight w:val="green"/>
        </w:rPr>
        <w:t>SpaceX</w:t>
      </w:r>
      <w:r w:rsidRPr="00941822">
        <w:rPr>
          <w:rStyle w:val="StyleUnderline"/>
        </w:rPr>
        <w:t xml:space="preserve"> and others are attempting to seize this lack of</w:t>
      </w:r>
      <w:r w:rsidR="00F36491" w:rsidRPr="00941822">
        <w:rPr>
          <w:rStyle w:val="StyleUnderline"/>
        </w:rPr>
        <w:t xml:space="preserve"> </w:t>
      </w:r>
      <w:r w:rsidRPr="00941822">
        <w:rPr>
          <w:rStyle w:val="StyleUnderline"/>
        </w:rPr>
        <w:t>authority to claim entire portions of LEO for itself; and before any international</w:t>
      </w:r>
      <w:r w:rsidR="00F36491" w:rsidRPr="00941822">
        <w:rPr>
          <w:rStyle w:val="StyleUnderline"/>
        </w:rPr>
        <w:t xml:space="preserve"> </w:t>
      </w:r>
      <w:r w:rsidRPr="00941822">
        <w:rPr>
          <w:rStyle w:val="StyleUnderline"/>
        </w:rPr>
        <w:t xml:space="preserve">agreement, consensus, or even discussion is had. They are </w:t>
      </w:r>
      <w:r w:rsidRPr="00941822">
        <w:rPr>
          <w:rStyle w:val="StyleUnderline"/>
          <w:highlight w:val="green"/>
        </w:rPr>
        <w:t>operating on a</w:t>
      </w:r>
      <w:r w:rsidRPr="00941822">
        <w:rPr>
          <w:rStyle w:val="StyleUnderline"/>
        </w:rPr>
        <w:t xml:space="preserve"> purely</w:t>
      </w:r>
      <w:r w:rsidR="00F36491" w:rsidRPr="00941822">
        <w:rPr>
          <w:rStyle w:val="StyleUnderline"/>
        </w:rPr>
        <w:t xml:space="preserve"> </w:t>
      </w:r>
      <w:r w:rsidRPr="00941822">
        <w:rPr>
          <w:rStyle w:val="StyleUnderline"/>
          <w:highlight w:val="green"/>
        </w:rPr>
        <w:t>“first come, first served” basis</w:t>
      </w:r>
      <w:r w:rsidRPr="00941822">
        <w:rPr>
          <w:rStyle w:val="StyleUnderline"/>
        </w:rPr>
        <w:t xml:space="preserve"> that smacks of unilateralism, if not colonialism</w:t>
      </w:r>
      <w:r w:rsidRPr="00BC127C">
        <w:rPr>
          <w:sz w:val="8"/>
        </w:rPr>
        <w:t>.</w:t>
      </w:r>
      <w:r w:rsidR="00F36491" w:rsidRPr="00BC127C">
        <w:rPr>
          <w:sz w:val="8"/>
        </w:rPr>
        <w:t xml:space="preserve"> </w:t>
      </w:r>
      <w:r w:rsidRPr="00BC127C">
        <w:rPr>
          <w:sz w:val="8"/>
        </w:rPr>
        <w:t>Governments Are Ultimately Implicated</w:t>
      </w:r>
      <w:r w:rsidR="00F36491" w:rsidRPr="00BC127C">
        <w:rPr>
          <w:sz w:val="8"/>
        </w:rPr>
        <w:t xml:space="preserve"> </w:t>
      </w:r>
      <w:r w:rsidRPr="00BC127C">
        <w:rPr>
          <w:sz w:val="8"/>
        </w:rPr>
        <w:t>As we know, under international space law, what a nongovernmental entity does, a</w:t>
      </w:r>
      <w:r w:rsidR="00F36491" w:rsidRPr="00BC127C">
        <w:rPr>
          <w:sz w:val="8"/>
        </w:rPr>
        <w:t xml:space="preserve"> </w:t>
      </w:r>
      <w:r w:rsidRPr="00BC127C">
        <w:rPr>
          <w:sz w:val="8"/>
        </w:rPr>
        <w:t>State is responsible for. Article VI of the Outer Space Treaty requires that at least one</w:t>
      </w:r>
      <w:r w:rsidR="00F36491" w:rsidRPr="00BC127C">
        <w:rPr>
          <w:sz w:val="8"/>
        </w:rPr>
        <w:t xml:space="preserve"> </w:t>
      </w:r>
      <w:r w:rsidRPr="00BC127C">
        <w:rPr>
          <w:sz w:val="8"/>
        </w:rPr>
        <w:t>State authorize and supervise its nongovernmental entities and assure their continuing compliance with international law. As such, the prohibition on nonappropriation</w:t>
      </w:r>
      <w:r w:rsidR="00F36491" w:rsidRPr="00BC127C">
        <w:rPr>
          <w:sz w:val="8"/>
        </w:rPr>
        <w:t xml:space="preserve"> </w:t>
      </w:r>
      <w:r w:rsidRPr="00BC127C">
        <w:rPr>
          <w:sz w:val="8"/>
        </w:rPr>
        <w:t>imposed upon States under Article II of the Outer Space Treaty applies equally to</w:t>
      </w:r>
      <w:r w:rsidR="00F36491" w:rsidRPr="00BC127C">
        <w:rPr>
          <w:sz w:val="8"/>
        </w:rPr>
        <w:t xml:space="preserve"> </w:t>
      </w:r>
      <w:r w:rsidRPr="00BC127C">
        <w:rPr>
          <w:sz w:val="8"/>
        </w:rPr>
        <w:t>nongovernmental private entities such as SpaceX.</w:t>
      </w:r>
      <w:r w:rsidR="00F36491" w:rsidRPr="00BC127C">
        <w:rPr>
          <w:sz w:val="8"/>
        </w:rPr>
        <w:t xml:space="preserve"> </w:t>
      </w:r>
      <w:r w:rsidRPr="00BC127C">
        <w:rPr>
          <w:sz w:val="8"/>
        </w:rPr>
        <w:t>Nevertheless, through the launching and bringing into use of the Starlink constellation, SpaceX will be the sole occupant, and thereby, possessor, both fact and in</w:t>
      </w:r>
      <w:r w:rsidR="00F36491" w:rsidRPr="00BC127C">
        <w:rPr>
          <w:sz w:val="8"/>
        </w:rPr>
        <w:t xml:space="preserve"> </w:t>
      </w:r>
      <w:r w:rsidRPr="00BC127C">
        <w:rPr>
          <w:sz w:val="8"/>
        </w:rPr>
        <w:t>law, of 550 km, 1100 km, 1130 km, 1275 km, and 1325 km above our planet (or</w:t>
      </w:r>
      <w:r w:rsidR="00F36491" w:rsidRPr="00BC127C">
        <w:rPr>
          <w:sz w:val="8"/>
        </w:rPr>
        <w:t xml:space="preserve"> </w:t>
      </w:r>
      <w:r w:rsidRPr="00BC127C">
        <w:rPr>
          <w:sz w:val="8"/>
        </w:rPr>
        <w:t>whatever orbits they finally come to occupy). The same is true for the other operators</w:t>
      </w:r>
      <w:r w:rsidR="00F36491" w:rsidRPr="00BC127C">
        <w:rPr>
          <w:sz w:val="8"/>
        </w:rPr>
        <w:t xml:space="preserve"> </w:t>
      </w:r>
      <w:r w:rsidRPr="00BC127C">
        <w:rPr>
          <w:sz w:val="8"/>
        </w:rPr>
        <w:t>of these large constellations which will be solely occupying entire orbits.</w:t>
      </w:r>
      <w:r w:rsidR="00F36491" w:rsidRPr="00BC127C">
        <w:rPr>
          <w:sz w:val="8"/>
        </w:rPr>
        <w:t xml:space="preserve"> </w:t>
      </w:r>
      <w:r w:rsidRPr="00941822">
        <w:rPr>
          <w:rStyle w:val="StyleUnderline"/>
        </w:rPr>
        <w:t>Long-Term Occupation Constitutes Appropriation</w:t>
      </w:r>
      <w:r w:rsidR="00F36491" w:rsidRPr="00941822">
        <w:rPr>
          <w:rStyle w:val="StyleUnderline"/>
        </w:rPr>
        <w:t xml:space="preserve"> </w:t>
      </w:r>
      <w:r w:rsidRPr="00941822">
        <w:rPr>
          <w:rStyle w:val="StyleUnderline"/>
        </w:rPr>
        <w:t>These altitudes are additionally significant, as nonfunctional spacecraft in orbits</w:t>
      </w:r>
      <w:r w:rsidR="00F36491" w:rsidRPr="00941822">
        <w:rPr>
          <w:rStyle w:val="StyleUnderline"/>
        </w:rPr>
        <w:t xml:space="preserve"> </w:t>
      </w:r>
      <w:r w:rsidRPr="00941822">
        <w:rPr>
          <w:rStyle w:val="StyleUnderline"/>
        </w:rPr>
        <w:t>lower than around 500 km will re-enter the Earth’s atmosphere in months or a few</w:t>
      </w:r>
      <w:r w:rsidR="00F36491" w:rsidRPr="00941822">
        <w:rPr>
          <w:rStyle w:val="StyleUnderline"/>
        </w:rPr>
        <w:t xml:space="preserve"> </w:t>
      </w:r>
      <w:r w:rsidRPr="00941822">
        <w:rPr>
          <w:rStyle w:val="StyleUnderline"/>
        </w:rPr>
        <w:t xml:space="preserve">years, but the altitudes selected for the </w:t>
      </w:r>
      <w:r w:rsidRPr="00BC127C">
        <w:rPr>
          <w:rStyle w:val="StyleUnderline"/>
          <w:highlight w:val="green"/>
        </w:rPr>
        <w:t>Starlink</w:t>
      </w:r>
      <w:r w:rsidRPr="00941822">
        <w:rPr>
          <w:rStyle w:val="StyleUnderline"/>
        </w:rPr>
        <w:t xml:space="preserve"> constellation, while technologically</w:t>
      </w:r>
      <w:r w:rsidR="00F36491" w:rsidRPr="00941822">
        <w:rPr>
          <w:rStyle w:val="StyleUnderline"/>
        </w:rPr>
        <w:t xml:space="preserve"> </w:t>
      </w:r>
      <w:r w:rsidRPr="00941822">
        <w:rPr>
          <w:rStyle w:val="StyleUnderline"/>
        </w:rPr>
        <w:t>desirable for their purposes, also mean that any spacecraft which are not de-orbited</w:t>
      </w:r>
      <w:r w:rsidR="00F36491" w:rsidRPr="00941822">
        <w:rPr>
          <w:rStyle w:val="StyleUnderline"/>
        </w:rPr>
        <w:t xml:space="preserve"> </w:t>
      </w:r>
      <w:r w:rsidRPr="00941822">
        <w:rPr>
          <w:rStyle w:val="StyleUnderline"/>
        </w:rPr>
        <w:t xml:space="preserve">from these regions </w:t>
      </w:r>
      <w:r w:rsidRPr="00BC127C">
        <w:rPr>
          <w:rStyle w:val="StyleUnderline"/>
          <w:highlight w:val="green"/>
        </w:rPr>
        <w:t>may be there for</w:t>
      </w:r>
      <w:r w:rsidRPr="00941822">
        <w:rPr>
          <w:rStyle w:val="StyleUnderline"/>
        </w:rPr>
        <w:t xml:space="preserve"> decades, or possibly even </w:t>
      </w:r>
      <w:r w:rsidRPr="00BC127C">
        <w:rPr>
          <w:rStyle w:val="StyleUnderline"/>
          <w:highlight w:val="green"/>
        </w:rPr>
        <w:t>hundreds of years</w:t>
      </w:r>
      <w:r w:rsidRPr="00BC127C">
        <w:rPr>
          <w:sz w:val="8"/>
        </w:rPr>
        <w:t>. By</w:t>
      </w:r>
      <w:r w:rsidR="00F36491" w:rsidRPr="00BC127C">
        <w:rPr>
          <w:sz w:val="8"/>
        </w:rPr>
        <w:t xml:space="preserve"> </w:t>
      </w:r>
      <w:r w:rsidRPr="00BC127C">
        <w:rPr>
          <w:sz w:val="8"/>
        </w:rPr>
        <w:t>comparison, the granting of rights for orbital slots at GSO is in 15-year increments, a</w:t>
      </w:r>
      <w:r w:rsidR="00F36491" w:rsidRPr="00BC127C">
        <w:rPr>
          <w:sz w:val="8"/>
        </w:rPr>
        <w:t xml:space="preserve"> </w:t>
      </w:r>
      <w:r w:rsidRPr="00BC127C">
        <w:rPr>
          <w:sz w:val="8"/>
        </w:rPr>
        <w:t>length of time much less than what the altitudes of the megaconstellations threaten.</w:t>
      </w:r>
      <w:r w:rsidR="00F36491" w:rsidRPr="00BC127C">
        <w:rPr>
          <w:sz w:val="8"/>
        </w:rPr>
        <w:t xml:space="preserve"> </w:t>
      </w:r>
      <w:r w:rsidRPr="00BC127C">
        <w:rPr>
          <w:sz w:val="8"/>
        </w:rPr>
        <w:t>Such long spans of time at these altitudes by these megaconstellations further bolster</w:t>
      </w:r>
      <w:r w:rsidR="00F36491" w:rsidRPr="00BC127C">
        <w:rPr>
          <w:sz w:val="8"/>
        </w:rPr>
        <w:t xml:space="preserve"> </w:t>
      </w:r>
      <w:r w:rsidRPr="00BC127C">
        <w:rPr>
          <w:sz w:val="8"/>
        </w:rPr>
        <w:t>the contention that this occupation rises to the level of appropriation of these orbits.</w:t>
      </w:r>
      <w:r w:rsidR="00F36491" w:rsidRPr="00BC127C">
        <w:rPr>
          <w:sz w:val="8"/>
        </w:rPr>
        <w:t xml:space="preserve"> </w:t>
      </w:r>
      <w:r w:rsidRPr="00BC127C">
        <w:rPr>
          <w:sz w:val="8"/>
        </w:rPr>
        <w:t>Prevents Others from Using Space</w:t>
      </w:r>
      <w:r w:rsidR="00F36491" w:rsidRPr="00BC127C">
        <w:rPr>
          <w:sz w:val="8"/>
        </w:rPr>
        <w:t xml:space="preserve"> </w:t>
      </w:r>
      <w:r w:rsidRPr="00BC127C">
        <w:rPr>
          <w:sz w:val="8"/>
        </w:rPr>
        <w:t>Article I of the Outer Space Treaty establishes that the exploration and use of outer</w:t>
      </w:r>
      <w:r w:rsidR="00F36491" w:rsidRPr="00BC127C">
        <w:rPr>
          <w:sz w:val="8"/>
        </w:rPr>
        <w:t xml:space="preserve"> </w:t>
      </w:r>
      <w:r w:rsidRPr="00BC127C">
        <w:rPr>
          <w:sz w:val="8"/>
        </w:rPr>
        <w:t>space is “the province of all mankind.” It further requires that this exploration and</w:t>
      </w:r>
      <w:r w:rsidR="00F36491" w:rsidRPr="00BC127C">
        <w:rPr>
          <w:sz w:val="8"/>
        </w:rPr>
        <w:t xml:space="preserve"> </w:t>
      </w:r>
      <w:r w:rsidRPr="00BC127C">
        <w:rPr>
          <w:sz w:val="8"/>
        </w:rPr>
        <w:t>16 C. D. Johnson</w:t>
      </w:r>
      <w:r w:rsidR="00F36491" w:rsidRPr="00BC127C">
        <w:rPr>
          <w:sz w:val="8"/>
        </w:rPr>
        <w:t xml:space="preserve"> </w:t>
      </w:r>
      <w:r w:rsidRPr="00BC127C">
        <w:rPr>
          <w:sz w:val="8"/>
        </w:rPr>
        <w:t>use shall be by all States “without discrimination of any kind, on a basis of equality</w:t>
      </w:r>
      <w:r w:rsidR="00F36491" w:rsidRPr="00BC127C">
        <w:rPr>
          <w:sz w:val="8"/>
        </w:rPr>
        <w:t xml:space="preserve"> </w:t>
      </w:r>
      <w:r w:rsidRPr="00BC127C">
        <w:rPr>
          <w:sz w:val="8"/>
        </w:rPr>
        <w:t>and in accordance with international law...” However, when one private corporation</w:t>
      </w:r>
      <w:r w:rsidR="00F36491" w:rsidRPr="00BC127C">
        <w:rPr>
          <w:sz w:val="8"/>
        </w:rPr>
        <w:t xml:space="preserve"> </w:t>
      </w:r>
      <w:r w:rsidRPr="00BC127C">
        <w:rPr>
          <w:sz w:val="8"/>
        </w:rPr>
        <w:t>so overwhelmingly possesses entire portions of outer space, their use is discriminatory to other potential users and interferes with their freedom to access, explore, and</w:t>
      </w:r>
      <w:r w:rsidR="00F36491" w:rsidRPr="00BC127C">
        <w:rPr>
          <w:sz w:val="8"/>
        </w:rPr>
        <w:t xml:space="preserve"> </w:t>
      </w:r>
      <w:r w:rsidRPr="00BC127C">
        <w:rPr>
          <w:sz w:val="8"/>
        </w:rPr>
        <w:t>use outer space. So long as these actors are so dominantly possessing and occupying</w:t>
      </w:r>
      <w:r w:rsidR="00F36491" w:rsidRPr="00BC127C">
        <w:rPr>
          <w:sz w:val="8"/>
        </w:rPr>
        <w:t xml:space="preserve"> </w:t>
      </w:r>
      <w:r w:rsidRPr="00BC127C">
        <w:rPr>
          <w:sz w:val="8"/>
        </w:rPr>
        <w:t>those orbits, their actions exclude others from using them. What other operator</w:t>
      </w:r>
      <w:r w:rsidR="00F36491" w:rsidRPr="00BC127C">
        <w:rPr>
          <w:sz w:val="8"/>
        </w:rPr>
        <w:t xml:space="preserve"> </w:t>
      </w:r>
      <w:r w:rsidRPr="00BC127C">
        <w:rPr>
          <w:sz w:val="8"/>
        </w:rPr>
        <w:t>would dare use orbits where there are already hundreds of satellites operating as</w:t>
      </w:r>
      <w:r w:rsidR="00F36491" w:rsidRPr="00BC127C">
        <w:rPr>
          <w:sz w:val="8"/>
        </w:rPr>
        <w:t xml:space="preserve"> </w:t>
      </w:r>
      <w:r w:rsidRPr="00BC127C">
        <w:rPr>
          <w:sz w:val="8"/>
        </w:rPr>
        <w:t>part of a constellation? It would be an extremely unwise and risky decision to try to</w:t>
      </w:r>
      <w:r w:rsidR="00F36491" w:rsidRPr="00BC127C">
        <w:rPr>
          <w:sz w:val="8"/>
        </w:rPr>
        <w:t xml:space="preserve"> </w:t>
      </w:r>
      <w:r w:rsidRPr="00BC127C">
        <w:rPr>
          <w:sz w:val="8"/>
        </w:rPr>
        <w:t>share these orbits with a mega constellation, so they will likely choose other altitudes</w:t>
      </w:r>
      <w:r w:rsidR="00F36491" w:rsidRPr="00BC127C">
        <w:rPr>
          <w:sz w:val="8"/>
        </w:rPr>
        <w:t xml:space="preserve"> </w:t>
      </w:r>
      <w:r w:rsidRPr="00BC127C">
        <w:rPr>
          <w:sz w:val="8"/>
        </w:rPr>
        <w:t>and orbits. This massive occupation of particular orbits effectively defeats others</w:t>
      </w:r>
      <w:r w:rsidR="00F36491" w:rsidRPr="00BC127C">
        <w:rPr>
          <w:sz w:val="8"/>
        </w:rPr>
        <w:t xml:space="preserve"> </w:t>
      </w:r>
      <w:r w:rsidRPr="00BC127C">
        <w:rPr>
          <w:sz w:val="8"/>
        </w:rPr>
        <w:t>from enjoying the use of outer space. While a State can issue permits for one of its</w:t>
      </w:r>
      <w:r w:rsidR="00F36491" w:rsidRPr="00BC127C">
        <w:rPr>
          <w:sz w:val="8"/>
        </w:rPr>
        <w:t xml:space="preserve"> </w:t>
      </w:r>
      <w:r w:rsidRPr="00BC127C">
        <w:rPr>
          <w:sz w:val="8"/>
        </w:rPr>
        <w:t>corporations allowing them to launch and operate satellites to this extent, that does</w:t>
      </w:r>
      <w:r w:rsidR="00F36491" w:rsidRPr="00BC127C">
        <w:rPr>
          <w:sz w:val="8"/>
        </w:rPr>
        <w:t xml:space="preserve"> </w:t>
      </w:r>
      <w:r w:rsidRPr="00BC127C">
        <w:rPr>
          <w:sz w:val="8"/>
        </w:rPr>
        <w:t>not automatically mean that their activities in outer space, an area beyond national</w:t>
      </w:r>
      <w:r w:rsidR="00F36491" w:rsidRPr="00BC127C">
        <w:rPr>
          <w:sz w:val="8"/>
        </w:rPr>
        <w:t xml:space="preserve"> </w:t>
      </w:r>
      <w:r w:rsidRPr="00BC127C">
        <w:rPr>
          <w:sz w:val="8"/>
        </w:rPr>
        <w:t>sovereignty, are therefore in perfect accordance with the strictures of international</w:t>
      </w:r>
      <w:r w:rsidR="00F36491" w:rsidRPr="00BC127C">
        <w:rPr>
          <w:sz w:val="8"/>
        </w:rPr>
        <w:t xml:space="preserve"> </w:t>
      </w:r>
      <w:r w:rsidRPr="00BC127C">
        <w:rPr>
          <w:sz w:val="8"/>
        </w:rPr>
        <w:t>law. Indeed, national permissions offer no such guarantee.</w:t>
      </w:r>
      <w:r w:rsidR="00F36491" w:rsidRPr="00BC127C">
        <w:rPr>
          <w:sz w:val="8"/>
        </w:rPr>
        <w:t xml:space="preserve"> </w:t>
      </w:r>
      <w:r w:rsidRPr="00BC127C">
        <w:rPr>
          <w:sz w:val="8"/>
        </w:rPr>
        <w:t>No Due Regard for Others</w:t>
      </w:r>
      <w:r w:rsidR="00F36491" w:rsidRPr="00BC127C">
        <w:rPr>
          <w:sz w:val="8"/>
        </w:rPr>
        <w:t xml:space="preserve"> </w:t>
      </w:r>
      <w:r w:rsidRPr="00BC127C">
        <w:rPr>
          <w:rStyle w:val="StyleUnderline"/>
        </w:rPr>
        <w:t>That these megaconstellations violate the prohibition on appropriation in Article II is</w:t>
      </w:r>
      <w:r w:rsidR="00F36491" w:rsidRPr="00BC127C">
        <w:rPr>
          <w:rStyle w:val="StyleUnderline"/>
        </w:rPr>
        <w:t xml:space="preserve"> </w:t>
      </w:r>
      <w:r w:rsidRPr="00BC127C">
        <w:rPr>
          <w:rStyle w:val="StyleUnderline"/>
        </w:rPr>
        <w:t>additionally supported by Article IX of the Outer Space Treaty. Article IX requires</w:t>
      </w:r>
      <w:r w:rsidR="00F36491" w:rsidRPr="00BC127C">
        <w:rPr>
          <w:rStyle w:val="StyleUnderline"/>
        </w:rPr>
        <w:t xml:space="preserve"> </w:t>
      </w:r>
      <w:r w:rsidRPr="00BC127C">
        <w:rPr>
          <w:rStyle w:val="StyleUnderline"/>
        </w:rPr>
        <w:t>that in the exploration and use of outer space, States “shall be guided by the principle</w:t>
      </w:r>
      <w:r w:rsidR="00F36491" w:rsidRPr="00BC127C">
        <w:rPr>
          <w:rStyle w:val="StyleUnderline"/>
        </w:rPr>
        <w:t xml:space="preserve"> </w:t>
      </w:r>
      <w:r w:rsidRPr="00BC127C">
        <w:rPr>
          <w:rStyle w:val="StyleUnderline"/>
        </w:rPr>
        <w:t>of cooperation and mutual assistance and shall conduct all their activities in outer</w:t>
      </w:r>
      <w:r w:rsidR="00F36491" w:rsidRPr="00BC127C">
        <w:rPr>
          <w:rStyle w:val="StyleUnderline"/>
        </w:rPr>
        <w:t xml:space="preserve"> </w:t>
      </w:r>
      <w:r w:rsidRPr="00BC127C">
        <w:rPr>
          <w:rStyle w:val="StyleUnderline"/>
        </w:rPr>
        <w:t>space... with due regard to the corresponding interests of other States...” There is</w:t>
      </w:r>
      <w:r w:rsidR="00F36491" w:rsidRPr="00BC127C">
        <w:rPr>
          <w:rStyle w:val="StyleUnderline"/>
        </w:rPr>
        <w:t xml:space="preserve"> </w:t>
      </w:r>
      <w:r w:rsidRPr="00BC127C">
        <w:rPr>
          <w:rStyle w:val="StyleUnderline"/>
        </w:rPr>
        <w:t>hardly any way to view this deployment of megaconstellations as showing any type</w:t>
      </w:r>
      <w:r w:rsidR="00F36491" w:rsidRPr="00BC127C">
        <w:rPr>
          <w:rStyle w:val="StyleUnderline"/>
        </w:rPr>
        <w:t xml:space="preserve"> </w:t>
      </w:r>
      <w:r w:rsidRPr="00BC127C">
        <w:rPr>
          <w:rStyle w:val="StyleUnderline"/>
        </w:rPr>
        <w:t>of due regard to the corresponding interests of others</w:t>
      </w:r>
      <w:r w:rsidRPr="00BC127C">
        <w:rPr>
          <w:sz w:val="8"/>
        </w:rPr>
        <w:t>. This lack of regard further</w:t>
      </w:r>
      <w:r w:rsidR="00F36491" w:rsidRPr="00BC127C">
        <w:rPr>
          <w:sz w:val="8"/>
        </w:rPr>
        <w:t xml:space="preserve"> </w:t>
      </w:r>
      <w:r w:rsidRPr="00BC127C">
        <w:rPr>
          <w:sz w:val="8"/>
        </w:rPr>
        <w:t>supports the notion of their unilateral transgressive violations of the purposes of</w:t>
      </w:r>
      <w:r w:rsidR="00F36491" w:rsidRPr="00BC127C">
        <w:rPr>
          <w:sz w:val="8"/>
        </w:rPr>
        <w:t xml:space="preserve"> </w:t>
      </w:r>
      <w:r w:rsidRPr="00BC127C">
        <w:rPr>
          <w:sz w:val="8"/>
        </w:rPr>
        <w:t>space law norms.</w:t>
      </w:r>
      <w:r w:rsidR="00F36491" w:rsidRPr="00BC127C">
        <w:rPr>
          <w:sz w:val="8"/>
        </w:rPr>
        <w:t xml:space="preserve"> </w:t>
      </w:r>
      <w:r w:rsidRPr="00BC127C">
        <w:rPr>
          <w:sz w:val="8"/>
        </w:rPr>
        <w:t>Harmful Contamination</w:t>
      </w:r>
      <w:r w:rsidR="00F36491" w:rsidRPr="00BC127C">
        <w:rPr>
          <w:sz w:val="8"/>
        </w:rPr>
        <w:t xml:space="preserve"> </w:t>
      </w:r>
      <w:r w:rsidRPr="00BC127C">
        <w:rPr>
          <w:sz w:val="8"/>
        </w:rPr>
        <w:t>The impacts of the spacecraft on the pressing issue of space debris need not be gone</w:t>
      </w:r>
      <w:r w:rsidR="00F36491" w:rsidRPr="00BC127C">
        <w:rPr>
          <w:sz w:val="8"/>
        </w:rPr>
        <w:t xml:space="preserve"> </w:t>
      </w:r>
      <w:r w:rsidRPr="00BC127C">
        <w:rPr>
          <w:sz w:val="8"/>
        </w:rPr>
        <w:t>into detail here. Suffice it to say, megaconstellations threaten mega-debris. The</w:t>
      </w:r>
      <w:r w:rsidR="00F36491" w:rsidRPr="00BC127C">
        <w:rPr>
          <w:sz w:val="8"/>
        </w:rPr>
        <w:t xml:space="preserve"> </w:t>
      </w:r>
      <w:r w:rsidRPr="00BC127C">
        <w:rPr>
          <w:sz w:val="8"/>
        </w:rPr>
        <w:t>failure rate of these comparatively cheap satellites should give pause, because if</w:t>
      </w:r>
      <w:r w:rsidR="00F36491" w:rsidRPr="00BC127C">
        <w:rPr>
          <w:sz w:val="8"/>
        </w:rPr>
        <w:t xml:space="preserve"> </w:t>
      </w:r>
      <w:r w:rsidRPr="00BC127C">
        <w:rPr>
          <w:sz w:val="8"/>
        </w:rPr>
        <w:t>5% of a constellation of 100 satellites fails, this is 5 guaranteed new pieces of debris</w:t>
      </w:r>
      <w:r w:rsidR="00F36491" w:rsidRPr="00BC127C">
        <w:rPr>
          <w:sz w:val="8"/>
        </w:rPr>
        <w:t xml:space="preserve"> </w:t>
      </w:r>
      <w:r w:rsidRPr="00BC127C">
        <w:rPr>
          <w:sz w:val="8"/>
        </w:rPr>
        <w:t>intentionally introduced to the fragile space domain. Article IX of the Outer Space</w:t>
      </w:r>
      <w:r w:rsidR="00F36491" w:rsidRPr="00BC127C">
        <w:rPr>
          <w:sz w:val="8"/>
        </w:rPr>
        <w:t xml:space="preserve"> </w:t>
      </w:r>
      <w:r w:rsidRPr="00BC127C">
        <w:rPr>
          <w:sz w:val="8"/>
        </w:rPr>
        <w:t>Treaty warns of harmful contamination of the space environment and requires States</w:t>
      </w:r>
      <w:r w:rsidR="00F36491" w:rsidRPr="00BC127C">
        <w:rPr>
          <w:sz w:val="8"/>
        </w:rPr>
        <w:t xml:space="preserve"> </w:t>
      </w:r>
      <w:r w:rsidRPr="00BC127C">
        <w:rPr>
          <w:sz w:val="8"/>
        </w:rPr>
        <w:t>to take appropriate measures to prevent this harmful contamination. A responsible</w:t>
      </w:r>
      <w:r w:rsidR="00F36491" w:rsidRPr="00BC127C">
        <w:rPr>
          <w:sz w:val="8"/>
        </w:rPr>
        <w:t xml:space="preserve"> </w:t>
      </w:r>
      <w:r w:rsidRPr="00BC127C">
        <w:rPr>
          <w:sz w:val="8"/>
        </w:rPr>
        <w:t>government could not, in all seriousness, permit the intentional release of such</w:t>
      </w:r>
      <w:r w:rsidR="00F36491" w:rsidRPr="00BC127C">
        <w:rPr>
          <w:sz w:val="8"/>
        </w:rPr>
        <w:t xml:space="preserve"> </w:t>
      </w:r>
      <w:r w:rsidRPr="00BC127C">
        <w:rPr>
          <w:sz w:val="8"/>
        </w:rPr>
        <w:t>amounts of space debris, especially in the already fraught orbits that many megaconstellations are headed towards.</w:t>
      </w:r>
      <w:r w:rsidR="00F36491" w:rsidRPr="00BC127C">
        <w:rPr>
          <w:sz w:val="8"/>
        </w:rPr>
        <w:t xml:space="preserve"> </w:t>
      </w:r>
      <w:r w:rsidRPr="00BC127C">
        <w:rPr>
          <w:sz w:val="8"/>
        </w:rPr>
        <w:t>While the threat of space debris is not directly relevant to the accusation of</w:t>
      </w:r>
      <w:r w:rsidR="00F36491" w:rsidRPr="00BC127C">
        <w:rPr>
          <w:sz w:val="8"/>
        </w:rPr>
        <w:t xml:space="preserve"> </w:t>
      </w:r>
      <w:r w:rsidRPr="00BC127C">
        <w:rPr>
          <w:sz w:val="8"/>
        </w:rPr>
        <w:t>appropriation of outer space, it goes towards the argument that these actors are</w:t>
      </w:r>
      <w:r w:rsidR="00F36491" w:rsidRPr="00BC127C">
        <w:rPr>
          <w:sz w:val="8"/>
        </w:rPr>
        <w:t xml:space="preserve"> </w:t>
      </w:r>
      <w:r w:rsidRPr="00BC127C">
        <w:rPr>
          <w:sz w:val="8"/>
        </w:rPr>
        <w:t>conducting activities in a manner lacking in regard to others, and in fact, amounts to</w:t>
      </w:r>
      <w:r w:rsidR="00F36491" w:rsidRPr="00BC127C">
        <w:rPr>
          <w:sz w:val="8"/>
        </w:rPr>
        <w:t xml:space="preserve"> </w:t>
      </w:r>
      <w:r w:rsidRPr="00BC127C">
        <w:rPr>
          <w:sz w:val="8"/>
        </w:rPr>
        <w:t>excluding others from using the space domain. By excluding others, this has the</w:t>
      </w:r>
      <w:r w:rsidR="00F36491" w:rsidRPr="00BC127C">
        <w:rPr>
          <w:sz w:val="8"/>
        </w:rPr>
        <w:t xml:space="preserve"> </w:t>
      </w:r>
      <w:r w:rsidRPr="00BC127C">
        <w:rPr>
          <w:sz w:val="8"/>
        </w:rPr>
        <w:t>effect of taking orbits for themselves, which IS occupation.</w:t>
      </w:r>
      <w:r w:rsidR="00F36491" w:rsidRPr="00BC127C">
        <w:rPr>
          <w:sz w:val="8"/>
        </w:rPr>
        <w:t xml:space="preserve"> </w:t>
      </w:r>
      <w:r w:rsidRPr="00BC127C">
        <w:rPr>
          <w:sz w:val="8"/>
        </w:rPr>
        <w:t>The Legal Status of MegaLEO Constellations and Concerns About Appropriation... 17</w:t>
      </w:r>
      <w:r w:rsidR="00F36491" w:rsidRPr="00BC127C">
        <w:rPr>
          <w:sz w:val="8"/>
        </w:rPr>
        <w:t xml:space="preserve"> </w:t>
      </w:r>
      <w:r w:rsidRPr="00BC127C">
        <w:rPr>
          <w:rStyle w:val="StyleUnderline"/>
          <w:highlight w:val="green"/>
        </w:rPr>
        <w:t>If This Isn’t Appropriation, Then What Is?</w:t>
      </w:r>
      <w:r w:rsidR="00F36491" w:rsidRPr="00BC127C">
        <w:rPr>
          <w:rStyle w:val="StyleUnderline"/>
        </w:rPr>
        <w:t xml:space="preserve"> </w:t>
      </w:r>
      <w:r w:rsidRPr="00BC127C">
        <w:rPr>
          <w:rStyle w:val="StyleUnderline"/>
        </w:rPr>
        <w:t>Arguing in the alternative, if these megaconstellations — in their dominant occupation of entire orbits in orbital planes with numerous satellites — could be considered</w:t>
      </w:r>
      <w:r w:rsidR="00F36491" w:rsidRPr="00BC127C">
        <w:rPr>
          <w:rStyle w:val="StyleUnderline"/>
        </w:rPr>
        <w:t xml:space="preserve"> </w:t>
      </w:r>
      <w:r w:rsidRPr="00BC127C">
        <w:rPr>
          <w:rStyle w:val="StyleUnderline"/>
        </w:rPr>
        <w:t>(merely for the sake of argument) to not be appropriation, we must therefore ask:</w:t>
      </w:r>
      <w:r w:rsidR="00F36491" w:rsidRPr="00BC127C">
        <w:rPr>
          <w:rStyle w:val="StyleUnderline"/>
        </w:rPr>
        <w:t xml:space="preserve"> </w:t>
      </w:r>
      <w:r w:rsidRPr="00BC127C">
        <w:rPr>
          <w:rStyle w:val="StyleUnderline"/>
        </w:rPr>
        <w:t>what would be appropriation?</w:t>
      </w:r>
      <w:r w:rsidRPr="00BC127C">
        <w:rPr>
          <w:sz w:val="8"/>
        </w:rPr>
        <w:t xml:space="preserve"> What use of void space, including orbits of the Earth,</w:t>
      </w:r>
      <w:r w:rsidR="00F36491" w:rsidRPr="00BC127C">
        <w:rPr>
          <w:sz w:val="8"/>
        </w:rPr>
        <w:t xml:space="preserve"> </w:t>
      </w:r>
      <w:r w:rsidRPr="00BC127C">
        <w:rPr>
          <w:sz w:val="8"/>
        </w:rPr>
        <w:t>would constitute actual appropriation? What further, additional fact of these uses of</w:t>
      </w:r>
      <w:r w:rsidR="00F36491" w:rsidRPr="00BC127C">
        <w:rPr>
          <w:sz w:val="8"/>
        </w:rPr>
        <w:t xml:space="preserve"> </w:t>
      </w:r>
      <w:r w:rsidRPr="00BC127C">
        <w:rPr>
          <w:sz w:val="8"/>
        </w:rPr>
        <w:t>space, if added to the scenario, would cause that constellation to cross over the line</w:t>
      </w:r>
      <w:r w:rsidR="00F36491" w:rsidRPr="00BC127C">
        <w:rPr>
          <w:sz w:val="8"/>
        </w:rPr>
        <w:t xml:space="preserve"> </w:t>
      </w:r>
      <w:r w:rsidRPr="00BC127C">
        <w:rPr>
          <w:sz w:val="8"/>
        </w:rPr>
        <w:t>into clearly prohibited appropriation? Perhaps the exact same scenario, but</w:t>
      </w:r>
      <w:r w:rsidR="00F36491" w:rsidRPr="00BC127C">
        <w:rPr>
          <w:sz w:val="8"/>
        </w:rPr>
        <w:t xml:space="preserve"> </w:t>
      </w:r>
      <w:r w:rsidRPr="00BC127C">
        <w:rPr>
          <w:sz w:val="8"/>
        </w:rPr>
        <w:t>supplemented with an actual, formal claim of sovereignty, issued by a government,</w:t>
      </w:r>
      <w:r w:rsidR="00F36491" w:rsidRPr="00BC127C">
        <w:rPr>
          <w:sz w:val="8"/>
        </w:rPr>
        <w:t xml:space="preserve"> </w:t>
      </w:r>
      <w:r w:rsidRPr="00BC127C">
        <w:rPr>
          <w:sz w:val="8"/>
        </w:rPr>
        <w:t>is the only element which could be added to megaconstellations which would then</w:t>
      </w:r>
      <w:r w:rsidR="00F36491" w:rsidRPr="00BC127C">
        <w:rPr>
          <w:sz w:val="8"/>
        </w:rPr>
        <w:t xml:space="preserve"> </w:t>
      </w:r>
      <w:r w:rsidRPr="00BC127C">
        <w:rPr>
          <w:sz w:val="8"/>
        </w:rPr>
        <w:t>cross the threshold into appropriation. However, a formal claim of sovereignty</w:t>
      </w:r>
      <w:r w:rsidR="00F36491" w:rsidRPr="00BC127C">
        <w:rPr>
          <w:sz w:val="8"/>
        </w:rPr>
        <w:t xml:space="preserve"> </w:t>
      </w:r>
      <w:r w:rsidRPr="00BC127C">
        <w:rPr>
          <w:sz w:val="8"/>
        </w:rPr>
        <w:t>would be merely an act occurring on Earth and would not change any actual facts</w:t>
      </w:r>
      <w:r w:rsidR="00F36491" w:rsidRPr="00BC127C">
        <w:rPr>
          <w:sz w:val="8"/>
        </w:rPr>
        <w:t xml:space="preserve"> </w:t>
      </w:r>
      <w:r w:rsidRPr="00BC127C">
        <w:rPr>
          <w:sz w:val="8"/>
        </w:rPr>
        <w:t>in the space domain. Consequently, the lack of a formal claim of sovereignty should</w:t>
      </w:r>
      <w:r w:rsidR="00F36491" w:rsidRPr="00BC127C">
        <w:rPr>
          <w:sz w:val="8"/>
        </w:rPr>
        <w:t xml:space="preserve"> </w:t>
      </w:r>
      <w:r w:rsidRPr="00BC127C">
        <w:rPr>
          <w:sz w:val="8"/>
        </w:rPr>
        <w:t>not be the deciding criteria in arriving at the conclusion that megaconstellations</w:t>
      </w:r>
      <w:r w:rsidR="00F36491" w:rsidRPr="00BC127C">
        <w:rPr>
          <w:sz w:val="8"/>
        </w:rPr>
        <w:t xml:space="preserve"> </w:t>
      </w:r>
      <w:r w:rsidRPr="00BC127C">
        <w:rPr>
          <w:sz w:val="8"/>
        </w:rPr>
        <w:t>constitute appropriation of orbits.</w:t>
      </w:r>
      <w:r w:rsidR="00F36491" w:rsidRPr="00BC127C">
        <w:rPr>
          <w:sz w:val="8"/>
        </w:rPr>
        <w:t xml:space="preserve"> </w:t>
      </w:r>
      <w:r w:rsidRPr="00BC127C">
        <w:rPr>
          <w:rStyle w:val="StyleUnderline"/>
        </w:rPr>
        <w:t>Conclusion</w:t>
      </w:r>
      <w:r w:rsidR="00F36491" w:rsidRPr="00BC127C">
        <w:rPr>
          <w:rStyle w:val="StyleUnderline"/>
        </w:rPr>
        <w:t xml:space="preserve"> </w:t>
      </w:r>
      <w:r w:rsidRPr="00BC127C">
        <w:rPr>
          <w:rStyle w:val="StyleUnderline"/>
        </w:rPr>
        <w:t>In conclusion, these megaconstellations effectively occupy entire orbital regions</w:t>
      </w:r>
      <w:r w:rsidR="00F36491" w:rsidRPr="00BC127C">
        <w:rPr>
          <w:rStyle w:val="StyleUnderline"/>
        </w:rPr>
        <w:t xml:space="preserve"> </w:t>
      </w:r>
      <w:r w:rsidRPr="00BC127C">
        <w:rPr>
          <w:rStyle w:val="StyleUnderline"/>
        </w:rPr>
        <w:t>with their vast fleet of spacecraft and in so doing effectively preclude other actors</w:t>
      </w:r>
      <w:r w:rsidR="00F36491" w:rsidRPr="00BC127C">
        <w:rPr>
          <w:rStyle w:val="StyleUnderline"/>
        </w:rPr>
        <w:t xml:space="preserve"> </w:t>
      </w:r>
      <w:r w:rsidRPr="00BC127C">
        <w:rPr>
          <w:rStyle w:val="StyleUnderline"/>
        </w:rPr>
        <w:t>from sharing those domains. They have done so, or are attempting to do so, without</w:t>
      </w:r>
      <w:r w:rsidR="00F36491" w:rsidRPr="00BC127C">
        <w:rPr>
          <w:rStyle w:val="StyleUnderline"/>
        </w:rPr>
        <w:t xml:space="preserve"> </w:t>
      </w:r>
      <w:r w:rsidRPr="00BC127C">
        <w:rPr>
          <w:rStyle w:val="StyleUnderline"/>
        </w:rPr>
        <w:t>any international consensus or discussion, which is most egregious for a domain</w:t>
      </w:r>
      <w:r w:rsidR="00F36491" w:rsidRPr="00BC127C">
        <w:rPr>
          <w:rStyle w:val="StyleUnderline"/>
        </w:rPr>
        <w:t xml:space="preserve"> </w:t>
      </w:r>
      <w:r w:rsidRPr="00BC127C">
        <w:rPr>
          <w:rStyle w:val="StyleUnderline"/>
        </w:rPr>
        <w:t>outside of State sovereignty and which no State can own</w:t>
      </w:r>
      <w:r w:rsidRPr="00BC127C">
        <w:rPr>
          <w:sz w:val="8"/>
        </w:rPr>
        <w:t>. Governments will ultimately be responsible for this appropriation, and both are prohibited from appropriating space. In distinction to GSO, their permission to go there means that they could</w:t>
      </w:r>
      <w:r w:rsidR="00F36491" w:rsidRPr="00BC127C">
        <w:rPr>
          <w:sz w:val="8"/>
        </w:rPr>
        <w:t xml:space="preserve"> </w:t>
      </w:r>
      <w:r w:rsidRPr="00BC127C">
        <w:rPr>
          <w:sz w:val="8"/>
        </w:rPr>
        <w:t>occupy these regions for incredibly long periods — which again shows their</w:t>
      </w:r>
      <w:r w:rsidR="00F36491" w:rsidRPr="00BC127C">
        <w:rPr>
          <w:sz w:val="8"/>
        </w:rPr>
        <w:t xml:space="preserve"> </w:t>
      </w:r>
      <w:r w:rsidRPr="00BC127C">
        <w:rPr>
          <w:sz w:val="8"/>
        </w:rPr>
        <w:t>appropriation. These constellations significantly prevent others from using those</w:t>
      </w:r>
      <w:r w:rsidR="00F36491" w:rsidRPr="00BC127C">
        <w:rPr>
          <w:sz w:val="8"/>
        </w:rPr>
        <w:t xml:space="preserve"> </w:t>
      </w:r>
      <w:r w:rsidRPr="00BC127C">
        <w:rPr>
          <w:sz w:val="8"/>
        </w:rPr>
        <w:t>regions, which therefore interferes with others’ right to explore and use space. And</w:t>
      </w:r>
      <w:r w:rsidR="00F36491" w:rsidRPr="00BC127C">
        <w:rPr>
          <w:sz w:val="8"/>
        </w:rPr>
        <w:t xml:space="preserve"> </w:t>
      </w:r>
      <w:r w:rsidRPr="00BC127C">
        <w:rPr>
          <w:sz w:val="8"/>
        </w:rPr>
        <w:t>ultimately, this reckless ambition shows absolutely no due regard (as per Article IX)</w:t>
      </w:r>
      <w:r w:rsidR="00F36491" w:rsidRPr="00BC127C">
        <w:rPr>
          <w:sz w:val="8"/>
        </w:rPr>
        <w:t xml:space="preserve"> </w:t>
      </w:r>
      <w:r w:rsidRPr="00BC127C">
        <w:rPr>
          <w:sz w:val="8"/>
        </w:rPr>
        <w:t>for the corresponding rights of others. As such, these megaconstellations constitute</w:t>
      </w:r>
      <w:r w:rsidR="00F36491" w:rsidRPr="00BC127C">
        <w:rPr>
          <w:sz w:val="8"/>
        </w:rPr>
        <w:t xml:space="preserve"> </w:t>
      </w:r>
      <w:r w:rsidRPr="00BC127C">
        <w:rPr>
          <w:sz w:val="8"/>
        </w:rPr>
        <w:t>an impermissible appropriation of particular regions of outer space, regardless of any</w:t>
      </w:r>
      <w:r w:rsidR="00F36491" w:rsidRPr="00BC127C">
        <w:rPr>
          <w:sz w:val="8"/>
        </w:rPr>
        <w:t xml:space="preserve"> </w:t>
      </w:r>
      <w:r w:rsidRPr="00BC127C">
        <w:rPr>
          <w:sz w:val="8"/>
        </w:rPr>
        <w:t>formal, official claim of such by a responsible, authorizing government.</w:t>
      </w:r>
    </w:p>
    <w:p w14:paraId="50888E86" w14:textId="0619A8B0" w:rsidR="00E547E3" w:rsidRPr="00E547E3" w:rsidRDefault="00E547E3" w:rsidP="00E547E3">
      <w:pPr>
        <w:pStyle w:val="Heading4"/>
      </w:pPr>
      <w:r w:rsidRPr="00E547E3">
        <w:rPr>
          <w:b w:val="0"/>
          <w:bCs/>
          <w:sz w:val="12"/>
          <w:szCs w:val="12"/>
        </w:rPr>
        <w:t xml:space="preserve">[Boley and Byers 3] </w:t>
      </w:r>
      <w:r w:rsidRPr="00E547E3">
        <w:t>The OST confirms</w:t>
      </w:r>
      <w:r>
        <w:t xml:space="preserve"> – multiple warrants</w:t>
      </w:r>
    </w:p>
    <w:p w14:paraId="202F4E69" w14:textId="662C676C" w:rsidR="00E547E3" w:rsidRPr="00351ED8" w:rsidRDefault="00E547E3" w:rsidP="00E547E3">
      <w:pPr>
        <w:rPr>
          <w:rStyle w:val="Style13ptBold"/>
        </w:rPr>
      </w:pPr>
      <w:r w:rsidRPr="00351ED8">
        <w:rPr>
          <w:rStyle w:val="Style13ptBold"/>
        </w:rPr>
        <w:t xml:space="preserve">Boley and Byers </w:t>
      </w:r>
      <w:r>
        <w:rPr>
          <w:rStyle w:val="Style13ptBold"/>
        </w:rPr>
        <w:t>3</w:t>
      </w:r>
    </w:p>
    <w:p w14:paraId="51DFCA57" w14:textId="1E433BB9" w:rsidR="00E547E3" w:rsidRPr="00DD2AAF" w:rsidRDefault="00E547E3" w:rsidP="00E547E3">
      <w:pPr>
        <w:rPr>
          <w:sz w:val="16"/>
        </w:rPr>
      </w:pPr>
      <w:r w:rsidRPr="00CA59D5">
        <w:rPr>
          <w:sz w:val="16"/>
        </w:rPr>
        <w:t xml:space="preserve">Boley, A.C., Byers, M. Satellite mega-constellations create risks in Low Earth Orbit, the atmosphere and on Earth. Sci Rep 11, 10642 (2021). </w:t>
      </w:r>
      <w:hyperlink r:id="rId32" w:history="1">
        <w:r w:rsidRPr="00CA59D5">
          <w:rPr>
            <w:rStyle w:val="Hyperlink"/>
            <w:sz w:val="16"/>
          </w:rPr>
          <w:t>https://doi.org/10.1038/s41598-021-89909-7</w:t>
        </w:r>
      </w:hyperlink>
      <w:r w:rsidRPr="00CA59D5">
        <w:rPr>
          <w:sz w:val="16"/>
        </w:rPr>
        <w:t xml:space="preserve"> </w:t>
      </w:r>
      <w:hyperlink r:id="rId3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Boley Department of Political Science, The University of British Columbia, Vancouver, Canada Michael Byers //avery </w:t>
      </w:r>
      <w:r>
        <w:rPr>
          <w:sz w:val="16"/>
        </w:rPr>
        <w:t>-recut CAT</w:t>
      </w:r>
    </w:p>
    <w:p w14:paraId="0B4CADD1" w14:textId="62DA073F" w:rsidR="00E547E3" w:rsidRPr="00167790" w:rsidRDefault="00E547E3" w:rsidP="00E547E3">
      <w:pPr>
        <w:rPr>
          <w:sz w:val="12"/>
        </w:rPr>
      </w:pPr>
      <w:r w:rsidRPr="00E547E3">
        <w:rPr>
          <w:rStyle w:val="StyleUnderline"/>
        </w:rPr>
        <w:t xml:space="preserve">National regulators such as the FCC are assigning orbital shells to mega-constellations on a first come, first served basis, without assessing the effects on other countries. These could include making any addition of further satellites to those shells too dangerous to contemplate. This </w:t>
      </w:r>
      <w:r w:rsidRPr="00167790">
        <w:rPr>
          <w:rStyle w:val="StyleUnderline"/>
          <w:highlight w:val="green"/>
        </w:rPr>
        <w:t xml:space="preserve">de facto occupation of orbital shells likely violates Article I of the </w:t>
      </w:r>
      <w:r w:rsidRPr="00E547E3">
        <w:rPr>
          <w:rStyle w:val="StyleUnderline"/>
        </w:rPr>
        <w:t xml:space="preserve">1967 </w:t>
      </w:r>
      <w:r w:rsidRPr="00167790">
        <w:rPr>
          <w:rStyle w:val="StyleUnderline"/>
          <w:highlight w:val="green"/>
        </w:rPr>
        <w:t>O</w:t>
      </w:r>
      <w:r w:rsidRPr="00E547E3">
        <w:rPr>
          <w:rStyle w:val="StyleUnderline"/>
        </w:rPr>
        <w:t xml:space="preserve">uter </w:t>
      </w:r>
      <w:r w:rsidRPr="00167790">
        <w:rPr>
          <w:rStyle w:val="StyleUnderline"/>
          <w:highlight w:val="green"/>
        </w:rPr>
        <w:t>S</w:t>
      </w:r>
      <w:r w:rsidRPr="00E547E3">
        <w:rPr>
          <w:rStyle w:val="StyleUnderline"/>
        </w:rPr>
        <w:t xml:space="preserve">pace </w:t>
      </w:r>
      <w:r w:rsidRPr="00167790">
        <w:rPr>
          <w:rStyle w:val="StyleUnderline"/>
          <w:highlight w:val="green"/>
        </w:rPr>
        <w:t>T</w:t>
      </w:r>
      <w:r w:rsidRPr="00E547E3">
        <w:rPr>
          <w:rStyle w:val="StyleUnderline"/>
        </w:rPr>
        <w:t xml:space="preserve">reaty, which designates the exploration and use of space as “the province of all mankind” and open to all countries “without discrimination of any kind.” There is </w:t>
      </w:r>
      <w:r w:rsidRPr="00167790">
        <w:rPr>
          <w:rStyle w:val="StyleUnderline"/>
          <w:highlight w:val="green"/>
        </w:rPr>
        <w:t>also Article II</w:t>
      </w:r>
      <w:r w:rsidRPr="00E547E3">
        <w:rPr>
          <w:rStyle w:val="StyleUnderline"/>
        </w:rPr>
        <w:t xml:space="preserve">: “Outer space … is not subject to national appropriation by claim of sovereignty, by means of use or occupation, or by any other means.” </w:t>
      </w:r>
      <w:r w:rsidRPr="00167790">
        <w:rPr>
          <w:rStyle w:val="StyleUnderline"/>
          <w:highlight w:val="green"/>
        </w:rPr>
        <w:t xml:space="preserve">Although regulators are not claiming sovereignty over orbital shells, allowing national companies to saturate them with satellites </w:t>
      </w:r>
      <w:r w:rsidRPr="00E547E3">
        <w:rPr>
          <w:rStyle w:val="StyleUnderline"/>
        </w:rPr>
        <w:t xml:space="preserve">could </w:t>
      </w:r>
      <w:r w:rsidRPr="00167790">
        <w:rPr>
          <w:rStyle w:val="StyleUnderline"/>
          <w:highlight w:val="green"/>
        </w:rPr>
        <w:t>constitute appropriation by “other means.”</w:t>
      </w:r>
      <w:r w:rsidRPr="00167790">
        <w:rPr>
          <w:sz w:val="12"/>
          <w:highlight w:val="green"/>
        </w:rPr>
        <w:t xml:space="preserve"> </w:t>
      </w:r>
      <w:r w:rsidRPr="00167790">
        <w:rPr>
          <w:sz w:val="12"/>
        </w:rPr>
        <w:t>Lastly, Article IX requires that space activities be conducted “with due regard to the corresponding interests of other States”.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that countries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Another ‘land rush’ is occurring over radio spectrum. The ITU is involved in the allocation of frequencies to communications satellites.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w:t>
      </w:r>
    </w:p>
    <w:p w14:paraId="02BEB209" w14:textId="039A7426" w:rsidR="00502999" w:rsidRPr="00502999" w:rsidRDefault="00EC14A6" w:rsidP="00502999">
      <w:pPr>
        <w:pStyle w:val="Heading4"/>
        <w:numPr>
          <w:ilvl w:val="0"/>
          <w:numId w:val="18"/>
        </w:numPr>
      </w:pPr>
      <w:r w:rsidRPr="00EC14A6">
        <w:rPr>
          <w:b w:val="0"/>
          <w:bCs/>
          <w:sz w:val="8"/>
          <w:szCs w:val="8"/>
        </w:rPr>
        <w:t xml:space="preserve">[Eymork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w:t>
      </w:r>
      <w:r w:rsidR="00925FF5">
        <w:t>.</w:t>
      </w:r>
    </w:p>
    <w:p w14:paraId="20E9242B" w14:textId="77777777" w:rsidR="00502999" w:rsidRPr="00564B7B" w:rsidRDefault="00502999" w:rsidP="00502999">
      <w:pPr>
        <w:rPr>
          <w:rStyle w:val="Style13ptBold"/>
        </w:rPr>
      </w:pPr>
      <w:r>
        <w:rPr>
          <w:rStyle w:val="Style13ptBold"/>
        </w:rPr>
        <w:t>Eymork 12</w:t>
      </w:r>
    </w:p>
    <w:p w14:paraId="2B1D53A0" w14:textId="0CB8A448" w:rsidR="00502999" w:rsidRPr="00650AD4" w:rsidRDefault="00502999" w:rsidP="00502999">
      <w:r w:rsidRPr="00650AD4">
        <w:t>Tania Patricia Eymork. “International Negotiations of Natural Resources on the Moon and Other Celestial Bodies: Future Cooperation or Conflict?” Norwegian University of Life Sciences, Department of International Environment and Development Studies, Noragric. May 2012.</w:t>
      </w:r>
      <w:r>
        <w:t xml:space="preserve"> </w:t>
      </w:r>
      <w:hyperlink r:id="rId34"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The reason for highlighting the issue of REE’s is that this issue may also be a good reason to mine on the Moon. Those most dependent on the space industry would be the most threatened, the most dependent are the major space nations i.e.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stability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permanent settlement on Antarctica seems to follow the same pattern</w:t>
      </w:r>
      <w:r w:rsidRPr="00EC14A6">
        <w:rPr>
          <w:sz w:val="16"/>
        </w:rPr>
        <w:t xml:space="preserve"> as the colonization of the New World as mentioned above. Conflicting </w:t>
      </w:r>
      <w:r w:rsidRPr="00EC14A6">
        <w:rPr>
          <w:u w:val="single"/>
        </w:rPr>
        <w:t>territorial claims by countries such as Argentina, Australia, Great Britain, Chile, France, New Zealand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ankind38. The USA remains outside the UNCLOS regime today as it does with the Moon Treaty of 1979. As per today, China, France, India, Japan, Russia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shrunk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benefits from what is called a common resource – outer space that has been likened to the high seas or the continent of Antarctica – a resource that no nations owns,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poverty. Even though the development of a helium-3 based fusion reactor is still under development, we still need to await an eventual establishment of an international treaty and sets the rules for all nations who wish to explore and exploit the universe for the benefit of human kind….</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“[o]uter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there is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or,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r w:rsidRPr="000E28B2">
        <w:rPr>
          <w:sz w:val="16"/>
        </w:rPr>
        <w:t xml:space="preserve">Thus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r w:rsidRPr="001D52FF">
        <w:rPr>
          <w:rStyle w:val="StyleUnderline"/>
          <w:highlight w:val="green"/>
        </w:rPr>
        <w:t>the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5309A050"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Tongasat</w:t>
      </w:r>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r w:rsidRPr="007838F0">
        <w:rPr>
          <w:rStyle w:val="StyleUnderline"/>
          <w:highlight w:val="green"/>
        </w:rPr>
        <w:t>E</w:t>
      </w:r>
      <w:r w:rsidRPr="007838F0">
        <w:rPr>
          <w:rStyle w:val="StyleUnderline"/>
        </w:rPr>
        <w:t xml:space="preserve">uropéene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Kirch,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Tongasat,” GE Americom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 xml:space="preserve">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(Ezor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Tongasat’s situation has also been extremely volatile. In May 1997 Tongasat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(Giget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Tonga’s satellite venture has departed radically from the social democratic conception of outer space as the common heritage of humanity. It has accelerated the globalization of stateless capitalism into ethereal realms. One day the advent of Tongasat</w:t>
      </w:r>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AA2F2" w14:textId="77777777" w:rsidR="004316AF" w:rsidRDefault="004316AF" w:rsidP="00ED27C8">
      <w:r>
        <w:separator/>
      </w:r>
    </w:p>
  </w:endnote>
  <w:endnote w:type="continuationSeparator" w:id="0">
    <w:p w14:paraId="55484914" w14:textId="77777777" w:rsidR="004316AF" w:rsidRDefault="004316AF"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86F41" w14:textId="77777777" w:rsidR="004316AF" w:rsidRDefault="004316AF" w:rsidP="00ED27C8">
      <w:r>
        <w:separator/>
      </w:r>
    </w:p>
  </w:footnote>
  <w:footnote w:type="continuationSeparator" w:id="0">
    <w:p w14:paraId="0C107F71" w14:textId="77777777" w:rsidR="004316AF" w:rsidRDefault="004316AF"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7696073">
    <w:abstractNumId w:val="9"/>
  </w:num>
  <w:num w:numId="2" w16cid:durableId="1178691224">
    <w:abstractNumId w:val="7"/>
  </w:num>
  <w:num w:numId="3" w16cid:durableId="2075618058">
    <w:abstractNumId w:val="6"/>
  </w:num>
  <w:num w:numId="4" w16cid:durableId="1926958892">
    <w:abstractNumId w:val="5"/>
  </w:num>
  <w:num w:numId="5" w16cid:durableId="1638796698">
    <w:abstractNumId w:val="4"/>
  </w:num>
  <w:num w:numId="6" w16cid:durableId="1635914617">
    <w:abstractNumId w:val="8"/>
  </w:num>
  <w:num w:numId="7" w16cid:durableId="928001694">
    <w:abstractNumId w:val="3"/>
  </w:num>
  <w:num w:numId="8" w16cid:durableId="1999990502">
    <w:abstractNumId w:val="2"/>
  </w:num>
  <w:num w:numId="9" w16cid:durableId="1836913718">
    <w:abstractNumId w:val="1"/>
  </w:num>
  <w:num w:numId="10" w16cid:durableId="150560258">
    <w:abstractNumId w:val="0"/>
  </w:num>
  <w:num w:numId="11" w16cid:durableId="1985699360">
    <w:abstractNumId w:val="10"/>
  </w:num>
  <w:num w:numId="12" w16cid:durableId="301889774">
    <w:abstractNumId w:val="21"/>
  </w:num>
  <w:num w:numId="13" w16cid:durableId="1890606850">
    <w:abstractNumId w:val="16"/>
  </w:num>
  <w:num w:numId="14" w16cid:durableId="334193679">
    <w:abstractNumId w:val="12"/>
  </w:num>
  <w:num w:numId="15" w16cid:durableId="996808706">
    <w:abstractNumId w:val="18"/>
  </w:num>
  <w:num w:numId="16" w16cid:durableId="174197285">
    <w:abstractNumId w:val="11"/>
  </w:num>
  <w:num w:numId="17" w16cid:durableId="2141192365">
    <w:abstractNumId w:val="13"/>
  </w:num>
  <w:num w:numId="18" w16cid:durableId="1416517248">
    <w:abstractNumId w:val="20"/>
  </w:num>
  <w:num w:numId="19" w16cid:durableId="1991203450">
    <w:abstractNumId w:val="17"/>
  </w:num>
  <w:num w:numId="20" w16cid:durableId="272984794">
    <w:abstractNumId w:val="19"/>
  </w:num>
  <w:num w:numId="21" w16cid:durableId="344593417">
    <w:abstractNumId w:val="14"/>
  </w:num>
  <w:num w:numId="22" w16cid:durableId="1575551697">
    <w:abstractNumId w:val="22"/>
  </w:num>
  <w:num w:numId="23" w16cid:durableId="17730849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389876966400"/>
    <w:docVar w:name="VerbatimVersion" w:val="5.1"/>
  </w:docVars>
  <w:rsids>
    <w:rsidRoot w:val="00ED27C8"/>
    <w:rsid w:val="000025A7"/>
    <w:rsid w:val="000117CE"/>
    <w:rsid w:val="000139A3"/>
    <w:rsid w:val="000476E4"/>
    <w:rsid w:val="00051B53"/>
    <w:rsid w:val="000534AB"/>
    <w:rsid w:val="00054A9B"/>
    <w:rsid w:val="00063F05"/>
    <w:rsid w:val="00066C5F"/>
    <w:rsid w:val="000718D2"/>
    <w:rsid w:val="00074B57"/>
    <w:rsid w:val="000760E8"/>
    <w:rsid w:val="000A1162"/>
    <w:rsid w:val="000A3889"/>
    <w:rsid w:val="000C18CB"/>
    <w:rsid w:val="000C6202"/>
    <w:rsid w:val="000E22D7"/>
    <w:rsid w:val="000F0F5E"/>
    <w:rsid w:val="000F30C0"/>
    <w:rsid w:val="00100833"/>
    <w:rsid w:val="00104529"/>
    <w:rsid w:val="00105069"/>
    <w:rsid w:val="00105942"/>
    <w:rsid w:val="00107396"/>
    <w:rsid w:val="00112F9C"/>
    <w:rsid w:val="00120498"/>
    <w:rsid w:val="00124421"/>
    <w:rsid w:val="00142391"/>
    <w:rsid w:val="00144798"/>
    <w:rsid w:val="00144A4C"/>
    <w:rsid w:val="001508C0"/>
    <w:rsid w:val="00155F16"/>
    <w:rsid w:val="00167790"/>
    <w:rsid w:val="00176AB0"/>
    <w:rsid w:val="00177B7D"/>
    <w:rsid w:val="0018322D"/>
    <w:rsid w:val="001965AA"/>
    <w:rsid w:val="001A3B76"/>
    <w:rsid w:val="001A5C8F"/>
    <w:rsid w:val="001A6736"/>
    <w:rsid w:val="001A7646"/>
    <w:rsid w:val="001B5776"/>
    <w:rsid w:val="001C2F12"/>
    <w:rsid w:val="001D52FF"/>
    <w:rsid w:val="001D5F15"/>
    <w:rsid w:val="001D6DFB"/>
    <w:rsid w:val="001D7602"/>
    <w:rsid w:val="001E527A"/>
    <w:rsid w:val="001F78CE"/>
    <w:rsid w:val="00202A7C"/>
    <w:rsid w:val="00206264"/>
    <w:rsid w:val="00211AF9"/>
    <w:rsid w:val="0021595E"/>
    <w:rsid w:val="00233F82"/>
    <w:rsid w:val="002463A9"/>
    <w:rsid w:val="00250A10"/>
    <w:rsid w:val="00251824"/>
    <w:rsid w:val="00251FC7"/>
    <w:rsid w:val="002718CD"/>
    <w:rsid w:val="00281ECA"/>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04040"/>
    <w:rsid w:val="00313B32"/>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1C97"/>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316AF"/>
    <w:rsid w:val="00440F20"/>
    <w:rsid w:val="004462EC"/>
    <w:rsid w:val="00451DEE"/>
    <w:rsid w:val="00453C7C"/>
    <w:rsid w:val="004605D6"/>
    <w:rsid w:val="004625D3"/>
    <w:rsid w:val="00463DF6"/>
    <w:rsid w:val="00466312"/>
    <w:rsid w:val="004706A2"/>
    <w:rsid w:val="004711E7"/>
    <w:rsid w:val="004746AF"/>
    <w:rsid w:val="00493508"/>
    <w:rsid w:val="00494481"/>
    <w:rsid w:val="00496D1A"/>
    <w:rsid w:val="004A7B9F"/>
    <w:rsid w:val="004B06A3"/>
    <w:rsid w:val="004B5E3B"/>
    <w:rsid w:val="004B679B"/>
    <w:rsid w:val="004C60E8"/>
    <w:rsid w:val="004D6F3B"/>
    <w:rsid w:val="004E3579"/>
    <w:rsid w:val="004E4A14"/>
    <w:rsid w:val="004E728B"/>
    <w:rsid w:val="004F27A6"/>
    <w:rsid w:val="004F39E0"/>
    <w:rsid w:val="00502999"/>
    <w:rsid w:val="00506D1A"/>
    <w:rsid w:val="00512672"/>
    <w:rsid w:val="00522CF1"/>
    <w:rsid w:val="00536348"/>
    <w:rsid w:val="00537BD5"/>
    <w:rsid w:val="005557C7"/>
    <w:rsid w:val="00562BE9"/>
    <w:rsid w:val="0057268A"/>
    <w:rsid w:val="00581EA0"/>
    <w:rsid w:val="00583215"/>
    <w:rsid w:val="005916A3"/>
    <w:rsid w:val="00596E19"/>
    <w:rsid w:val="00596E63"/>
    <w:rsid w:val="005B5380"/>
    <w:rsid w:val="005B5CFD"/>
    <w:rsid w:val="005C0316"/>
    <w:rsid w:val="005C1BDA"/>
    <w:rsid w:val="005C2975"/>
    <w:rsid w:val="005C4001"/>
    <w:rsid w:val="005C4A6D"/>
    <w:rsid w:val="005C5FB5"/>
    <w:rsid w:val="005D2912"/>
    <w:rsid w:val="005E2352"/>
    <w:rsid w:val="005F527A"/>
    <w:rsid w:val="006065BD"/>
    <w:rsid w:val="006067A6"/>
    <w:rsid w:val="00606BA4"/>
    <w:rsid w:val="006113E1"/>
    <w:rsid w:val="00615C43"/>
    <w:rsid w:val="00616E98"/>
    <w:rsid w:val="00617C90"/>
    <w:rsid w:val="00621D8F"/>
    <w:rsid w:val="0063240D"/>
    <w:rsid w:val="00634EA3"/>
    <w:rsid w:val="006400A4"/>
    <w:rsid w:val="00640188"/>
    <w:rsid w:val="006407FD"/>
    <w:rsid w:val="00642A96"/>
    <w:rsid w:val="00645FA9"/>
    <w:rsid w:val="00647866"/>
    <w:rsid w:val="006538DA"/>
    <w:rsid w:val="00654AE0"/>
    <w:rsid w:val="0066069A"/>
    <w:rsid w:val="00662C73"/>
    <w:rsid w:val="00663F9C"/>
    <w:rsid w:val="00665003"/>
    <w:rsid w:val="00667A81"/>
    <w:rsid w:val="00686AD3"/>
    <w:rsid w:val="00693E0A"/>
    <w:rsid w:val="00694A04"/>
    <w:rsid w:val="006A2AD0"/>
    <w:rsid w:val="006B0677"/>
    <w:rsid w:val="006C2375"/>
    <w:rsid w:val="006D27E1"/>
    <w:rsid w:val="006D2F97"/>
    <w:rsid w:val="006D4ECC"/>
    <w:rsid w:val="006E066C"/>
    <w:rsid w:val="006E07D8"/>
    <w:rsid w:val="006F46DC"/>
    <w:rsid w:val="00702C91"/>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C56F8"/>
    <w:rsid w:val="007D1CE5"/>
    <w:rsid w:val="007D5A2D"/>
    <w:rsid w:val="007E1FA4"/>
    <w:rsid w:val="007E38EF"/>
    <w:rsid w:val="007F5B66"/>
    <w:rsid w:val="00815C4E"/>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0048"/>
    <w:rsid w:val="008F2E62"/>
    <w:rsid w:val="008F7FE9"/>
    <w:rsid w:val="00913EF1"/>
    <w:rsid w:val="0091627E"/>
    <w:rsid w:val="00924CB5"/>
    <w:rsid w:val="00925FF5"/>
    <w:rsid w:val="0092669F"/>
    <w:rsid w:val="00930E50"/>
    <w:rsid w:val="009321EA"/>
    <w:rsid w:val="0093793B"/>
    <w:rsid w:val="009411AD"/>
    <w:rsid w:val="00941822"/>
    <w:rsid w:val="00942C6B"/>
    <w:rsid w:val="009449E7"/>
    <w:rsid w:val="00954D89"/>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26D42"/>
    <w:rsid w:val="00A31726"/>
    <w:rsid w:val="00A33F1D"/>
    <w:rsid w:val="00A42504"/>
    <w:rsid w:val="00A50FE6"/>
    <w:rsid w:val="00A551B4"/>
    <w:rsid w:val="00A575B7"/>
    <w:rsid w:val="00A62D06"/>
    <w:rsid w:val="00A634DA"/>
    <w:rsid w:val="00A70C63"/>
    <w:rsid w:val="00A72660"/>
    <w:rsid w:val="00A749D8"/>
    <w:rsid w:val="00A872F6"/>
    <w:rsid w:val="00A92432"/>
    <w:rsid w:val="00A93661"/>
    <w:rsid w:val="00A95652"/>
    <w:rsid w:val="00A97B55"/>
    <w:rsid w:val="00AA037F"/>
    <w:rsid w:val="00AA0DFB"/>
    <w:rsid w:val="00AA2B8E"/>
    <w:rsid w:val="00AA37D5"/>
    <w:rsid w:val="00AA3E0B"/>
    <w:rsid w:val="00AA507C"/>
    <w:rsid w:val="00AC0AB8"/>
    <w:rsid w:val="00AC5F01"/>
    <w:rsid w:val="00AC76B0"/>
    <w:rsid w:val="00AE2312"/>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739B5"/>
    <w:rsid w:val="00B8057C"/>
    <w:rsid w:val="00B82B89"/>
    <w:rsid w:val="00B86CD6"/>
    <w:rsid w:val="00B87B97"/>
    <w:rsid w:val="00B9590D"/>
    <w:rsid w:val="00B97C54"/>
    <w:rsid w:val="00BA64C4"/>
    <w:rsid w:val="00BC127C"/>
    <w:rsid w:val="00BD6238"/>
    <w:rsid w:val="00BE6BA8"/>
    <w:rsid w:val="00BE6C94"/>
    <w:rsid w:val="00BF593B"/>
    <w:rsid w:val="00BF773A"/>
    <w:rsid w:val="00BF7E81"/>
    <w:rsid w:val="00C01649"/>
    <w:rsid w:val="00C03C43"/>
    <w:rsid w:val="00C11A30"/>
    <w:rsid w:val="00C13773"/>
    <w:rsid w:val="00C13EF6"/>
    <w:rsid w:val="00C17CC8"/>
    <w:rsid w:val="00C17F4F"/>
    <w:rsid w:val="00C32873"/>
    <w:rsid w:val="00C50680"/>
    <w:rsid w:val="00C5128C"/>
    <w:rsid w:val="00C51440"/>
    <w:rsid w:val="00C5193F"/>
    <w:rsid w:val="00C51B8E"/>
    <w:rsid w:val="00C576BB"/>
    <w:rsid w:val="00C61DCD"/>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31D6"/>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19F7"/>
    <w:rsid w:val="00D93CCE"/>
    <w:rsid w:val="00D97FC9"/>
    <w:rsid w:val="00DA1C92"/>
    <w:rsid w:val="00DA1E83"/>
    <w:rsid w:val="00DA25D4"/>
    <w:rsid w:val="00DA3AB5"/>
    <w:rsid w:val="00DA6538"/>
    <w:rsid w:val="00DC1A91"/>
    <w:rsid w:val="00DD047A"/>
    <w:rsid w:val="00DD5B6D"/>
    <w:rsid w:val="00DE21DD"/>
    <w:rsid w:val="00DE7C68"/>
    <w:rsid w:val="00DF1E5F"/>
    <w:rsid w:val="00E03544"/>
    <w:rsid w:val="00E07C8B"/>
    <w:rsid w:val="00E14DDF"/>
    <w:rsid w:val="00E15E75"/>
    <w:rsid w:val="00E247A2"/>
    <w:rsid w:val="00E30D69"/>
    <w:rsid w:val="00E366E7"/>
    <w:rsid w:val="00E422C6"/>
    <w:rsid w:val="00E445DC"/>
    <w:rsid w:val="00E517B9"/>
    <w:rsid w:val="00E5262C"/>
    <w:rsid w:val="00E547E3"/>
    <w:rsid w:val="00E55FF9"/>
    <w:rsid w:val="00E6096A"/>
    <w:rsid w:val="00E76C6C"/>
    <w:rsid w:val="00EA14D4"/>
    <w:rsid w:val="00EA57AF"/>
    <w:rsid w:val="00EB1554"/>
    <w:rsid w:val="00EC14A6"/>
    <w:rsid w:val="00EC208F"/>
    <w:rsid w:val="00EC7DC4"/>
    <w:rsid w:val="00ED27C8"/>
    <w:rsid w:val="00ED30CF"/>
    <w:rsid w:val="00EF688A"/>
    <w:rsid w:val="00F035F2"/>
    <w:rsid w:val="00F07866"/>
    <w:rsid w:val="00F15042"/>
    <w:rsid w:val="00F176EF"/>
    <w:rsid w:val="00F25F43"/>
    <w:rsid w:val="00F363BD"/>
    <w:rsid w:val="00F36491"/>
    <w:rsid w:val="00F368AF"/>
    <w:rsid w:val="00F45E10"/>
    <w:rsid w:val="00F45F75"/>
    <w:rsid w:val="00F47424"/>
    <w:rsid w:val="00F54AEF"/>
    <w:rsid w:val="00F6364A"/>
    <w:rsid w:val="00F65340"/>
    <w:rsid w:val="00F67EBE"/>
    <w:rsid w:val="00F750E7"/>
    <w:rsid w:val="00F82A54"/>
    <w:rsid w:val="00F84F93"/>
    <w:rsid w:val="00F9113A"/>
    <w:rsid w:val="00FA748E"/>
    <w:rsid w:val="00FB287B"/>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0048"/>
    <w:rPr>
      <w:rFonts w:ascii="Calibri" w:hAnsi="Calibri" w:cs="Calibri"/>
    </w:rPr>
  </w:style>
  <w:style w:type="paragraph" w:styleId="Heading1">
    <w:name w:val="heading 1"/>
    <w:aliases w:val="Pocket"/>
    <w:basedOn w:val="Normal"/>
    <w:next w:val="Normal"/>
    <w:link w:val="Heading1Char"/>
    <w:qFormat/>
    <w:rsid w:val="008F00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00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8F00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8F00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00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0048"/>
  </w:style>
  <w:style w:type="character" w:customStyle="1" w:styleId="Heading1Char">
    <w:name w:val="Heading 1 Char"/>
    <w:aliases w:val="Pocket Char"/>
    <w:basedOn w:val="DefaultParagraphFont"/>
    <w:link w:val="Heading1"/>
    <w:rsid w:val="008F00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004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8F004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8F004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8F00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F004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8F004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8F0048"/>
    <w:rPr>
      <w:color w:val="auto"/>
      <w:u w:val="none"/>
    </w:rPr>
  </w:style>
  <w:style w:type="character" w:styleId="FollowedHyperlink">
    <w:name w:val="FollowedHyperlink"/>
    <w:basedOn w:val="DefaultParagraphFont"/>
    <w:uiPriority w:val="99"/>
    <w:semiHidden/>
    <w:unhideWhenUsed/>
    <w:rsid w:val="008F0048"/>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407389954">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apps.dtic.mil/dtic/tr/fulltext/u2/1059769.pdf" TargetMode="External"/><Relationship Id="rId3" Type="http://schemas.openxmlformats.org/officeDocument/2006/relationships/styles" Target="styles.xml"/><Relationship Id="rId21" Type="http://schemas.openxmlformats.org/officeDocument/2006/relationships/hyperlink" Target="https://doi.org/10.1038/s41598-021-89909-7" TargetMode="External"/><Relationship Id="rId34" Type="http://schemas.openxmlformats.org/officeDocument/2006/relationships/hyperlink" Target="https://nmbu.brage.unit.no/nmbu-xmlui/bitstream/handle/11250/187862/eymork_master2012.pdf?sequence=3"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image" Target="media/image2.png"/><Relationship Id="rId33" Type="http://schemas.openxmlformats.org/officeDocument/2006/relationships/hyperlink" Target="https://www.nature.com/articles/s41598-021-89909-7"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utilitarianism.com/utilitarian.pdf" TargetMode="External"/><Relationship Id="rId29" Type="http://schemas.openxmlformats.org/officeDocument/2006/relationships/hyperlink" Target="https://doi.org/10.1080/00963402.2021.20209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hyperlink" Target="https://www.nature.com/articles/s41598-021-89909-7" TargetMode="External"/><Relationship Id="rId32" Type="http://schemas.openxmlformats.org/officeDocument/2006/relationships/hyperlink" Target="https://doi.org/10.1038/s41598-021-89909-7"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doi.org/10.1038/s41598-021-89909-7" TargetMode="External"/><Relationship Id="rId28" Type="http://schemas.openxmlformats.org/officeDocument/2006/relationships/hyperlink" Target="https://www.army.mil/article/254316/army_tests_commercial_satellite_internet_in_pilot_program" TargetMode="External"/><Relationship Id="rId36" Type="http://schemas.openxmlformats.org/officeDocument/2006/relationships/theme" Target="theme/theme1.xm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www.nicholasotis.com/Publications/Otis_2021_FieldForecasting.pdf" TargetMode="External"/><Relationship Id="rId31" Type="http://schemas.openxmlformats.org/officeDocument/2006/relationships/hyperlink" Target="https://fas.org/2017/01/turning-a-blind-eye-towards-armageddon-u-s-leaders-reject-nuclear-winter-studies/" TargetMode="Externa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www.nature.com/articles/s41598-021-89909-7" TargetMode="External"/><Relationship Id="rId27" Type="http://schemas.openxmlformats.org/officeDocument/2006/relationships/hyperlink" Target="https://www.dw.com/en/ukraine-is-using-elon-musks-starlink-for-drone-strikes/a-61270528" TargetMode="External"/><Relationship Id="rId30" Type="http://schemas.openxmlformats.org/officeDocument/2006/relationships/hyperlink" Target="https://www.tandfonline.com/doi/full/10.1080/00963402.2021.2020988" TargetMode="External"/><Relationship Id="rId35" Type="http://schemas.openxmlformats.org/officeDocument/2006/relationships/fontTable" Target="fontTable.xml"/><Relationship Id="rId8" Type="http://schemas.openxmlformats.org/officeDocument/2006/relationships/hyperlink" Target="https://thebulletin.org/doomsday-clock/current-t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19636</Words>
  <Characters>111928</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14</cp:revision>
  <dcterms:created xsi:type="dcterms:W3CDTF">2022-04-20T18:04:00Z</dcterms:created>
  <dcterms:modified xsi:type="dcterms:W3CDTF">2022-04-23T23:42:00Z</dcterms:modified>
</cp:coreProperties>
</file>