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5402" w14:textId="77777777" w:rsidR="00905230" w:rsidRPr="00373754" w:rsidRDefault="00905230" w:rsidP="00770E7D">
      <w:pPr>
        <w:rPr>
          <w:sz w:val="16"/>
        </w:rPr>
      </w:pPr>
    </w:p>
    <w:p w14:paraId="01AF2EB7" w14:textId="47C796EB" w:rsidR="00E42E4C" w:rsidRPr="001D2E21" w:rsidRDefault="002A2044" w:rsidP="00420D5E">
      <w:pPr>
        <w:pStyle w:val="Heading1"/>
      </w:pPr>
      <w:r>
        <w:t>Bioterror</w:t>
      </w:r>
      <w:r w:rsidR="00AC5B1F">
        <w:t xml:space="preserve"> </w:t>
      </w:r>
      <w:r w:rsidR="00420D5E" w:rsidRPr="001D2E21">
        <w:t>1AC</w:t>
      </w:r>
      <w:r w:rsidR="00510E78">
        <w:t xml:space="preserve"> </w:t>
      </w:r>
      <w:r w:rsidR="00303344">
        <w:t>v</w:t>
      </w:r>
      <w:r w:rsidR="00A8721E">
        <w:t>1</w:t>
      </w:r>
      <w:r w:rsidR="000E4B22">
        <w:t>1</w:t>
      </w:r>
    </w:p>
    <w:p w14:paraId="1A7C4FDC" w14:textId="7709271D" w:rsidR="001C6E28" w:rsidRDefault="001C6E28" w:rsidP="00420D5E">
      <w:pPr>
        <w:pStyle w:val="Heading2"/>
      </w:pPr>
      <w:r>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xml:space="preserve">.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(e.g.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reaching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clear cut answer to many of these issues, but it is obvious that effective bioterrorism countermeasures must include expertise from a wide range of fields, including medical, security, military, and regulatory countermeasures. The expansion of large corporate biotech companies have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drugs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DE4CF7">
        <w:rPr>
          <w:rStyle w:val="Emphasis"/>
          <w:highlight w:val="green"/>
        </w:rPr>
        <w:t>for serious,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CF6A67">
        <w:rPr>
          <w:rStyle w:val="StyleUnderline"/>
        </w:rPr>
        <w:t>on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tracking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Department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epidemic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7E14E43F" w14:textId="565E1864" w:rsidR="009B304E" w:rsidRDefault="009B304E" w:rsidP="009B304E">
      <w:pPr>
        <w:pStyle w:val="Heading4"/>
        <w:rPr>
          <w:rFonts w:cs="Calibri"/>
        </w:rPr>
      </w:pPr>
      <w:r w:rsidRPr="00070DF5">
        <w:rPr>
          <w:rFonts w:cs="Calibri"/>
          <w:sz w:val="12"/>
          <w:szCs w:val="12"/>
        </w:rPr>
        <w:t>[Bar-Yam]</w:t>
      </w:r>
      <w:r>
        <w:rPr>
          <w:rFonts w:cs="Calibri"/>
          <w:sz w:val="12"/>
          <w:szCs w:val="12"/>
        </w:rPr>
        <w:t xml:space="preserve"> </w:t>
      </w:r>
      <w:r w:rsidR="004F3367">
        <w:rPr>
          <w:rFonts w:cs="Calibri"/>
        </w:rPr>
        <w:t>That</w:t>
      </w:r>
      <w:r w:rsidR="00D30095">
        <w:rPr>
          <w:rFonts w:cs="Calibri"/>
        </w:rPr>
        <w:t xml:space="preserve"> risks</w:t>
      </w:r>
      <w:r w:rsidRPr="00E15583">
        <w:rPr>
          <w:rFonts w:cs="Calibri"/>
        </w:rPr>
        <w:t xml:space="preserve">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r>
        <w:rPr>
          <w:rFonts w:cs="Calibri"/>
        </w:rPr>
        <w:t>.</w:t>
      </w:r>
    </w:p>
    <w:p w14:paraId="02854731" w14:textId="77777777" w:rsidR="009B304E" w:rsidRPr="005E5CE5" w:rsidRDefault="009B304E" w:rsidP="009B304E">
      <w:pPr>
        <w:rPr>
          <w:rStyle w:val="Style13ptBold"/>
        </w:rPr>
      </w:pPr>
      <w:r w:rsidRPr="005E5CE5">
        <w:rPr>
          <w:rStyle w:val="Style13ptBold"/>
        </w:rPr>
        <w:t>Bar-Yam 16</w:t>
      </w:r>
    </w:p>
    <w:p w14:paraId="4E08D17B" w14:textId="77777777" w:rsidR="009B304E" w:rsidRPr="00B44C90" w:rsidRDefault="009B304E" w:rsidP="009B304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3" w:history="1">
        <w:r w:rsidRPr="00B44C90">
          <w:rPr>
            <w:rStyle w:val="Hyperlink"/>
            <w:sz w:val="12"/>
            <w:szCs w:val="12"/>
          </w:rPr>
          <w:t>http://necsi.edu/research/social/pandemics/transition</w:t>
        </w:r>
      </w:hyperlink>
      <w:r w:rsidRPr="00B44C90">
        <w:rPr>
          <w:sz w:val="12"/>
          <w:szCs w:val="12"/>
        </w:rPr>
        <w:t xml:space="preserve"> -recut CAT</w:t>
      </w:r>
    </w:p>
    <w:p w14:paraId="43593BBE" w14:textId="77777777" w:rsidR="009B304E" w:rsidRPr="00B44C90" w:rsidRDefault="009B304E" w:rsidP="009B304E">
      <w:pPr>
        <w:rPr>
          <w:sz w:val="14"/>
        </w:rPr>
      </w:pPr>
      <w:r w:rsidRPr="00B44C90">
        <w:rPr>
          <w:sz w:val="14"/>
        </w:rPr>
        <w:t>[ FIGURE 1 OMITTED ]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OMITTED ] </w:t>
      </w:r>
      <w:r w:rsidRPr="00B44C90">
        <w:rPr>
          <w:u w:val="single"/>
        </w:rPr>
        <w:t xml:space="preserve">When we introduce long range 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r w:rsidRPr="00B44C90">
        <w:rPr>
          <w:u w:val="single"/>
        </w:rPr>
        <w:t xml:space="preserve">long range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the more transportation routes introduced into the model, the more higher aggressive pathogens are able to survive and spread</w:t>
      </w:r>
      <w:r w:rsidRPr="00B44C90">
        <w:rPr>
          <w:sz w:val="14"/>
        </w:rPr>
        <w:t xml:space="preserve">. [ FIGURE 3 OMITTED ]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5155D39F" w14:textId="77777777" w:rsidR="009B304E" w:rsidRPr="00B44C90" w:rsidRDefault="009B304E" w:rsidP="009B304E">
      <w:pPr>
        <w:rPr>
          <w:sz w:val="14"/>
        </w:rPr>
      </w:pPr>
      <w:r w:rsidRPr="00B44C90">
        <w:rPr>
          <w:noProof/>
        </w:rPr>
        <w:drawing>
          <wp:inline distT="0" distB="0" distL="0" distR="0" wp14:anchorId="1F1BECF9" wp14:editId="0D5EE194">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64A44E4E" w14:textId="77777777" w:rsidR="009B304E" w:rsidRPr="00B44C90" w:rsidRDefault="009B304E" w:rsidP="009B304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0E5CF47C" w14:textId="77777777" w:rsidR="009B304E" w:rsidRPr="00B44C90" w:rsidRDefault="009B304E" w:rsidP="009B304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133F21B" w14:textId="1680E01F" w:rsidR="00E15583" w:rsidRDefault="00D30095" w:rsidP="00D35E2E">
      <w:pPr>
        <w:pStyle w:val="Heading4"/>
      </w:pPr>
      <w:r>
        <w:t>And</w:t>
      </w:r>
      <w:r w:rsidR="009C1426">
        <w:t xml:space="preserve">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Lindsey;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LMICs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Health?—An Examination of the Patent Compulsory License and Bioterrorism.” Journal of Biosecurity, Biosafety, and Biodefense Law 4(1). June 2013. JDN.  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230DAE">
        <w:rPr>
          <w:rStyle w:val="Emphasis"/>
          <w:highlight w:val="green"/>
        </w:rPr>
        <w:t>is</w:t>
      </w:r>
      <w:r w:rsidRPr="00230DAE">
        <w:rPr>
          <w:rStyle w:val="Emphasis"/>
          <w:b w:val="0"/>
          <w:bCs/>
          <w:highlight w:val="green"/>
        </w:rPr>
        <w:t xml:space="preserve"> simply </w:t>
      </w:r>
      <w:r w:rsidRPr="00230DAE">
        <w:rPr>
          <w:rStyle w:val="Emphasis"/>
          <w:highlight w:val="green"/>
        </w:rPr>
        <w:t>unreasonable</w:t>
      </w:r>
      <w:r w:rsidRPr="00DE4CF7">
        <w:rPr>
          <w:rStyle w:val="StyleUnderline"/>
        </w:rPr>
        <w:t xml:space="preserve">. It appears, then, that the patent holder could bring suit for a better royalty determination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public at risk of</w:t>
      </w:r>
      <w:r w:rsidRPr="00043900">
        <w:rPr>
          <w:rStyle w:val="StyleUnderline"/>
        </w:rPr>
        <w:t xml:space="preserve"> </w:t>
      </w:r>
      <w:r w:rsidRPr="00DE4CF7">
        <w:rPr>
          <w:rStyle w:val="StyleUnderline"/>
        </w:rPr>
        <w:t xml:space="preserve">the effects of </w:t>
      </w:r>
      <w:r w:rsidRPr="00043900">
        <w:rPr>
          <w:rStyle w:val="StyleUnderline"/>
        </w:rPr>
        <w:t xml:space="preserve">a </w:t>
      </w:r>
      <w:r w:rsidRPr="00DE4CF7">
        <w:rPr>
          <w:rStyle w:val="StyleUnderline"/>
          <w:highlight w:val="green"/>
        </w:rPr>
        <w:t>bioterror</w:t>
      </w:r>
      <w:r w:rsidRPr="00DE4CF7">
        <w:rPr>
          <w:rStyle w:val="StyleUnderline"/>
        </w:rPr>
        <w:t xml:space="preserve">ism </w:t>
      </w:r>
      <w:r w:rsidRPr="00043900">
        <w:rPr>
          <w:rStyle w:val="StyleUnderline"/>
        </w:rPr>
        <w:t>attack.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Morten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5"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12322A">
        <w:rPr>
          <w:rStyle w:val="StyleUnderline"/>
          <w:highlight w:val="green"/>
        </w:rPr>
        <w:t xml:space="preserve">But 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4AA6BFF" w14:textId="40724A47" w:rsidR="00B7766E" w:rsidRPr="001D2E21" w:rsidRDefault="00B7766E" w:rsidP="00B7766E">
      <w:pPr>
        <w:pStyle w:val="Heading2"/>
      </w:pPr>
      <w:r w:rsidRPr="001D2E21">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Anthrax and smallpox are high-risk infectious diseases, and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component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cells, and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2)a.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The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The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bars on the graph indicates means of IL-15 expression levels from duplicated results in the same experiments, and the error bars stand for the standard error of the mean (***P &lt; 0.001). NS, not significant. One-way ANOVA was applied for analysis Full size image In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r w:rsidRPr="005578B3">
        <w:rPr>
          <w:sz w:val="2"/>
          <w:szCs w:val="2"/>
        </w:rPr>
        <w:t>a</w:t>
      </w:r>
      <w:proofErr w:type="spell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observed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were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(5-week old)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xml:space="preserve">)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min. Stained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The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xml:space="preserve">: What It Is, Why It Is Needed, and Its Accomplishments So Far. Clin Infect Dis. 2007;45(Supplement_1):S68–72.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placebo controlled phase II clinical study. Vaccine. 2019;37:3820–4.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2010;626:287–309.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Recombinant Vaccinia Virus Derived From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Morten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manufactur</w:t>
      </w:r>
      <w:r w:rsidRPr="00DE184A">
        <w:rPr>
          <w:rStyle w:val="StyleUnderline"/>
        </w:rPr>
        <w:t xml:space="preserve">ing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Health?—An Examination of the Patent Compulsory License and Bioterrorism.” Journal of Biosecurity, Biosafety, and Biodefense Law 4(1). June 2013. JDN.  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be used? </w:t>
      </w:r>
      <w:r w:rsidRPr="00DE4CF7">
        <w:rPr>
          <w:rFonts w:eastAsia="Calibri" w:cs="Times New Roman"/>
          <w:highlight w:val="green"/>
          <w:u w:val="single"/>
        </w:rPr>
        <w:t>No doubt</w:t>
      </w:r>
      <w:r w:rsidRPr="00DE4CF7">
        <w:rPr>
          <w:rFonts w:eastAsia="Calibri" w:cs="Times New Roman"/>
          <w:sz w:val="16"/>
        </w:rPr>
        <w:t xml:space="preserve">, it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public and the 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large scale bioterrorism attack. </w:t>
      </w:r>
      <w:r w:rsidRPr="00DE4CF7">
        <w:rPr>
          <w:rFonts w:eastAsia="Calibri" w:cs="Times New Roman"/>
          <w:highlight w:val="green"/>
          <w:u w:val="single"/>
        </w:rPr>
        <w:t>People rush out to buy, and</w:t>
      </w:r>
      <w:r w:rsidRPr="00DE4CF7">
        <w:rPr>
          <w:rFonts w:eastAsia="Calibri" w:cs="Times New Roman"/>
          <w:u w:val="single"/>
        </w:rPr>
        <w:t xml:space="preserve"> the government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would have provided</w:t>
      </w:r>
      <w:r w:rsidRPr="00DE4CF7">
        <w:rPr>
          <w:rFonts w:eastAsia="Calibri" w:cs="Times New Roman"/>
          <w:bCs/>
          <w:u w:val="single"/>
        </w:rPr>
        <w:t xml:space="preserve"> the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7555D7C3"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specific CL exemptions for pharmaceutical patents</w:t>
      </w:r>
      <w:r w:rsidR="00E92428">
        <w:t xml:space="preserve"> are key to distributing the necessary resources for bioterror countermeasures.</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00817858" w14:textId="257E1AC5" w:rsidR="00E92428" w:rsidRPr="00DE184A" w:rsidRDefault="00E92428" w:rsidP="00E92428">
      <w:pPr>
        <w:rPr>
          <w:sz w:val="16"/>
        </w:rPr>
      </w:pPr>
      <w:r w:rsidRPr="00DE184A">
        <w:rPr>
          <w:sz w:val="16"/>
        </w:rPr>
        <w:t xml:space="preserve">This Article proposes </w:t>
      </w:r>
      <w:r w:rsidRPr="0006740C">
        <w:rPr>
          <w:rStyle w:val="StyleUnderline"/>
        </w:rPr>
        <w:t xml:space="preserve">the </w:t>
      </w:r>
      <w:r w:rsidRPr="00DE4CF7">
        <w:rPr>
          <w:rStyle w:val="StyleUnderline"/>
          <w:highlight w:val="green"/>
        </w:rPr>
        <w:t>inclusion of a bioterror</w:t>
      </w:r>
      <w:r w:rsidRPr="006F3345">
        <w:rPr>
          <w:rStyle w:val="StyleUnderline"/>
        </w:rPr>
        <w:t>ism</w:t>
      </w:r>
      <w:r w:rsidRPr="0006740C">
        <w:rPr>
          <w:rStyle w:val="StyleUnderline"/>
        </w:rPr>
        <w:t>-</w:t>
      </w:r>
      <w:r w:rsidRPr="00DE4CF7">
        <w:rPr>
          <w:rStyle w:val="StyleUnderline"/>
          <w:highlight w:val="green"/>
        </w:rPr>
        <w:t>specific pharmaceutical patents appropriation clause</w:t>
      </w:r>
      <w:r w:rsidRPr="0006740C">
        <w:rPr>
          <w:rStyle w:val="StyleUnderline"/>
        </w:rPr>
        <w:t xml:space="preserve"> in national and </w:t>
      </w:r>
      <w:r w:rsidRPr="00DE4CF7">
        <w:rPr>
          <w:rStyle w:val="StyleUnderline"/>
        </w:rPr>
        <w:t xml:space="preserve">international patent regimes. </w:t>
      </w:r>
      <w:r w:rsidRPr="00DE4CF7">
        <w:rPr>
          <w:sz w:val="16"/>
        </w:rPr>
        <w:t xml:space="preserve">The thesis is predicated on </w:t>
      </w:r>
      <w:r w:rsidRPr="00DE4CF7">
        <w:rPr>
          <w:rStyle w:val="StyleUnderline"/>
        </w:rPr>
        <w:t>the impropriety of the current bureaucracy-prone access to medicines paradigms in international and national patent regimes for bioterrorism-induced</w:t>
      </w:r>
      <w:r w:rsidRPr="0006740C">
        <w:rPr>
          <w:rStyle w:val="StyleUnderline"/>
        </w:rPr>
        <w:t xml:space="preserve"> public health crises situations.</w:t>
      </w:r>
      <w:r w:rsidRPr="00DE184A">
        <w:rPr>
          <w:sz w:val="16"/>
        </w:rPr>
        <w:t xml:space="preserve"> Using highly plausible, worst-case scenarios of bioterrorism attacks</w:t>
      </w:r>
      <w:r w:rsidRPr="0006740C">
        <w:rPr>
          <w:rStyle w:val="StyleUnderline"/>
        </w:rPr>
        <w:t xml:space="preserve">, this Article argues that </w:t>
      </w:r>
      <w:r w:rsidRPr="00DE4CF7">
        <w:rPr>
          <w:rStyle w:val="StyleUnderline"/>
          <w:highlight w:val="green"/>
        </w:rPr>
        <w:t xml:space="preserve">vast swathes of the population could become </w:t>
      </w:r>
      <w:r w:rsidRPr="00DE4CF7">
        <w:rPr>
          <w:rStyle w:val="StyleUnderline"/>
        </w:rPr>
        <w:t xml:space="preserve">simultaneously </w:t>
      </w:r>
      <w:r w:rsidRPr="00DE4CF7">
        <w:rPr>
          <w:rStyle w:val="StyleUnderline"/>
          <w:highlight w:val="green"/>
        </w:rPr>
        <w:t xml:space="preserve">vulnerable to </w:t>
      </w:r>
      <w:r w:rsidRPr="00DE4CF7">
        <w:rPr>
          <w:rStyle w:val="StyleUnderline"/>
        </w:rPr>
        <w:t xml:space="preserve">deadly </w:t>
      </w:r>
      <w:r w:rsidRPr="00DE4CF7">
        <w:rPr>
          <w:rStyle w:val="StyleUnderline"/>
          <w:highlight w:val="green"/>
        </w:rPr>
        <w:t>bioweapons</w:t>
      </w:r>
      <w:r w:rsidRPr="0006740C">
        <w:rPr>
          <w:rStyle w:val="StyleUnderline"/>
        </w:rPr>
        <w:t xml:space="preserve">, </w:t>
      </w:r>
      <w:r w:rsidRPr="00DE4CF7">
        <w:rPr>
          <w:rStyle w:val="StyleUnderline"/>
        </w:rPr>
        <w:t>exposing millions of people to inevitable deaths, in override patents on crucial drugs or vaccines wi</w:t>
      </w:r>
      <w:r w:rsidRPr="0006740C">
        <w:rPr>
          <w:rStyle w:val="StyleUnderline"/>
        </w:rPr>
        <w:t>thout the consent of patent</w:t>
      </w:r>
      <w:r w:rsidRPr="00DE184A">
        <w:rPr>
          <w:sz w:val="16"/>
        </w:rPr>
        <w:t xml:space="preserve">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protection, but railing at the regime’s degeneration into a system which now “threatens to exhaust creative activity”). 428. Lawrence O. </w:t>
      </w:r>
      <w:proofErr w:type="spellStart"/>
      <w:r w:rsidRPr="00DE184A">
        <w:rPr>
          <w:sz w:val="16"/>
        </w:rPr>
        <w:t>Gostin</w:t>
      </w:r>
      <w:proofErr w:type="spellEnd"/>
      <w:r w:rsidRPr="00DE184A">
        <w:rPr>
          <w:sz w:val="16"/>
        </w:rPr>
        <w:t xml:space="preserve">, When Terrorism Threatens Health: How Far Are Limitations on Human Rights Justified?, 55 FLA. L. REV. 1105, 1168 (2003) 429. LAWRENCE O. GOSTIN, PUBLIC HEALTH LAW: POWER, DUTY, RESTRAINT 20 (2000). 430. George G. </w:t>
      </w:r>
      <w:proofErr w:type="spellStart"/>
      <w:r w:rsidRPr="00DE184A">
        <w:rPr>
          <w:sz w:val="16"/>
        </w:rPr>
        <w:t>Djolov</w:t>
      </w:r>
      <w:proofErr w:type="spellEnd"/>
      <w:r w:rsidRPr="00DE184A">
        <w:rPr>
          <w:sz w:val="16"/>
        </w:rPr>
        <w:t xml:space="preserve">, Patents, Price Controls, and Pharmaceuticals: Considerations from Political Economy, 6 J. WORLD INTELL. PROP. 611, 611-31 (2003); James </w:t>
      </w:r>
      <w:proofErr w:type="spellStart"/>
      <w:r w:rsidRPr="00DE184A">
        <w:rPr>
          <w:sz w:val="16"/>
        </w:rPr>
        <w:t>Thuo</w:t>
      </w:r>
      <w:proofErr w:type="spellEnd"/>
      <w:r w:rsidRPr="00DE184A">
        <w:rPr>
          <w:sz w:val="16"/>
        </w:rPr>
        <w:t xml:space="preserve"> </w:t>
      </w:r>
      <w:proofErr w:type="spellStart"/>
      <w:r w:rsidRPr="00DE184A">
        <w:rPr>
          <w:sz w:val="16"/>
        </w:rPr>
        <w:t>Gathii</w:t>
      </w:r>
      <w:proofErr w:type="spellEnd"/>
      <w:r w:rsidRPr="00DE184A">
        <w:rPr>
          <w:sz w:val="16"/>
        </w:rPr>
        <w:t xml:space="preserve">, Rights, Patents, Markets and the Global Aids Pandemic, 14 FLA. J. INT’L L. 261, 263-351 (2002); </w:t>
      </w:r>
      <w:proofErr w:type="spellStart"/>
      <w:r w:rsidRPr="00DE184A">
        <w:rPr>
          <w:sz w:val="16"/>
        </w:rPr>
        <w:t>Faizel</w:t>
      </w:r>
      <w:proofErr w:type="spellEnd"/>
      <w:r w:rsidRPr="00DE184A">
        <w:rPr>
          <w:sz w:val="16"/>
        </w:rPr>
        <w:t xml:space="preserve"> Ismail, The Doha Declaration on Trips and Public Health and the Negotiations in the WTO on Paragraph 6: Why PhRMA Needs to Join the Consensus!, 6 J. WORLD INTELL. PROP. 393, 393-401 (2003); Nadia Natasha </w:t>
      </w:r>
      <w:proofErr w:type="spellStart"/>
      <w:r w:rsidRPr="00DE184A">
        <w:rPr>
          <w:sz w:val="16"/>
        </w:rPr>
        <w:t>Seeratan</w:t>
      </w:r>
      <w:proofErr w:type="spellEnd"/>
      <w:r w:rsidRPr="00DE184A">
        <w:rPr>
          <w:sz w:val="16"/>
        </w:rPr>
        <w:t xml:space="preserve">, The Negative Impact of Intellectual Property Patents Rights on Developing Countries: An Examination of the Indian Pharmaceutical Industry, 3 SCHOLAR 339, 339 (2001). No. 2] AGAINST THE PLAGUE 343 holders, thus avoiding lengthy </w:t>
      </w:r>
      <w:proofErr w:type="spellStart"/>
      <w:r w:rsidRPr="00DE184A">
        <w:rPr>
          <w:sz w:val="16"/>
        </w:rPr>
        <w:t>ight</w:t>
      </w:r>
      <w:proofErr w:type="spellEnd"/>
      <w:r w:rsidRPr="00DE184A">
        <w:rPr>
          <w:sz w:val="16"/>
        </w:rPr>
        <w:t xml:space="preserve"> be destined for failure. Moreover, </w:t>
      </w:r>
      <w:r w:rsidRPr="0006740C">
        <w:rPr>
          <w:rStyle w:val="StyleUnderline"/>
        </w:rPr>
        <w:t xml:space="preserve">this Article deems </w:t>
      </w:r>
      <w:r w:rsidRPr="00DE4CF7">
        <w:rPr>
          <w:rStyle w:val="StyleUnderline"/>
          <w:highlight w:val="green"/>
        </w:rPr>
        <w:t xml:space="preserve">a bioterrorism-specific appropriation clause </w:t>
      </w:r>
      <w:r w:rsidRPr="006E1E73">
        <w:rPr>
          <w:rStyle w:val="StyleUnderline"/>
        </w:rPr>
        <w:t xml:space="preserve">in global negotiations that patents regimes expedient, in light of the pervasive and dominant </w:t>
      </w:r>
      <w:proofErr w:type="spellStart"/>
      <w:r w:rsidRPr="006E1E73">
        <w:rPr>
          <w:rStyle w:val="StyleUnderline"/>
        </w:rPr>
        <w:t>pro</w:t>
      </w:r>
      <w:r w:rsidRPr="0006740C">
        <w:rPr>
          <w:rStyle w:val="StyleUnderline"/>
        </w:rPr>
        <w:t>patents</w:t>
      </w:r>
      <w:proofErr w:type="spellEnd"/>
      <w:r w:rsidRPr="0006740C">
        <w:rPr>
          <w:rStyle w:val="StyleUnderline"/>
        </w:rPr>
        <w:t xml:space="preserve"> forces intent on a stronger intellectual property regime. </w:t>
      </w:r>
      <w:r w:rsidRPr="00DE184A">
        <w:rPr>
          <w:sz w:val="16"/>
        </w:rPr>
        <w:t xml:space="preserve">This regime rationalizes patent protection solely on utilitarianism, and </w:t>
      </w:r>
      <w:r w:rsidRPr="00DE4CF7">
        <w:rPr>
          <w:rStyle w:val="StyleUnderline"/>
          <w:highlight w:val="green"/>
        </w:rPr>
        <w:t>would cast attempts at proportionality</w:t>
      </w:r>
      <w:r w:rsidRPr="0006740C">
        <w:rPr>
          <w:rStyle w:val="StyleUnderline"/>
        </w:rPr>
        <w:t xml:space="preserve"> of rights as campaigns </w:t>
      </w:r>
      <w:r w:rsidRPr="00DE4CF7">
        <w:rPr>
          <w:rStyle w:val="StyleUnderline"/>
          <w:highlight w:val="green"/>
        </w:rPr>
        <w:t>against innovation</w:t>
      </w:r>
      <w:r w:rsidRPr="0006740C">
        <w:rPr>
          <w:rStyle w:val="StyleUnderline"/>
        </w:rPr>
        <w:t xml:space="preserve">. A fortiori, absent a bioterrorism-specific pharmaceutical patent appropriation clause, </w:t>
      </w:r>
      <w:r w:rsidRPr="00DE4CF7">
        <w:rPr>
          <w:rStyle w:val="StyleUnderline"/>
          <w:highlight w:val="green"/>
        </w:rPr>
        <w:t>authorities could be bogged down by political and economic expediencies</w:t>
      </w:r>
      <w:r w:rsidRPr="0006740C">
        <w:rPr>
          <w:rStyle w:val="StyleUnderline"/>
        </w:rPr>
        <w:t xml:space="preserve"> of pharmaceutical patent appropriation, fostering indecision </w:t>
      </w:r>
      <w:r w:rsidRPr="00797589">
        <w:rPr>
          <w:rStyle w:val="StyleUnderline"/>
        </w:rPr>
        <w:t xml:space="preserve">that would </w:t>
      </w:r>
      <w:r w:rsidRPr="00DE4CF7">
        <w:rPr>
          <w:rStyle w:val="StyleUnderline"/>
          <w:highlight w:val="green"/>
        </w:rPr>
        <w:t>make securing critical medicines in</w:t>
      </w:r>
      <w:r w:rsidRPr="0006740C">
        <w:rPr>
          <w:rStyle w:val="StyleUnderline"/>
        </w:rPr>
        <w:t xml:space="preserve"> bioterrorism </w:t>
      </w:r>
      <w:r w:rsidRPr="00DE4CF7">
        <w:rPr>
          <w:rStyle w:val="StyleUnderline"/>
          <w:highlight w:val="green"/>
        </w:rPr>
        <w:t>pandemics situations</w:t>
      </w:r>
      <w:r w:rsidRPr="006F3345">
        <w:rPr>
          <w:rStyle w:val="StyleUnderline"/>
        </w:rPr>
        <w:t xml:space="preserve"> nigh </w:t>
      </w:r>
      <w:r w:rsidRPr="00DE4CF7">
        <w:rPr>
          <w:rStyle w:val="StyleUnderline"/>
          <w:highlight w:val="green"/>
        </w:rPr>
        <w:t>impossible</w:t>
      </w:r>
      <w:r w:rsidRPr="00DE184A">
        <w:rPr>
          <w:sz w:val="16"/>
        </w:rPr>
        <w:t xml:space="preserve">. This Article justifies the case for </w:t>
      </w:r>
      <w:r w:rsidRPr="0006740C">
        <w:rPr>
          <w:rStyle w:val="StyleUnderline"/>
        </w:rPr>
        <w:t xml:space="preserve">bioterrorism-specific pharmaceutical patents </w:t>
      </w:r>
      <w:r w:rsidRPr="00DE4CF7">
        <w:rPr>
          <w:rStyle w:val="StyleUnderline"/>
          <w:highlight w:val="green"/>
        </w:rPr>
        <w:t>appropriation on ethical grounds, overriding public interests, and fundamental rights to health and life</w:t>
      </w:r>
      <w:r w:rsidRPr="00DE4CF7">
        <w:rPr>
          <w:sz w:val="16"/>
          <w:highlight w:val="green"/>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(suggesting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two controversial issues-the amount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(reasoning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patent on Cipro because the amount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2(a)(b) (enumerating nine factors that the Secretary of HHS may take into account</w:t>
      </w:r>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(indicating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(presenting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(stating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(noting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Member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 xml:space="preserve">on developing countries.262.  </w:t>
      </w:r>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Much?,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twelve percent of revenue). 288. See Albright, supra note 212, at 110 (acknowledging that the United States must assist foreign nations that are victimized or threatened by terror, and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(stating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would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functions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encounters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Thus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amygdala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to increase 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58EAB4CE" w14:textId="0793413D" w:rsidR="0029422C" w:rsidRDefault="0029422C" w:rsidP="0029422C">
      <w:pPr>
        <w:pStyle w:val="Heading2"/>
      </w:pPr>
      <w:r>
        <w:t>U/V</w:t>
      </w:r>
    </w:p>
    <w:p w14:paraId="0EDBF03F" w14:textId="256F4EB1" w:rsidR="005877C3" w:rsidRPr="00B7766E" w:rsidRDefault="00B7766E" w:rsidP="00B7766E">
      <w:pPr>
        <w:pStyle w:val="Heading4"/>
      </w:pPr>
      <w:r>
        <w:t xml:space="preserve">1] </w:t>
      </w:r>
      <w:r w:rsidR="003549C3" w:rsidRPr="003549C3">
        <w:rPr>
          <w:b w:val="0"/>
          <w:bCs/>
          <w:sz w:val="12"/>
          <w:szCs w:val="12"/>
        </w:rPr>
        <w:t xml:space="preserve">[Shah] </w:t>
      </w:r>
      <w:r w:rsidR="005877C3">
        <w:t>We don’t take a stance – but if they do, permissibility and presumption affirm</w:t>
      </w:r>
      <w:r>
        <w:t xml:space="preserve"> - a</w:t>
      </w:r>
      <w:r w:rsidR="005877C3">
        <w:rPr>
          <w:rFonts w:cs="Calibri"/>
        </w:rPr>
        <w:t>ffirming is harder so a</w:t>
      </w:r>
      <w:r w:rsidR="005877C3" w:rsidRPr="008E4C26">
        <w:rPr>
          <w:rFonts w:cs="Calibri"/>
        </w:rPr>
        <w:t xml:space="preserve">ll theory arguments have an implicit aff flex standard because of huge side bias – outweighs neg fairness arguments unless they prove how it </w:t>
      </w:r>
      <w:r w:rsidR="005877C3" w:rsidRPr="0072617E">
        <w:rPr>
          <w:rFonts w:cs="Calibri"/>
          <w:u w:val="single"/>
        </w:rPr>
        <w:t>uniquely</w:t>
      </w:r>
      <w:r w:rsidR="005877C3" w:rsidRPr="008E4C26">
        <w:rPr>
          <w:rFonts w:cs="Calibri"/>
        </w:rPr>
        <w:t xml:space="preserve"> outweighs the disparity since it’s structural.</w:t>
      </w:r>
    </w:p>
    <w:p w14:paraId="269C54AA" w14:textId="77777777" w:rsidR="005877C3" w:rsidRPr="00432766" w:rsidRDefault="005877C3" w:rsidP="005877C3">
      <w:pPr>
        <w:rPr>
          <w:rStyle w:val="Emphasis"/>
          <w:b w:val="0"/>
          <w:iCs w:val="0"/>
        </w:rPr>
      </w:pPr>
      <w:r>
        <w:rPr>
          <w:rStyle w:val="Style13ptBold"/>
        </w:rPr>
        <w:t xml:space="preserve">Shah 19 </w:t>
      </w:r>
      <w:proofErr w:type="spellStart"/>
      <w:r w:rsidRPr="00432766">
        <w:rPr>
          <w:sz w:val="16"/>
          <w:szCs w:val="16"/>
        </w:rPr>
        <w:t>Sachin</w:t>
      </w:r>
      <w:proofErr w:type="spellEnd"/>
      <w:r w:rsidRPr="00432766">
        <w:rPr>
          <w:sz w:val="16"/>
          <w:szCs w:val="16"/>
        </w:rPr>
        <w:t xml:space="preserve"> Shah, Grant Brown, 11-22-2019, "A Statistical Analysis of Side-Bias on the 2019 November-December Lincoln Douglas Debate Topic by </w:t>
      </w:r>
      <w:proofErr w:type="spellStart"/>
      <w:r w:rsidRPr="00432766">
        <w:rPr>
          <w:sz w:val="16"/>
          <w:szCs w:val="16"/>
        </w:rPr>
        <w:t>Sachin</w:t>
      </w:r>
      <w:proofErr w:type="spellEnd"/>
      <w:r w:rsidRPr="00432766">
        <w:rPr>
          <w:sz w:val="16"/>
          <w:szCs w:val="16"/>
        </w:rPr>
        <w:t xml:space="preserve"> Shah," NSD Update, </w:t>
      </w:r>
      <w:hyperlink r:id="rId21" w:history="1">
        <w:r w:rsidRPr="00432766">
          <w:rPr>
            <w:rStyle w:val="Hyperlink"/>
            <w:sz w:val="16"/>
            <w:szCs w:val="16"/>
          </w:rPr>
          <w:t>http://nsdupdate.com/2019/a-statistical-analysis-of-side-bias-on-the-2019-november-december-lincoln-douglas-debate-topic-by-sachin-shah/?fbclid=IwAR2dksMH6SK-_CQmFOUZz7_1Ay1HbX6oBDcjnKD4RipVozgkNSkfk1Ye3E4</w:t>
        </w:r>
      </w:hyperlink>
      <w:r w:rsidRPr="00432766">
        <w:rPr>
          <w:sz w:val="16"/>
          <w:szCs w:val="16"/>
        </w:rPr>
        <w:t xml:space="preserve"> SJCP//JG</w:t>
      </w:r>
    </w:p>
    <w:p w14:paraId="5668C4F0" w14:textId="77777777" w:rsidR="005877C3" w:rsidRDefault="005877C3" w:rsidP="005877C3">
      <w:pPr>
        <w:rPr>
          <w:rStyle w:val="Emphasis"/>
        </w:rPr>
      </w:pPr>
      <w:r w:rsidRPr="003F41A4">
        <w:rPr>
          <w:rStyle w:val="Emphasis"/>
        </w:rPr>
        <w:t xml:space="preserve">There is </w:t>
      </w:r>
      <w:r w:rsidRPr="00BC59E7">
        <w:rPr>
          <w:rStyle w:val="Emphasis"/>
        </w:rPr>
        <w:t xml:space="preserve">sufficient </w:t>
      </w:r>
      <w:r w:rsidRPr="00DE4CF7">
        <w:rPr>
          <w:rStyle w:val="Emphasis"/>
          <w:highlight w:val="green"/>
        </w:rPr>
        <w:t>evidence</w:t>
      </w:r>
      <w:r w:rsidRPr="003F41A4">
        <w:rPr>
          <w:rStyle w:val="Emphasis"/>
        </w:rPr>
        <w:t xml:space="preserve"> that the negative is able to overcome this skew more often than the affirmative. This further </w:t>
      </w:r>
      <w:r w:rsidRPr="00DE4CF7">
        <w:rPr>
          <w:rStyle w:val="Emphasis"/>
          <w:highlight w:val="green"/>
        </w:rPr>
        <w:t>indicates</w:t>
      </w:r>
      <w:r w:rsidRPr="003F41A4">
        <w:rPr>
          <w:rStyle w:val="Emphasis"/>
        </w:rPr>
        <w:t xml:space="preserve"> </w:t>
      </w:r>
      <w:r w:rsidRPr="00DE4CF7">
        <w:rPr>
          <w:rStyle w:val="Emphasis"/>
          <w:highlight w:val="green"/>
        </w:rPr>
        <w:t>neg</w:t>
      </w:r>
      <w:r w:rsidRPr="00432766">
        <w:rPr>
          <w:rStyle w:val="Emphasis"/>
        </w:rPr>
        <w:t>ative</w:t>
      </w:r>
      <w:r w:rsidRPr="00DE4CF7">
        <w:rPr>
          <w:rStyle w:val="Emphasis"/>
          <w:highlight w:val="green"/>
        </w:rPr>
        <w:t xml:space="preserve"> side bias</w:t>
      </w:r>
      <w:r w:rsidRPr="003F41A4">
        <w:rPr>
          <w:rStyle w:val="Emphasis"/>
        </w:rPr>
        <w:t>.</w:t>
      </w:r>
      <w:r>
        <w:rPr>
          <w:rStyle w:val="Emphasis"/>
        </w:rPr>
        <w:t xml:space="preserve"> </w:t>
      </w:r>
      <w:r w:rsidRPr="003F41A4">
        <w:rPr>
          <w:sz w:val="14"/>
        </w:rPr>
        <w:t xml:space="preserve">Conclusion </w:t>
      </w:r>
      <w:r w:rsidRPr="003F41A4">
        <w:rPr>
          <w:rStyle w:val="Emphasis"/>
        </w:rPr>
        <w:t xml:space="preserve">This analysis is statistically rigorous and relevant in several aspects: (A) The p-value is less than the alpha. (B) The data is on the </w:t>
      </w:r>
      <w:r w:rsidRPr="00BC59E7">
        <w:rPr>
          <w:rStyle w:val="Emphasis"/>
        </w:rPr>
        <w:t>current</w:t>
      </w:r>
      <w:r w:rsidRPr="003F41A4">
        <w:rPr>
          <w:rStyle w:val="Emphasis"/>
        </w:rPr>
        <w:t xml:space="preserve"> November-December </w:t>
      </w:r>
      <w:r w:rsidRPr="00BC59E7">
        <w:rPr>
          <w:rStyle w:val="Emphasis"/>
        </w:rPr>
        <w:t>topic</w:t>
      </w:r>
      <w:r w:rsidRPr="003F41A4">
        <w:rPr>
          <w:rStyle w:val="Emphasis"/>
        </w:rPr>
        <w:t xml:space="preserve">, meaning it’s relevant to rounds these months [4]. (C) The data represents a diversity of debating and judging styles across the country. (D) This analysis </w:t>
      </w:r>
      <w:r w:rsidRPr="00DE4CF7">
        <w:rPr>
          <w:rStyle w:val="Emphasis"/>
          <w:highlight w:val="green"/>
        </w:rPr>
        <w:t>accounts for disparities in</w:t>
      </w:r>
      <w:r w:rsidRPr="003F41A4">
        <w:rPr>
          <w:rStyle w:val="Emphasis"/>
        </w:rPr>
        <w:t xml:space="preserve"> debating </w:t>
      </w:r>
      <w:r w:rsidRPr="00DE4CF7">
        <w:rPr>
          <w:rStyle w:val="Emphasis"/>
          <w:highlight w:val="green"/>
        </w:rPr>
        <w:t>skill</w:t>
      </w:r>
      <w:r w:rsidRPr="003F41A4">
        <w:rPr>
          <w:rStyle w:val="Emphasis"/>
        </w:rPr>
        <w:t xml:space="preserve"> level. (E) Multiple tests confirm the results.</w:t>
      </w:r>
      <w:r>
        <w:rPr>
          <w:rStyle w:val="Emphasis"/>
        </w:rPr>
        <w:t xml:space="preserve"> </w:t>
      </w:r>
      <w:r w:rsidRPr="003F41A4">
        <w:rPr>
          <w:sz w:val="14"/>
        </w:rPr>
        <w:t>As a final note, it is also interesting to look at the trend over multiple topics. In the rounds from 117 TOC bid-distributing tournaments (September 2017 – 2019 YTD), the negative won 52.88% of ballots (</w:t>
      </w:r>
      <w:r w:rsidRPr="00DE4CF7">
        <w:rPr>
          <w:rStyle w:val="Emphasis"/>
          <w:highlight w:val="green"/>
        </w:rPr>
        <w:t>p-value &lt; 0.0001</w:t>
      </w:r>
      <w:r w:rsidRPr="003F41A4">
        <w:rPr>
          <w:sz w:val="14"/>
        </w:rPr>
        <w:t xml:space="preserve">). </w:t>
      </w:r>
      <w:r w:rsidRPr="003F41A4">
        <w:rPr>
          <w:rStyle w:val="Emphasis"/>
        </w:rPr>
        <w:t xml:space="preserve">This suggests the bias might be </w:t>
      </w:r>
      <w:r w:rsidRPr="00DE4CF7">
        <w:rPr>
          <w:rStyle w:val="Emphasis"/>
          <w:highlight w:val="green"/>
        </w:rPr>
        <w:t>structural</w:t>
      </w:r>
      <w:r w:rsidRPr="003F41A4">
        <w:rPr>
          <w:rStyle w:val="Emphasis"/>
        </w:rPr>
        <w:t xml:space="preserve">, and not topic specific, as this data </w:t>
      </w:r>
      <w:r w:rsidRPr="00DE4CF7">
        <w:rPr>
          <w:rStyle w:val="Emphasis"/>
          <w:highlight w:val="green"/>
        </w:rPr>
        <w:t>spans</w:t>
      </w:r>
      <w:r w:rsidRPr="003F41A4">
        <w:rPr>
          <w:rStyle w:val="Emphasis"/>
        </w:rPr>
        <w:t xml:space="preserve"> </w:t>
      </w:r>
      <w:r w:rsidRPr="00DE4CF7">
        <w:rPr>
          <w:rStyle w:val="Emphasis"/>
          <w:highlight w:val="green"/>
        </w:rPr>
        <w:t>eight</w:t>
      </w:r>
      <w:r w:rsidRPr="003F41A4">
        <w:rPr>
          <w:rStyle w:val="Emphasis"/>
        </w:rPr>
        <w:t xml:space="preserve"> </w:t>
      </w:r>
      <w:r w:rsidRPr="00DE4CF7">
        <w:rPr>
          <w:rStyle w:val="Emphasis"/>
          <w:highlight w:val="green"/>
        </w:rPr>
        <w:t>different topics</w:t>
      </w:r>
      <w:r w:rsidRPr="003F41A4">
        <w:rPr>
          <w:rStyle w:val="Emphasis"/>
        </w:rPr>
        <w:t xml:space="preserve"> [5].</w:t>
      </w:r>
      <w:r>
        <w:rPr>
          <w:rStyle w:val="Emphasis"/>
        </w:rPr>
        <w:t xml:space="preserve"> </w:t>
      </w:r>
      <w:r w:rsidRPr="00AC3E1D">
        <w:rPr>
          <w:rStyle w:val="Emphasis"/>
        </w:rPr>
        <w:t>Therefore, this analysis confirms that affirming is in fact harder again on the 2019 November-December topic. So, once again, don’t lose the flip!</w:t>
      </w:r>
    </w:p>
    <w:p w14:paraId="373A728A" w14:textId="1C63B36F" w:rsidR="005877C3" w:rsidRPr="005877C3" w:rsidRDefault="005877C3" w:rsidP="005877C3">
      <w:pPr>
        <w:pStyle w:val="Heading4"/>
      </w:pPr>
      <w:r>
        <w:t xml:space="preserve">Prefer our </w:t>
      </w:r>
      <w:proofErr w:type="spellStart"/>
      <w:r>
        <w:t>ev</w:t>
      </w:r>
      <w:proofErr w:type="spellEnd"/>
      <w:r>
        <w:t xml:space="preserve"> with super-low p-values to their analytics</w:t>
      </w:r>
      <w:r w:rsidR="00B7766E">
        <w:t>.</w:t>
      </w:r>
    </w:p>
    <w:p w14:paraId="18E56BE9"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2] </w:t>
      </w:r>
      <w:r w:rsidR="0064643C" w:rsidRPr="00B7766E">
        <w:rPr>
          <w:rFonts w:asciiTheme="majorHAnsi" w:eastAsia="MS Gothic" w:hAnsiTheme="majorHAnsi" w:cstheme="majorHAnsi"/>
          <w:b/>
          <w:iCs/>
          <w:sz w:val="26"/>
        </w:rPr>
        <w:t>I get RVIs on theory</w:t>
      </w:r>
      <w:r>
        <w:rPr>
          <w:rFonts w:asciiTheme="majorHAnsi" w:eastAsia="MS Gothic" w:hAnsiTheme="majorHAnsi" w:cstheme="majorHAnsi"/>
          <w:b/>
          <w:iCs/>
          <w:sz w:val="26"/>
        </w:rPr>
        <w:t xml:space="preserve"> - ot</w:t>
      </w:r>
      <w:r w:rsidR="00B25C72" w:rsidRPr="0064643C">
        <w:rPr>
          <w:rFonts w:asciiTheme="majorHAnsi" w:eastAsia="MS Gothic" w:hAnsiTheme="majorHAnsi" w:cstheme="majorHAnsi"/>
          <w:b/>
          <w:iCs/>
          <w:sz w:val="26"/>
        </w:rPr>
        <w:t>herwise it’s a NIB</w:t>
      </w:r>
      <w:r>
        <w:rPr>
          <w:rFonts w:asciiTheme="majorHAnsi" w:eastAsia="MS Gothic" w:hAnsiTheme="majorHAnsi" w:cstheme="majorHAnsi"/>
          <w:b/>
          <w:iCs/>
          <w:sz w:val="26"/>
        </w:rPr>
        <w:t>, and t</w:t>
      </w:r>
      <w:r w:rsidR="0064643C" w:rsidRPr="0064643C">
        <w:rPr>
          <w:rFonts w:asciiTheme="majorHAnsi" w:eastAsia="MS Gothic" w:hAnsiTheme="majorHAnsi" w:cstheme="majorHAnsi"/>
          <w:b/>
          <w:iCs/>
          <w:sz w:val="26"/>
        </w:rPr>
        <w:t>ime skew</w:t>
      </w:r>
      <w:r w:rsidR="00B25C72">
        <w:rPr>
          <w:rFonts w:asciiTheme="majorHAnsi" w:eastAsia="MS Gothic" w:hAnsiTheme="majorHAnsi" w:cstheme="majorHAnsi"/>
          <w:b/>
          <w:iCs/>
          <w:sz w:val="26"/>
        </w:rPr>
        <w:t xml:space="preserve"> amplifies any abuse including ableism – I’m always behind on prep because of cognitive disabilities and I read and process slowly</w:t>
      </w:r>
    </w:p>
    <w:p w14:paraId="24DC8DF4"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3] </w:t>
      </w:r>
      <w:r w:rsidR="0064643C" w:rsidRPr="003A1B19">
        <w:rPr>
          <w:rFonts w:asciiTheme="majorHAnsi" w:eastAsia="MS Gothic" w:hAnsiTheme="majorHAnsi" w:cstheme="majorHAnsi"/>
          <w:b/>
          <w:iCs/>
          <w:sz w:val="26"/>
        </w:rPr>
        <w:t>I-meets justify RVIs</w:t>
      </w:r>
      <w:r>
        <w:rPr>
          <w:rFonts w:asciiTheme="majorHAnsi" w:eastAsia="MS Gothic" w:hAnsiTheme="majorHAnsi" w:cstheme="majorHAnsi"/>
          <w:b/>
          <w:iCs/>
          <w:sz w:val="26"/>
        </w:rPr>
        <w:t xml:space="preserve"> – deters future abuse</w:t>
      </w:r>
    </w:p>
    <w:p w14:paraId="12CE8CE9" w14:textId="04B260F1" w:rsidR="00102943"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4] </w:t>
      </w:r>
      <w:r w:rsidR="0064643C" w:rsidRPr="0064643C">
        <w:rPr>
          <w:rFonts w:asciiTheme="majorHAnsi" w:eastAsia="MS Gothic" w:hAnsiTheme="majorHAnsi" w:cstheme="majorHAnsi"/>
          <w:b/>
          <w:iCs/>
          <w:sz w:val="26"/>
        </w:rPr>
        <w:t>CX checks</w:t>
      </w:r>
    </w:p>
    <w:p w14:paraId="00D94D9A" w14:textId="5A05F6C8" w:rsidR="009503F5" w:rsidRDefault="009503F5" w:rsidP="009503F5">
      <w:pPr>
        <w:pStyle w:val="Heading4"/>
      </w:pPr>
      <w:r>
        <w:t xml:space="preserve">5] </w:t>
      </w:r>
      <w:r>
        <w:rPr>
          <w:u w:val="single"/>
        </w:rPr>
        <w:t>N</w:t>
      </w:r>
      <w:r w:rsidRPr="00DA3046">
        <w:rPr>
          <w:u w:val="single"/>
        </w:rPr>
        <w:t>o innovation loss</w:t>
      </w:r>
      <w:r>
        <w:t>.</w:t>
      </w:r>
    </w:p>
    <w:p w14:paraId="2B82C332" w14:textId="77777777" w:rsidR="009503F5" w:rsidRPr="00DA3046" w:rsidRDefault="009503F5" w:rsidP="009503F5">
      <w:pPr>
        <w:rPr>
          <w:rStyle w:val="Style13ptBold"/>
        </w:rPr>
      </w:pPr>
      <w:r w:rsidRPr="00DA3046">
        <w:rPr>
          <w:rStyle w:val="Style13ptBold"/>
        </w:rPr>
        <w:t>Son 19</w:t>
      </w:r>
    </w:p>
    <w:p w14:paraId="52871C1F" w14:textId="77777777" w:rsidR="009503F5" w:rsidRPr="00B44C90" w:rsidRDefault="009503F5" w:rsidP="009503F5">
      <w:pPr>
        <w:rPr>
          <w:sz w:val="12"/>
          <w:szCs w:val="12"/>
        </w:rPr>
      </w:pPr>
      <w:r w:rsidRPr="00B44C90">
        <w:rPr>
          <w:sz w:val="12"/>
          <w:szCs w:val="12"/>
        </w:rPr>
        <w:t xml:space="preserve">Kyung-Bok Son (College of Pharmacy, </w:t>
      </w:r>
      <w:proofErr w:type="spellStart"/>
      <w:r w:rsidRPr="00B44C90">
        <w:rPr>
          <w:sz w:val="12"/>
          <w:szCs w:val="12"/>
        </w:rPr>
        <w:t>Ewha</w:t>
      </w:r>
      <w:proofErr w:type="spellEnd"/>
      <w:r w:rsidRPr="00B44C90">
        <w:rPr>
          <w:sz w:val="12"/>
          <w:szCs w:val="12"/>
        </w:rPr>
        <w:t xml:space="preserve"> </w:t>
      </w:r>
      <w:proofErr w:type="spellStart"/>
      <w:r w:rsidRPr="00B44C90">
        <w:rPr>
          <w:sz w:val="12"/>
          <w:szCs w:val="12"/>
        </w:rPr>
        <w:t>Womans</w:t>
      </w:r>
      <w:proofErr w:type="spellEnd"/>
      <w:r w:rsidRPr="00B44C90">
        <w:rPr>
          <w:sz w:val="12"/>
          <w:szCs w:val="12"/>
        </w:rPr>
        <w:t xml:space="preserve"> University). “Importance of the intellectual property system in attempting compulsory licensing of pharmaceuticals: a cross-sectional analysis.” Globalization and Health volume 15, Article number: 42 (2019). JDN. </w:t>
      </w:r>
      <w:hyperlink r:id="rId22" w:history="1">
        <w:r w:rsidRPr="00B44C90">
          <w:rPr>
            <w:rStyle w:val="Hyperlink"/>
            <w:sz w:val="12"/>
            <w:szCs w:val="12"/>
          </w:rPr>
          <w:t>https://globalizationandhealth.biomedcentral.com/articles/10.1186/s12992-019-0485-7-recut</w:t>
        </w:r>
      </w:hyperlink>
      <w:r w:rsidRPr="00B44C90">
        <w:rPr>
          <w:rStyle w:val="Hyperlink"/>
          <w:sz w:val="12"/>
          <w:szCs w:val="12"/>
        </w:rPr>
        <w:t xml:space="preserve"> CAT</w:t>
      </w:r>
    </w:p>
    <w:p w14:paraId="300EF70D" w14:textId="45A8A254" w:rsidR="00DC2D0C" w:rsidRDefault="009503F5" w:rsidP="009503F5">
      <w:pPr>
        <w:rPr>
          <w:sz w:val="14"/>
        </w:rPr>
      </w:pPr>
      <w:r w:rsidRPr="00B44C90">
        <w:rPr>
          <w:sz w:val="14"/>
        </w:rPr>
        <w:t xml:space="preserve">Methods </w:t>
      </w:r>
      <w:r w:rsidRPr="00635330">
        <w:rPr>
          <w:rStyle w:val="StyleUnderline"/>
        </w:rPr>
        <w:t xml:space="preserve">We used </w:t>
      </w:r>
      <w:r w:rsidRPr="00B37399">
        <w:rPr>
          <w:rStyle w:val="StyleUnderline"/>
          <w:highlight w:val="green"/>
        </w:rPr>
        <w:t xml:space="preserve">a </w:t>
      </w:r>
      <w:r w:rsidRPr="00B37399">
        <w:rPr>
          <w:rStyle w:val="Emphasis"/>
          <w:highlight w:val="green"/>
        </w:rPr>
        <w:t>multivariate logistic model</w:t>
      </w:r>
      <w:r w:rsidRPr="00B37399">
        <w:rPr>
          <w:rStyle w:val="StyleUnderline"/>
          <w:highlight w:val="green"/>
        </w:rPr>
        <w:t xml:space="preserve"> to regress attempts to issue c</w:t>
      </w:r>
      <w:r w:rsidRPr="00635330">
        <w:rPr>
          <w:rStyle w:val="StyleUnderline"/>
        </w:rPr>
        <w:t>ompulsory</w:t>
      </w:r>
      <w:r w:rsidRPr="00B37399">
        <w:rPr>
          <w:rStyle w:val="StyleUnderline"/>
          <w:highlight w:val="green"/>
        </w:rPr>
        <w:t xml:space="preserve"> l</w:t>
      </w:r>
      <w:r w:rsidRPr="00635330">
        <w:rPr>
          <w:rStyle w:val="StyleUnderline"/>
        </w:rPr>
        <w:t>icensing</w:t>
      </w:r>
      <w:r w:rsidRPr="00B44C90">
        <w:rPr>
          <w:rStyle w:val="StyleUnderline"/>
        </w:rPr>
        <w:t xml:space="preserve"> on the characteristics of the intellectual property system</w:t>
      </w:r>
      <w:r w:rsidRPr="00B44C90">
        <w:rPr>
          <w:sz w:val="14"/>
        </w:rPr>
        <w:t xml:space="preserve">, controlling for macro context variables and other explanatory variables at a country level. </w:t>
      </w:r>
      <w:r w:rsidRPr="00B44C90">
        <w:rPr>
          <w:rStyle w:val="StyleUnderline"/>
        </w:rPr>
        <w:t>Results A total 139 countries</w:t>
      </w:r>
      <w:r w:rsidRPr="00B44C90">
        <w:rPr>
          <w:sz w:val="14"/>
        </w:rPr>
        <w:t xml:space="preserve">, selected from members of the World Trade Organization, </w:t>
      </w:r>
      <w:r w:rsidRPr="00B44C90">
        <w:rPr>
          <w:rStyle w:val="StyleUnderline"/>
        </w:rPr>
        <w:t>were divided into a CL-attempted group</w:t>
      </w:r>
      <w:r w:rsidRPr="00B44C90">
        <w:rPr>
          <w:sz w:val="14"/>
        </w:rPr>
        <w:t xml:space="preserve"> (N = 24) </w:t>
      </w:r>
      <w:r w:rsidRPr="00B44C90">
        <w:rPr>
          <w:rStyle w:val="StyleUnderline"/>
        </w:rPr>
        <w:t>and a non-CL-attempted group</w:t>
      </w:r>
      <w:r w:rsidRPr="00B44C90">
        <w:rPr>
          <w:sz w:val="14"/>
        </w:rPr>
        <w:t xml:space="preserve"> (N = 115). An attempt </w:t>
      </w:r>
      <w:r w:rsidRPr="00635330">
        <w:rPr>
          <w:sz w:val="14"/>
        </w:rPr>
        <w:t xml:space="preserve">to issue compulsory licensing was associated with population (+) and a dummy variable for other regions, including Europe and North America (−). After controlling for macro context variables, mature intellectual property system was positively associated with attempting compulsory licensing. Conclusions </w:t>
      </w:r>
      <w:r w:rsidRPr="00635330">
        <w:rPr>
          <w:rStyle w:val="StyleUnderline"/>
        </w:rPr>
        <w:t xml:space="preserve">Our study </w:t>
      </w:r>
      <w:r w:rsidRPr="00B37399">
        <w:rPr>
          <w:rStyle w:val="StyleUnderline"/>
          <w:highlight w:val="green"/>
        </w:rPr>
        <w:t xml:space="preserve">provided evidence of an </w:t>
      </w:r>
      <w:r w:rsidRPr="00B37399">
        <w:rPr>
          <w:rStyle w:val="Emphasis"/>
          <w:highlight w:val="green"/>
        </w:rPr>
        <w:t>association</w:t>
      </w:r>
      <w:r w:rsidRPr="00B37399">
        <w:rPr>
          <w:rStyle w:val="StyleUnderline"/>
          <w:highlight w:val="green"/>
        </w:rPr>
        <w:t xml:space="preserve"> between </w:t>
      </w:r>
      <w:r w:rsidRPr="00B44C90">
        <w:rPr>
          <w:rStyle w:val="StyleUnderline"/>
        </w:rPr>
        <w:t xml:space="preserve">attempting </w:t>
      </w:r>
      <w:r w:rsidRPr="00B37399">
        <w:rPr>
          <w:rStyle w:val="StyleUnderline"/>
          <w:highlight w:val="green"/>
        </w:rPr>
        <w:t>c</w:t>
      </w:r>
      <w:r w:rsidRPr="007056F4">
        <w:rPr>
          <w:rStyle w:val="StyleUnderline"/>
        </w:rPr>
        <w:t>ompulsory</w:t>
      </w:r>
      <w:r w:rsidRPr="00B37399">
        <w:rPr>
          <w:rStyle w:val="StyleUnderline"/>
          <w:highlight w:val="green"/>
        </w:rPr>
        <w:t xml:space="preserve"> l</w:t>
      </w:r>
      <w:r w:rsidRPr="007056F4">
        <w:rPr>
          <w:rStyle w:val="StyleUnderline"/>
        </w:rPr>
        <w:t xml:space="preserve">icensing </w:t>
      </w:r>
      <w:r w:rsidRPr="00B37399">
        <w:rPr>
          <w:rStyle w:val="StyleUnderline"/>
          <w:highlight w:val="green"/>
        </w:rPr>
        <w:t xml:space="preserve">and </w:t>
      </w:r>
      <w:r w:rsidRPr="00B37399">
        <w:rPr>
          <w:rStyle w:val="Emphasis"/>
          <w:highlight w:val="green"/>
        </w:rPr>
        <w:t>matured patent systems</w:t>
      </w:r>
      <w:r w:rsidRPr="00B44C90">
        <w:rPr>
          <w:sz w:val="14"/>
        </w:rPr>
        <w:t xml:space="preserve">. </w:t>
      </w:r>
      <w:r w:rsidRPr="00B37399">
        <w:rPr>
          <w:rStyle w:val="StyleUnderline"/>
          <w:highlight w:val="green"/>
        </w:rPr>
        <w:t>This</w:t>
      </w:r>
      <w:r w:rsidRPr="00B44C90">
        <w:rPr>
          <w:rStyle w:val="StyleUnderline"/>
        </w:rPr>
        <w:t xml:space="preserve"> finding </w:t>
      </w:r>
      <w:r w:rsidRPr="00B37399">
        <w:rPr>
          <w:rStyle w:val="Emphasis"/>
          <w:highlight w:val="green"/>
        </w:rPr>
        <w:t>contradicts our current understanding</w:t>
      </w:r>
      <w:r w:rsidRPr="00B44C90">
        <w:rPr>
          <w:rStyle w:val="StyleUnderline"/>
        </w:rPr>
        <w:t xml:space="preserve"> of compulsory licensing, such as compulsory licensing as a measure to usurp traditional patent systems </w:t>
      </w:r>
      <w:r w:rsidRPr="00B37399">
        <w:rPr>
          <w:rStyle w:val="StyleUnderline"/>
          <w:highlight w:val="green"/>
        </w:rPr>
        <w:t>and</w:t>
      </w:r>
      <w:r w:rsidRPr="00B44C90">
        <w:rPr>
          <w:rStyle w:val="StyleUnderline"/>
        </w:rPr>
        <w:t xml:space="preserve"> sometimes diametrically opposed to the patent system</w:t>
      </w:r>
      <w:r w:rsidRPr="00B44C90">
        <w:rPr>
          <w:sz w:val="14"/>
        </w:rPr>
        <w:t xml:space="preserve">. </w:t>
      </w:r>
      <w:r w:rsidRPr="00B44C90">
        <w:rPr>
          <w:rStyle w:val="StyleUnderline"/>
        </w:rPr>
        <w:t xml:space="preserve">The findings also </w:t>
      </w:r>
      <w:r w:rsidRPr="00B37399">
        <w:rPr>
          <w:rStyle w:val="StyleUnderline"/>
          <w:highlight w:val="green"/>
        </w:rPr>
        <w:t>suggest</w:t>
      </w:r>
      <w:r w:rsidRPr="00B44C90">
        <w:rPr>
          <w:rStyle w:val="StyleUnderline"/>
        </w:rPr>
        <w:t xml:space="preserve"> a new role of compulsory licensing in current patent systems</w:t>
      </w:r>
      <w:r w:rsidRPr="00B44C90">
        <w:rPr>
          <w:sz w:val="14"/>
        </w:rPr>
        <w:t xml:space="preserve">: </w:t>
      </w:r>
      <w:r w:rsidRPr="00B37399">
        <w:rPr>
          <w:rStyle w:val="StyleUnderline"/>
          <w:highlight w:val="green"/>
        </w:rPr>
        <w:t>c</w:t>
      </w:r>
      <w:r w:rsidRPr="008D690A">
        <w:rPr>
          <w:rStyle w:val="StyleUnderline"/>
        </w:rPr>
        <w:t>ompulsory</w:t>
      </w:r>
      <w:r w:rsidRPr="00B37399">
        <w:rPr>
          <w:rStyle w:val="StyleUnderline"/>
          <w:highlight w:val="green"/>
        </w:rPr>
        <w:t xml:space="preserve"> l</w:t>
      </w:r>
      <w:r w:rsidRPr="008D690A">
        <w:rPr>
          <w:rStyle w:val="StyleUnderline"/>
        </w:rPr>
        <w:t xml:space="preserve">icensing </w:t>
      </w:r>
      <w:r w:rsidRPr="00B37399">
        <w:rPr>
          <w:rStyle w:val="StyleUnderline"/>
          <w:highlight w:val="green"/>
        </w:rPr>
        <w:t xml:space="preserve">could be a </w:t>
      </w:r>
      <w:r w:rsidRPr="00B37399">
        <w:rPr>
          <w:rStyle w:val="Emphasis"/>
          <w:highlight w:val="green"/>
        </w:rPr>
        <w:t>potential</w:t>
      </w:r>
      <w:r w:rsidRPr="00B44C90">
        <w:rPr>
          <w:rStyle w:val="Emphasis"/>
        </w:rPr>
        <w:t xml:space="preserve"> alternative or </w:t>
      </w:r>
      <w:r w:rsidRPr="00B37399">
        <w:rPr>
          <w:rStyle w:val="Emphasis"/>
          <w:highlight w:val="green"/>
        </w:rPr>
        <w:t>complement</w:t>
      </w:r>
      <w:r w:rsidRPr="00B37399">
        <w:rPr>
          <w:rStyle w:val="StyleUnderline"/>
          <w:highlight w:val="green"/>
        </w:rPr>
        <w:t xml:space="preserve"> to </w:t>
      </w:r>
      <w:r w:rsidRPr="007056F4">
        <w:rPr>
          <w:rStyle w:val="StyleUnderline"/>
        </w:rPr>
        <w:t xml:space="preserve">achieve </w:t>
      </w:r>
      <w:r w:rsidRPr="00B37399">
        <w:rPr>
          <w:rStyle w:val="StyleUnderline"/>
          <w:highlight w:val="green"/>
        </w:rPr>
        <w:t xml:space="preserve">access to medicines </w:t>
      </w:r>
      <w:r w:rsidRPr="007056F4">
        <w:rPr>
          <w:rStyle w:val="StyleUnderline"/>
        </w:rPr>
        <w:t xml:space="preserve">in health systems </w:t>
      </w:r>
      <w:r w:rsidRPr="00B37399">
        <w:rPr>
          <w:rStyle w:val="StyleUnderline"/>
          <w:highlight w:val="green"/>
        </w:rPr>
        <w:t xml:space="preserve">through </w:t>
      </w:r>
      <w:r w:rsidRPr="00B44C90">
        <w:rPr>
          <w:rStyle w:val="StyleUnderline"/>
        </w:rPr>
        <w:t xml:space="preserve">manufacturing and </w:t>
      </w:r>
      <w:r w:rsidRPr="00B37399">
        <w:rPr>
          <w:rStyle w:val="StyleUnderline"/>
          <w:highlight w:val="green"/>
        </w:rPr>
        <w:t>exporting patented pharmaceuticals</w:t>
      </w:r>
      <w:r w:rsidRPr="00B44C90">
        <w:rPr>
          <w:sz w:val="14"/>
        </w:rPr>
        <w:t xml:space="preserve">. </w:t>
      </w:r>
    </w:p>
    <w:p w14:paraId="4BA6FA2C" w14:textId="77777777" w:rsidR="0020311F" w:rsidRPr="00B7015B" w:rsidRDefault="0020311F" w:rsidP="0020311F">
      <w:pPr>
        <w:pStyle w:val="Heading4"/>
      </w:pPr>
      <w:r>
        <w:t>6. No alt-agent fiat.</w:t>
      </w:r>
    </w:p>
    <w:p w14:paraId="5FD849AB" w14:textId="77777777" w:rsidR="0020311F" w:rsidRPr="00B7015B" w:rsidRDefault="0020311F" w:rsidP="0020311F">
      <w:pPr>
        <w:rPr>
          <w:rStyle w:val="Style13ptBold"/>
        </w:rPr>
      </w:pPr>
      <w:r w:rsidRPr="00B7015B">
        <w:rPr>
          <w:rStyle w:val="Style13ptBold"/>
        </w:rPr>
        <w:t>Strait and Wallace 08</w:t>
      </w:r>
    </w:p>
    <w:p w14:paraId="078EFD3E" w14:textId="77777777" w:rsidR="0020311F" w:rsidRPr="00B7015B" w:rsidRDefault="0020311F" w:rsidP="0020311F">
      <w:pPr>
        <w:rPr>
          <w:sz w:val="12"/>
          <w:szCs w:val="12"/>
        </w:rPr>
      </w:pPr>
      <w:r w:rsidRPr="00B7015B">
        <w:rPr>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1395D804" w14:textId="77777777" w:rsidR="0020311F" w:rsidRDefault="0020311F" w:rsidP="0020311F">
      <w:pPr>
        <w:rPr>
          <w:u w:val="single"/>
        </w:rPr>
      </w:pPr>
      <w:r w:rsidRPr="00B7015B">
        <w:rPr>
          <w:u w:val="single"/>
        </w:rPr>
        <w:t>Like all arguments in the negative’s arsenal, counterplans have the burden to be relevant to</w:t>
      </w:r>
      <w:r w:rsidRPr="00B7015B">
        <w:rPr>
          <w:sz w:val="16"/>
        </w:rPr>
        <w:t xml:space="preserve"> the question posed by </w:t>
      </w:r>
      <w:r w:rsidRPr="00B7015B">
        <w:rPr>
          <w:u w:val="single"/>
        </w:rPr>
        <w:t>the affirmative plan</w:t>
      </w:r>
      <w:r w:rsidRPr="00B7015B">
        <w:rPr>
          <w:sz w:val="16"/>
        </w:rPr>
        <w:t xml:space="preserve"> (</w:t>
      </w:r>
      <w:r w:rsidRPr="00B7015B">
        <w:rPr>
          <w:u w:val="single"/>
        </w:rPr>
        <w:t>disad</w:t>
      </w:r>
      <w:r w:rsidRPr="00B7015B">
        <w:rPr>
          <w:sz w:val="16"/>
        </w:rPr>
        <w:t>vantage</w:t>
      </w:r>
      <w:r w:rsidRPr="00B7015B">
        <w:rPr>
          <w:u w:val="single"/>
        </w:rPr>
        <w:t>s</w:t>
      </w:r>
      <w:r w:rsidRPr="00B7015B">
        <w:rPr>
          <w:sz w:val="16"/>
        </w:rPr>
        <w:t xml:space="preserve"> </w:t>
      </w:r>
      <w:r w:rsidRPr="00B7015B">
        <w:rPr>
          <w:u w:val="single"/>
        </w:rPr>
        <w:t>accomplish this by having a</w:t>
      </w:r>
      <w:r w:rsidRPr="00B7015B">
        <w:rPr>
          <w:sz w:val="16"/>
        </w:rPr>
        <w:t xml:space="preserve"> compelling ‘</w:t>
      </w:r>
      <w:r w:rsidRPr="00B7015B">
        <w:rPr>
          <w:u w:val="single"/>
        </w:rPr>
        <w:t>link</w:t>
      </w:r>
      <w:r w:rsidRPr="00B7015B">
        <w:rPr>
          <w:sz w:val="16"/>
        </w:rPr>
        <w:t xml:space="preserve">’). For this reason, </w:t>
      </w:r>
      <w:r w:rsidRPr="00B7015B">
        <w:rPr>
          <w:highlight w:val="green"/>
          <w:u w:val="single"/>
        </w:rPr>
        <w:t>counterplans must be competitive but</w:t>
      </w:r>
      <w:r w:rsidRPr="00B7015B">
        <w:rPr>
          <w:sz w:val="16"/>
        </w:rPr>
        <w:t xml:space="preserve"> we argue that </w:t>
      </w:r>
      <w:r w:rsidRPr="00B7015B">
        <w:rPr>
          <w:highlight w:val="green"/>
          <w:u w:val="single"/>
        </w:rPr>
        <w:t>competition is</w:t>
      </w:r>
      <w:r w:rsidRPr="00B7015B">
        <w:rPr>
          <w:sz w:val="16"/>
        </w:rPr>
        <w:t xml:space="preserve"> necessary but </w:t>
      </w:r>
      <w:r w:rsidRPr="00B7015B">
        <w:rPr>
          <w:highlight w:val="green"/>
          <w:u w:val="single"/>
        </w:rPr>
        <w:t>not sufficient</w:t>
      </w:r>
      <w:r w:rsidRPr="00B7015B">
        <w:rPr>
          <w:u w:val="single"/>
        </w:rPr>
        <w:t xml:space="preserve"> to demonstrate relevance.</w:t>
      </w:r>
      <w:r w:rsidRPr="00B7015B">
        <w:rPr>
          <w:sz w:val="16"/>
        </w:rPr>
        <w:t xml:space="preserve"> Lichtman and Rohrer (1975) observe that </w:t>
      </w:r>
      <w:r w:rsidRPr="00B7015B">
        <w:rPr>
          <w:highlight w:val="green"/>
          <w:u w:val="single"/>
        </w:rPr>
        <w:t>neg</w:t>
      </w:r>
      <w:r w:rsidRPr="00B7015B">
        <w:rPr>
          <w:sz w:val="16"/>
        </w:rPr>
        <w:t xml:space="preserve">ative </w:t>
      </w:r>
      <w:r w:rsidRPr="00B7015B">
        <w:rPr>
          <w:highlight w:val="green"/>
          <w:u w:val="single"/>
        </w:rPr>
        <w:t>fiat should</w:t>
      </w:r>
      <w:r w:rsidRPr="00B7015B">
        <w:rPr>
          <w:sz w:val="16"/>
        </w:rPr>
        <w:t xml:space="preserve"> have a </w:t>
      </w:r>
      <w:r w:rsidRPr="00B7015B">
        <w:rPr>
          <w:highlight w:val="green"/>
          <w:u w:val="single"/>
        </w:rPr>
        <w:t>limit</w:t>
      </w:r>
      <w:r w:rsidRPr="00B7015B">
        <w:rPr>
          <w:sz w:val="16"/>
        </w:rPr>
        <w:t xml:space="preserve">ed </w:t>
      </w:r>
      <w:r w:rsidRPr="00B7015B">
        <w:rPr>
          <w:highlight w:val="green"/>
          <w:u w:val="single"/>
        </w:rPr>
        <w:t>scope</w:t>
      </w:r>
      <w:r w:rsidRPr="00B7015B">
        <w:rPr>
          <w:sz w:val="16"/>
        </w:rPr>
        <w:t xml:space="preserve">, relating </w:t>
      </w:r>
      <w:r w:rsidRPr="00B7015B">
        <w:rPr>
          <w:highlight w:val="green"/>
          <w:u w:val="single"/>
        </w:rPr>
        <w:t>to</w:t>
      </w:r>
      <w:r w:rsidRPr="00B7015B">
        <w:rPr>
          <w:sz w:val="16"/>
        </w:rPr>
        <w:t xml:space="preserve"> the logic of </w:t>
      </w:r>
      <w:r w:rsidRPr="00B7015B">
        <w:rPr>
          <w:highlight w:val="green"/>
          <w:u w:val="single"/>
        </w:rPr>
        <w:t>who is making the decision</w:t>
      </w:r>
      <w:r w:rsidRPr="00B7015B">
        <w:rPr>
          <w:sz w:val="16"/>
        </w:rPr>
        <w:t xml:space="preserve">: It is assumed, of course, that </w:t>
      </w:r>
      <w:r w:rsidRPr="00B7015B">
        <w:rPr>
          <w:u w:val="single"/>
        </w:rPr>
        <w:t>decision-makers</w:t>
      </w:r>
      <w:r w:rsidRPr="00B7015B">
        <w:rPr>
          <w:sz w:val="16"/>
        </w:rPr>
        <w:t xml:space="preserve"> being addressed </w:t>
      </w:r>
      <w:r w:rsidRPr="00B7015B">
        <w:rPr>
          <w:u w:val="single"/>
        </w:rPr>
        <w:t>have the power to put a counterplan into effect</w:t>
      </w:r>
      <w:r w:rsidRPr="00B7015B">
        <w:rPr>
          <w:sz w:val="16"/>
        </w:rPr>
        <w:t xml:space="preserve">. An individual or </w:t>
      </w:r>
      <w:r w:rsidRPr="00B7015B">
        <w:rPr>
          <w:highlight w:val="green"/>
          <w:u w:val="single"/>
        </w:rPr>
        <w:t>government</w:t>
      </w:r>
      <w:r w:rsidRPr="00B7015B">
        <w:rPr>
          <w:sz w:val="16"/>
        </w:rPr>
        <w:t xml:space="preserve">al unit </w:t>
      </w:r>
      <w:r w:rsidRPr="00B7015B">
        <w:rPr>
          <w:highlight w:val="green"/>
          <w:u w:val="single"/>
        </w:rPr>
        <w:t>can</w:t>
      </w:r>
      <w:r w:rsidRPr="00B7015B">
        <w:rPr>
          <w:sz w:val="16"/>
        </w:rPr>
        <w:t xml:space="preserve"> reasonably be asked to </w:t>
      </w:r>
      <w:r w:rsidRPr="00B7015B">
        <w:rPr>
          <w:highlight w:val="green"/>
          <w:u w:val="single"/>
        </w:rPr>
        <w:t>reject a</w:t>
      </w:r>
      <w:r w:rsidRPr="00B7015B">
        <w:rPr>
          <w:sz w:val="16"/>
        </w:rPr>
        <w:t xml:space="preserve"> particular </w:t>
      </w:r>
      <w:r w:rsidRPr="00B7015B">
        <w:rPr>
          <w:highlight w:val="green"/>
          <w:u w:val="single"/>
        </w:rPr>
        <w:t>policy if an alternative promises greater</w:t>
      </w:r>
      <w:r w:rsidRPr="00B7015B">
        <w:rPr>
          <w:sz w:val="16"/>
        </w:rPr>
        <w:t xml:space="preserve"> net </w:t>
      </w:r>
      <w:r w:rsidRPr="00B7015B">
        <w:rPr>
          <w:highlight w:val="green"/>
          <w:u w:val="single"/>
        </w:rPr>
        <w:t>benefits.</w:t>
      </w:r>
      <w:r w:rsidRPr="00B7015B">
        <w:rPr>
          <w:sz w:val="16"/>
        </w:rPr>
        <w:t xml:space="preserve"> </w:t>
      </w:r>
      <w:r w:rsidRPr="00B7015B">
        <w:rPr>
          <w:highlight w:val="green"/>
          <w:u w:val="single"/>
        </w:rPr>
        <w:t>If, however, a counterplan must be adopted by another</w:t>
      </w:r>
      <w:r w:rsidRPr="00B7015B">
        <w:rPr>
          <w:sz w:val="16"/>
        </w:rPr>
        <w:t xml:space="preserve"> individual or </w:t>
      </w:r>
      <w:r w:rsidRPr="00B7015B">
        <w:rPr>
          <w:highlight w:val="green"/>
          <w:u w:val="single"/>
        </w:rPr>
        <w:t>unit</w:t>
      </w:r>
      <w:r w:rsidRPr="00B7015B">
        <w:rPr>
          <w:sz w:val="16"/>
        </w:rPr>
        <w:t xml:space="preserve"> of government, </w:t>
      </w:r>
      <w:r w:rsidRPr="00B7015B">
        <w:rPr>
          <w:highlight w:val="green"/>
          <w:u w:val="single"/>
        </w:rPr>
        <w:t>the initial decision-maker must consider the probability that the counterplan will be accepted.</w:t>
      </w:r>
      <w:r w:rsidRPr="00B7015B">
        <w:rPr>
          <w:sz w:val="16"/>
        </w:rPr>
        <w:t xml:space="preserve"> </w:t>
      </w:r>
      <w:r w:rsidRPr="00B7015B">
        <w:rPr>
          <w:u w:val="single"/>
        </w:rPr>
        <w:t>Debate propositions often affirm that a</w:t>
      </w:r>
      <w:r w:rsidRPr="00B7015B">
        <w:rPr>
          <w:sz w:val="16"/>
        </w:rPr>
        <w:t xml:space="preserve"> particular </w:t>
      </w:r>
      <w:r w:rsidRPr="00B7015B">
        <w:rPr>
          <w:u w:val="single"/>
        </w:rPr>
        <w:t>policy should be adopted by the federal government. Even if adoption</w:t>
      </w:r>
      <w:r w:rsidRPr="00B7015B">
        <w:rPr>
          <w:sz w:val="16"/>
        </w:rPr>
        <w:t xml:space="preserve"> of this policy </w:t>
      </w:r>
      <w:r w:rsidRPr="00B7015B">
        <w:rPr>
          <w:u w:val="single"/>
        </w:rPr>
        <w:t>by</w:t>
      </w:r>
      <w:r w:rsidRPr="00B7015B">
        <w:rPr>
          <w:sz w:val="16"/>
        </w:rPr>
        <w:t xml:space="preserve"> the individual </w:t>
      </w:r>
      <w:r w:rsidRPr="00B7015B">
        <w:rPr>
          <w:u w:val="single"/>
        </w:rPr>
        <w:t>state governments would be more beneficial, a reasonable critic would still affirm the resolution if state adoption were</w:t>
      </w:r>
      <w:r w:rsidRPr="00B7015B">
        <w:rPr>
          <w:sz w:val="16"/>
        </w:rPr>
        <w:t xml:space="preserve"> highly </w:t>
      </w:r>
      <w:r w:rsidRPr="00B7015B">
        <w:rPr>
          <w:u w:val="single"/>
        </w:rPr>
        <w:t>unlikely.</w:t>
      </w:r>
      <w:r w:rsidRPr="00B7015B">
        <w:rPr>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common sense approach, </w:t>
      </w:r>
      <w:proofErr w:type="spellStart"/>
      <w:r w:rsidRPr="00B7015B">
        <w:rPr>
          <w:sz w:val="16"/>
        </w:rPr>
        <w:t>Korcok</w:t>
      </w:r>
      <w:proofErr w:type="spellEnd"/>
      <w:r w:rsidRPr="00B7015B">
        <w:rPr>
          <w:sz w:val="16"/>
        </w:rPr>
        <w:t xml:space="preserve"> (2002) reasons that advantages and disadvantages relating to </w:t>
      </w:r>
      <w:r w:rsidRPr="00B7015B">
        <w:rPr>
          <w:u w:val="single"/>
        </w:rPr>
        <w:t>political ramifications, resources,</w:t>
      </w:r>
      <w:r w:rsidRPr="00B7015B">
        <w:rPr>
          <w:sz w:val="16"/>
        </w:rPr>
        <w:t xml:space="preserve"> policy </w:t>
      </w:r>
      <w:r w:rsidRPr="00B7015B">
        <w:rPr>
          <w:u w:val="single"/>
        </w:rPr>
        <w:t>effectiveness, enforcement, and so on,</w:t>
      </w:r>
      <w:r w:rsidRPr="00B7015B">
        <w:rPr>
          <w:sz w:val="16"/>
        </w:rPr>
        <w:t xml:space="preserve"> all </w:t>
      </w:r>
      <w:r w:rsidRPr="00B7015B">
        <w:rPr>
          <w:u w:val="single"/>
        </w:rPr>
        <w:t>depend upon whose task it is to take</w:t>
      </w:r>
      <w:r w:rsidRPr="00B7015B">
        <w:rPr>
          <w:sz w:val="16"/>
        </w:rPr>
        <w:t xml:space="preserve"> the desired </w:t>
      </w:r>
      <w:r w:rsidRPr="00B7015B">
        <w:rPr>
          <w:u w:val="single"/>
        </w:rPr>
        <w:t>action.</w:t>
      </w:r>
      <w:r w:rsidRPr="00B7015B">
        <w:rPr>
          <w:sz w:val="16"/>
        </w:rPr>
        <w:t xml:space="preserve"> Therefore, questions of the substantive desirability of the affirmative, along with questions of the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make a decision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affirmative’s. </w:t>
      </w:r>
      <w:r w:rsidRPr="00B7015B">
        <w:rPr>
          <w:rStyle w:val="Emphasis"/>
          <w:highlight w:val="green"/>
        </w:rPr>
        <w:t>Since the point of fiat is to bracket off questions of ‘would’</w:t>
      </w:r>
      <w:r w:rsidRPr="00B7015B">
        <w:rPr>
          <w:u w:val="single"/>
        </w:rPr>
        <w:t xml:space="preserve"> in order </w:t>
      </w:r>
      <w:r w:rsidRPr="00B7015B">
        <w:rPr>
          <w:highlight w:val="green"/>
          <w:u w:val="single"/>
        </w:rPr>
        <w:t>to focus</w:t>
      </w:r>
      <w:r w:rsidRPr="00B7015B">
        <w:rPr>
          <w:u w:val="single"/>
        </w:rPr>
        <w:t xml:space="preserve"> completely </w:t>
      </w:r>
      <w:r w:rsidRPr="00B7015B">
        <w:rPr>
          <w:highlight w:val="green"/>
          <w:u w:val="single"/>
        </w:rPr>
        <w:t>on</w:t>
      </w:r>
      <w:r w:rsidRPr="00B7015B">
        <w:rPr>
          <w:u w:val="single"/>
        </w:rPr>
        <w:t xml:space="preserve"> questions of </w:t>
      </w:r>
      <w:r w:rsidRPr="00B7015B">
        <w:rPr>
          <w:highlight w:val="green"/>
          <w:u w:val="single"/>
        </w:rPr>
        <w:t xml:space="preserve">‘should,’ questions of probability </w:t>
      </w:r>
      <w:r w:rsidRPr="00B7015B">
        <w:rPr>
          <w:rStyle w:val="Emphasis"/>
          <w:highlight w:val="green"/>
        </w:rPr>
        <w:t>never get discussed</w:t>
      </w:r>
      <w:r w:rsidRPr="00B7015B">
        <w:rPr>
          <w:sz w:val="16"/>
        </w:rPr>
        <w:t xml:space="preserve"> (</w:t>
      </w:r>
      <w:proofErr w:type="spellStart"/>
      <w:r w:rsidRPr="00B7015B">
        <w:rPr>
          <w:sz w:val="16"/>
        </w:rPr>
        <w:t>Broda</w:t>
      </w:r>
      <w:proofErr w:type="spellEnd"/>
      <w:r w:rsidRPr="00B7015B">
        <w:rPr>
          <w:sz w:val="16"/>
        </w:rPr>
        <w:t xml:space="preserve">-Bahm, 2002). </w:t>
      </w:r>
      <w:r w:rsidRPr="00B7015B">
        <w:rPr>
          <w:highlight w:val="green"/>
          <w:u w:val="single"/>
        </w:rPr>
        <w:t>From the perspective of the agent</w:t>
      </w:r>
      <w:r w:rsidRPr="00B7015B">
        <w:rPr>
          <w:sz w:val="16"/>
        </w:rPr>
        <w:t xml:space="preserve"> identified in </w:t>
      </w:r>
      <w:r w:rsidRPr="00B7015B">
        <w:rPr>
          <w:highlight w:val="green"/>
          <w:u w:val="single"/>
        </w:rPr>
        <w:t>the plan</w:t>
      </w:r>
      <w:r w:rsidRPr="00B7015B">
        <w:rPr>
          <w:sz w:val="16"/>
        </w:rPr>
        <w:t xml:space="preserve">, the </w:t>
      </w:r>
      <w:r w:rsidRPr="00B7015B">
        <w:rPr>
          <w:highlight w:val="green"/>
          <w:u w:val="single"/>
        </w:rPr>
        <w:t>probability is 100%</w:t>
      </w:r>
      <w:r w:rsidRPr="00B7015B">
        <w:rPr>
          <w:u w:val="single"/>
        </w:rPr>
        <w:t>: if the agent decides to adopt the mandates of the plan, there is an absolute guarantee</w:t>
      </w:r>
      <w:r w:rsidRPr="00B7015B">
        <w:rPr>
          <w:sz w:val="16"/>
        </w:rPr>
        <w:t xml:space="preserve"> that </w:t>
      </w:r>
      <w:r w:rsidRPr="00B7015B">
        <w:rPr>
          <w:u w:val="single"/>
        </w:rPr>
        <w:t>it will</w:t>
      </w:r>
      <w:r w:rsidRPr="00B7015B">
        <w:rPr>
          <w:sz w:val="16"/>
        </w:rPr>
        <w:t xml:space="preserve"> in fact </w:t>
      </w:r>
      <w:r w:rsidRPr="00B7015B">
        <w:rPr>
          <w:u w:val="single"/>
        </w:rPr>
        <w:t xml:space="preserve">do so. </w:t>
      </w:r>
      <w:r w:rsidRPr="00B7015B">
        <w:rPr>
          <w:highlight w:val="green"/>
          <w:u w:val="single"/>
        </w:rPr>
        <w:t>Yet, if the plan is compared to a counterplan</w:t>
      </w:r>
      <w:r w:rsidRPr="00B7015B">
        <w:rPr>
          <w:sz w:val="16"/>
        </w:rPr>
        <w:t xml:space="preserve"> in which Japan, rather than the United States, attempts to solve the advantage(s), </w:t>
      </w:r>
      <w:r w:rsidRPr="00B7015B">
        <w:rPr>
          <w:highlight w:val="green"/>
          <w:u w:val="single"/>
        </w:rPr>
        <w:t>there is</w:t>
      </w:r>
      <w:r w:rsidRPr="00B7015B">
        <w:rPr>
          <w:sz w:val="16"/>
        </w:rPr>
        <w:t xml:space="preserve"> never </w:t>
      </w:r>
      <w:r w:rsidRPr="00B7015B">
        <w:rPr>
          <w:highlight w:val="green"/>
          <w:u w:val="single"/>
        </w:rPr>
        <w:t>a</w:t>
      </w:r>
      <w:r w:rsidRPr="00B7015B">
        <w:rPr>
          <w:sz w:val="16"/>
        </w:rPr>
        <w:t xml:space="preserve"> situation where the United States could make a decision based on a 100% probability that Japan would take action if the United States did not. Thus, if Congress failed to consider the </w:t>
      </w:r>
      <w:r w:rsidRPr="00B7015B">
        <w:rPr>
          <w:highlight w:val="green"/>
          <w:u w:val="single"/>
        </w:rPr>
        <w:t>chance that that decision-making body would not</w:t>
      </w:r>
      <w:r w:rsidRPr="00B7015B">
        <w:rPr>
          <w:sz w:val="16"/>
        </w:rPr>
        <w:t xml:space="preserve"> in fact </w:t>
      </w:r>
      <w:r w:rsidRPr="00B7015B">
        <w:rPr>
          <w:rStyle w:val="StyleUnderline"/>
          <w:highlight w:val="green"/>
        </w:rPr>
        <w:t>take the desired</w:t>
      </w:r>
      <w:r w:rsidRPr="00B7015B">
        <w:rPr>
          <w:sz w:val="16"/>
        </w:rPr>
        <w:t xml:space="preserve"> </w:t>
      </w:r>
      <w:r w:rsidRPr="00B7015B">
        <w:rPr>
          <w:highlight w:val="green"/>
          <w:u w:val="single"/>
        </w:rPr>
        <w:t>action</w:t>
      </w:r>
      <w:r w:rsidRPr="00B7015B">
        <w:rPr>
          <w:u w:val="single"/>
        </w:rPr>
        <w:t>, it would hardly be engaging in</w:t>
      </w:r>
      <w:r w:rsidRPr="00B7015B">
        <w:rPr>
          <w:sz w:val="16"/>
        </w:rPr>
        <w:t xml:space="preserve"> what Aristotle (c. 330bce/1941a) calls “correctness of thinking,” the substance of </w:t>
      </w:r>
      <w:r w:rsidRPr="00B7015B">
        <w:rPr>
          <w:u w:val="single"/>
        </w:rPr>
        <w:t>practical wisdom.</w:t>
      </w:r>
    </w:p>
    <w:p w14:paraId="768CD689" w14:textId="77777777" w:rsidR="0020311F" w:rsidRDefault="0020311F" w:rsidP="0020311F">
      <w:pPr>
        <w:pStyle w:val="Heading4"/>
      </w:pPr>
      <w:r>
        <w:t xml:space="preserve">7. Roleplaying the state doesn’t endorse it but teaches the language of power to enable </w:t>
      </w:r>
      <w:r>
        <w:rPr>
          <w:u w:val="single"/>
        </w:rPr>
        <w:t>internal resistance strategies</w:t>
      </w:r>
    </w:p>
    <w:p w14:paraId="140F31BF" w14:textId="77777777" w:rsidR="0020311F" w:rsidRPr="0083664D" w:rsidRDefault="0020311F" w:rsidP="0020311F">
      <w:pPr>
        <w:rPr>
          <w:rStyle w:val="Style13ptBold"/>
        </w:rPr>
      </w:pPr>
      <w:proofErr w:type="spellStart"/>
      <w:r w:rsidRPr="0083664D">
        <w:rPr>
          <w:rStyle w:val="Style13ptBold"/>
        </w:rPr>
        <w:t>Coverstone</w:t>
      </w:r>
      <w:proofErr w:type="spellEnd"/>
      <w:r w:rsidRPr="0083664D">
        <w:rPr>
          <w:rStyle w:val="Style13ptBold"/>
        </w:rPr>
        <w:t xml:space="preserve"> 05</w:t>
      </w:r>
    </w:p>
    <w:p w14:paraId="25F41620" w14:textId="77777777" w:rsidR="0020311F" w:rsidRDefault="0020311F" w:rsidP="0020311F">
      <w:pPr>
        <w:rPr>
          <w:sz w:val="12"/>
          <w:szCs w:val="12"/>
        </w:rPr>
      </w:pPr>
      <w:r w:rsidRPr="0083664D">
        <w:rPr>
          <w:sz w:val="12"/>
          <w:szCs w:val="12"/>
        </w:rPr>
        <w:t xml:space="preserve">Alan </w:t>
      </w:r>
      <w:proofErr w:type="spellStart"/>
      <w:r w:rsidRPr="0083664D">
        <w:rPr>
          <w:sz w:val="12"/>
          <w:szCs w:val="12"/>
        </w:rPr>
        <w:t>Coverstone</w:t>
      </w:r>
      <w:proofErr w:type="spellEnd"/>
      <w:r w:rsidRPr="0083664D">
        <w:rPr>
          <w:sz w:val="12"/>
          <w:szCs w:val="12"/>
        </w:rPr>
        <w:t xml:space="preserve"> (masters in communication from Wake Forest, longtime debate coach) “Acting on Activism: Realizing the Vision of Debate with Pro-social Impact” Paper presented at the National Communication Association Annual Conference November 17</w:t>
      </w:r>
      <w:r w:rsidRPr="0083664D">
        <w:rPr>
          <w:sz w:val="12"/>
          <w:szCs w:val="12"/>
          <w:vertAlign w:val="superscript"/>
        </w:rPr>
        <w:t>th</w:t>
      </w:r>
      <w:r w:rsidRPr="0083664D">
        <w:rPr>
          <w:sz w:val="12"/>
          <w:szCs w:val="12"/>
        </w:rPr>
        <w:t xml:space="preserve"> 2005  </w:t>
      </w:r>
      <w:hyperlink r:id="rId23" w:history="1">
        <w:r w:rsidRPr="0083664D">
          <w:rPr>
            <w:rStyle w:val="Hyperlink"/>
            <w:sz w:val="12"/>
            <w:szCs w:val="12"/>
          </w:rPr>
          <w:t>https://www.natcom.org/</w:t>
        </w:r>
      </w:hyperlink>
      <w:r w:rsidRPr="0083664D">
        <w:rPr>
          <w:sz w:val="12"/>
          <w:szCs w:val="12"/>
        </w:rPr>
        <w:t xml:space="preserve"> -CAT</w:t>
      </w:r>
    </w:p>
    <w:p w14:paraId="200183C6" w14:textId="77777777" w:rsidR="0020311F" w:rsidRPr="0083664D" w:rsidRDefault="0020311F" w:rsidP="0020311F">
      <w:pPr>
        <w:rPr>
          <w:sz w:val="12"/>
          <w:szCs w:val="12"/>
        </w:rPr>
      </w:pPr>
    </w:p>
    <w:p w14:paraId="7528F49B" w14:textId="3F3CC88F" w:rsidR="0020311F" w:rsidRPr="00083132" w:rsidRDefault="0020311F" w:rsidP="0020311F">
      <w:pPr>
        <w:rPr>
          <w:sz w:val="10"/>
        </w:rPr>
      </w:pPr>
      <w:r w:rsidRPr="00422C0C">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0C6EF2">
        <w:rPr>
          <w:sz w:val="10"/>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0C6EF2">
        <w:rPr>
          <w:rStyle w:val="StyleUnderline"/>
        </w:rPr>
        <w:t>Absent that discussion and debate, much of the motivation for personal political activism is also lost</w:t>
      </w:r>
      <w:r w:rsidRPr="000C6EF2">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0C6EF2">
        <w:rPr>
          <w:rStyle w:val="StyleUnderline"/>
        </w:rPr>
        <w:t xml:space="preserve">However, contest </w:t>
      </w:r>
      <w:r w:rsidRPr="000C6EF2">
        <w:rPr>
          <w:rStyle w:val="StyleUnderline"/>
          <w:highlight w:val="green"/>
        </w:rPr>
        <w:t>debate teaches students to combine personal experience with the language of political power</w:t>
      </w:r>
      <w:r w:rsidRPr="000C6EF2">
        <w:rPr>
          <w:sz w:val="10"/>
        </w:rPr>
        <w:t xml:space="preserve">. </w:t>
      </w:r>
      <w:r w:rsidRPr="000C6EF2">
        <w:rPr>
          <w:rStyle w:val="StyleUnderline"/>
        </w:rPr>
        <w:t xml:space="preserve">Powerful personal </w:t>
      </w:r>
      <w:r w:rsidRPr="000C6EF2">
        <w:rPr>
          <w:rStyle w:val="StyleUnderline"/>
          <w:highlight w:val="green"/>
        </w:rPr>
        <w:t xml:space="preserve">narratives unconnected to political power are </w:t>
      </w:r>
      <w:r w:rsidRPr="000C6EF2">
        <w:rPr>
          <w:rStyle w:val="StyleUnderline"/>
        </w:rPr>
        <w:t xml:space="preserve">regularly </w:t>
      </w:r>
      <w:r w:rsidRPr="000C6EF2">
        <w:rPr>
          <w:rStyle w:val="StyleUnderline"/>
          <w:highlight w:val="green"/>
        </w:rPr>
        <w:t xml:space="preserve">co-opted </w:t>
      </w:r>
      <w:r w:rsidRPr="000C6EF2">
        <w:rPr>
          <w:rStyle w:val="StyleUnderline"/>
        </w:rPr>
        <w:t xml:space="preserve">by those who do learn the language of power. One need look no further than the annual state of the Union Address where personal story after personal story is used to support the political agenda of those in power. The so-called </w:t>
      </w:r>
      <w:r w:rsidRPr="000C6EF2">
        <w:rPr>
          <w:rStyle w:val="StyleUnderline"/>
          <w:highlight w:val="green"/>
        </w:rPr>
        <w:t xml:space="preserve">role-playing </w:t>
      </w:r>
      <w:r w:rsidRPr="000C6EF2">
        <w:rPr>
          <w:rStyle w:val="StyleUnderline"/>
        </w:rPr>
        <w:t xml:space="preserve">that public policy contest debates encourage </w:t>
      </w:r>
      <w:r w:rsidRPr="000C6EF2">
        <w:rPr>
          <w:rStyle w:val="StyleUnderline"/>
          <w:highlight w:val="green"/>
        </w:rPr>
        <w:t>promotes active learning of the vocabulary and levers of power in America</w:t>
      </w:r>
      <w:r w:rsidRPr="000C6EF2">
        <w:rPr>
          <w:rStyle w:val="StyleUnderline"/>
        </w:rPr>
        <w:t>. Imagining the ability to use our own arguments to influence government action is one of the great virtues of academic debate</w:t>
      </w:r>
      <w:r w:rsidRPr="000C6EF2">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0C6EF2">
        <w:rPr>
          <w:rStyle w:val="StyleUnderline"/>
          <w:highlight w:val="green"/>
        </w:rPr>
        <w:t xml:space="preserve">Simulation </w:t>
      </w:r>
      <w:r w:rsidRPr="000C6EF2">
        <w:rPr>
          <w:rStyle w:val="StyleUnderline"/>
        </w:rPr>
        <w:t xml:space="preserve">of success in the public realm </w:t>
      </w:r>
      <w:r w:rsidRPr="000C6EF2">
        <w:rPr>
          <w:rStyle w:val="StyleUnderline"/>
          <w:highlight w:val="green"/>
        </w:rPr>
        <w:t xml:space="preserve">is far more empowering </w:t>
      </w:r>
      <w:r w:rsidRPr="000C6EF2">
        <w:rPr>
          <w:rStyle w:val="StyleUnderline"/>
        </w:rPr>
        <w:t xml:space="preserve">to students </w:t>
      </w:r>
      <w:r w:rsidRPr="000C6EF2">
        <w:rPr>
          <w:rStyle w:val="StyleUnderline"/>
          <w:highlight w:val="green"/>
        </w:rPr>
        <w:t xml:space="preserve">than </w:t>
      </w:r>
      <w:r w:rsidRPr="000C6EF2">
        <w:rPr>
          <w:rStyle w:val="StyleUnderline"/>
        </w:rPr>
        <w:t xml:space="preserve">completely </w:t>
      </w:r>
      <w:r w:rsidRPr="000C6EF2">
        <w:rPr>
          <w:rStyle w:val="StyleUnderline"/>
          <w:highlight w:val="green"/>
        </w:rPr>
        <w:t xml:space="preserve">abandoning all notions of personal power in the face of governmental hegemony </w:t>
      </w:r>
      <w:r w:rsidRPr="000C6EF2">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0C6EF2">
        <w:rPr>
          <w:rStyle w:val="StyleUnderline"/>
          <w:highlight w:val="green"/>
        </w:rPr>
        <w:t xml:space="preserve">Debate is role-playing whether we imagine government action or </w:t>
      </w:r>
      <w:r w:rsidRPr="000C6EF2">
        <w:rPr>
          <w:rStyle w:val="StyleUnderline"/>
        </w:rPr>
        <w:t xml:space="preserve">imagine </w:t>
      </w:r>
      <w:r w:rsidRPr="000C6EF2">
        <w:rPr>
          <w:rStyle w:val="StyleUnderline"/>
          <w:highlight w:val="green"/>
        </w:rPr>
        <w:t>individual action</w:t>
      </w:r>
      <w:r w:rsidRPr="000C6EF2">
        <w:rPr>
          <w:rStyle w:val="StyleUnderline"/>
        </w:rPr>
        <w:t xml:space="preserve">. </w:t>
      </w:r>
      <w:r w:rsidRPr="000C6EF2">
        <w:rPr>
          <w:rStyle w:val="Emphasis"/>
          <w:highlight w:val="green"/>
        </w:rPr>
        <w:t xml:space="preserve">Imagining </w:t>
      </w:r>
      <w:r w:rsidRPr="000C6EF2">
        <w:rPr>
          <w:rStyle w:val="Emphasis"/>
        </w:rPr>
        <w:t xml:space="preserve">myself starting </w:t>
      </w:r>
      <w:r w:rsidRPr="000C6EF2">
        <w:rPr>
          <w:rStyle w:val="Emphasis"/>
          <w:highlight w:val="green"/>
        </w:rPr>
        <w:t xml:space="preserve">a socialist revolution </w:t>
      </w:r>
      <w:r w:rsidRPr="000C6EF2">
        <w:rPr>
          <w:rStyle w:val="Emphasis"/>
        </w:rPr>
        <w:t xml:space="preserve">in America </w:t>
      </w:r>
      <w:r w:rsidRPr="000C6EF2">
        <w:rPr>
          <w:rStyle w:val="Emphasis"/>
          <w:highlight w:val="green"/>
        </w:rPr>
        <w:t xml:space="preserve">is no less of a fantasy than imagining </w:t>
      </w:r>
    </w:p>
    <w:p w14:paraId="71685D62" w14:textId="77777777" w:rsidR="00911B4A" w:rsidRPr="00DC2D0C" w:rsidRDefault="00911B4A" w:rsidP="00911B4A"/>
    <w:sectPr w:rsidR="00911B4A" w:rsidRPr="00DC2D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6"/>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267948847248"/>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42DDE"/>
    <w:rsid w:val="00043900"/>
    <w:rsid w:val="0005111B"/>
    <w:rsid w:val="00052FB1"/>
    <w:rsid w:val="00054276"/>
    <w:rsid w:val="000547B1"/>
    <w:rsid w:val="0006091E"/>
    <w:rsid w:val="000638C1"/>
    <w:rsid w:val="00065FEE"/>
    <w:rsid w:val="00066B33"/>
    <w:rsid w:val="00066E3C"/>
    <w:rsid w:val="00070DF5"/>
    <w:rsid w:val="00072718"/>
    <w:rsid w:val="0007381E"/>
    <w:rsid w:val="00075A89"/>
    <w:rsid w:val="00076094"/>
    <w:rsid w:val="00083069"/>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4B22"/>
    <w:rsid w:val="000E622E"/>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40F2"/>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11F"/>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90C5A"/>
    <w:rsid w:val="00290C92"/>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8D1"/>
    <w:rsid w:val="0031385D"/>
    <w:rsid w:val="003171AB"/>
    <w:rsid w:val="003223B2"/>
    <w:rsid w:val="00322A67"/>
    <w:rsid w:val="0032577A"/>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316"/>
    <w:rsid w:val="003A1B19"/>
    <w:rsid w:val="003A248F"/>
    <w:rsid w:val="003A4D9C"/>
    <w:rsid w:val="003B1668"/>
    <w:rsid w:val="003C0823"/>
    <w:rsid w:val="003C5F4C"/>
    <w:rsid w:val="003C65BA"/>
    <w:rsid w:val="003D5EA8"/>
    <w:rsid w:val="003D7B28"/>
    <w:rsid w:val="003E1C68"/>
    <w:rsid w:val="003E305E"/>
    <w:rsid w:val="003E34DB"/>
    <w:rsid w:val="003E5302"/>
    <w:rsid w:val="003E5BF1"/>
    <w:rsid w:val="003F2452"/>
    <w:rsid w:val="003F41EA"/>
    <w:rsid w:val="003F7DF0"/>
    <w:rsid w:val="004039AF"/>
    <w:rsid w:val="00404BDF"/>
    <w:rsid w:val="00405B43"/>
    <w:rsid w:val="00406C8A"/>
    <w:rsid w:val="00407AFF"/>
    <w:rsid w:val="00407DD8"/>
    <w:rsid w:val="0041155D"/>
    <w:rsid w:val="004170BF"/>
    <w:rsid w:val="00420D5E"/>
    <w:rsid w:val="004270E3"/>
    <w:rsid w:val="004348DC"/>
    <w:rsid w:val="00434921"/>
    <w:rsid w:val="00442018"/>
    <w:rsid w:val="00446567"/>
    <w:rsid w:val="00447B10"/>
    <w:rsid w:val="0045088E"/>
    <w:rsid w:val="00451F73"/>
    <w:rsid w:val="00452EE4"/>
    <w:rsid w:val="00452F0B"/>
    <w:rsid w:val="004536D6"/>
    <w:rsid w:val="00457224"/>
    <w:rsid w:val="0047482C"/>
    <w:rsid w:val="00475436"/>
    <w:rsid w:val="0048047E"/>
    <w:rsid w:val="00482AF9"/>
    <w:rsid w:val="00496BB2"/>
    <w:rsid w:val="0049760A"/>
    <w:rsid w:val="004A4BF0"/>
    <w:rsid w:val="004B37B4"/>
    <w:rsid w:val="004B72B4"/>
    <w:rsid w:val="004C0314"/>
    <w:rsid w:val="004C0D3D"/>
    <w:rsid w:val="004C1043"/>
    <w:rsid w:val="004C213E"/>
    <w:rsid w:val="004C2DD6"/>
    <w:rsid w:val="004C376C"/>
    <w:rsid w:val="004C64B4"/>
    <w:rsid w:val="004C657F"/>
    <w:rsid w:val="004D17D8"/>
    <w:rsid w:val="004D52D8"/>
    <w:rsid w:val="004E052D"/>
    <w:rsid w:val="004E355B"/>
    <w:rsid w:val="004E4AE6"/>
    <w:rsid w:val="004E6AEA"/>
    <w:rsid w:val="004F17A5"/>
    <w:rsid w:val="004F3367"/>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62F5"/>
    <w:rsid w:val="007135F0"/>
    <w:rsid w:val="00717B01"/>
    <w:rsid w:val="00721582"/>
    <w:rsid w:val="007227D9"/>
    <w:rsid w:val="0072491F"/>
    <w:rsid w:val="00725598"/>
    <w:rsid w:val="007374A1"/>
    <w:rsid w:val="00746CA0"/>
    <w:rsid w:val="00747F24"/>
    <w:rsid w:val="007500AF"/>
    <w:rsid w:val="00752712"/>
    <w:rsid w:val="00753A84"/>
    <w:rsid w:val="007611F5"/>
    <w:rsid w:val="007619E4"/>
    <w:rsid w:val="00761E75"/>
    <w:rsid w:val="0076495E"/>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3A12"/>
    <w:rsid w:val="00804D1B"/>
    <w:rsid w:val="00805417"/>
    <w:rsid w:val="00813969"/>
    <w:rsid w:val="00824F08"/>
    <w:rsid w:val="008266F9"/>
    <w:rsid w:val="008267E2"/>
    <w:rsid w:val="00826A9B"/>
    <w:rsid w:val="00834842"/>
    <w:rsid w:val="008367B3"/>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BE6"/>
    <w:rsid w:val="008F41FD"/>
    <w:rsid w:val="008F4479"/>
    <w:rsid w:val="008F4BA0"/>
    <w:rsid w:val="00901726"/>
    <w:rsid w:val="00905230"/>
    <w:rsid w:val="0090780C"/>
    <w:rsid w:val="00911B4A"/>
    <w:rsid w:val="00913244"/>
    <w:rsid w:val="00913E3F"/>
    <w:rsid w:val="00920E6A"/>
    <w:rsid w:val="00925999"/>
    <w:rsid w:val="009262FE"/>
    <w:rsid w:val="00931816"/>
    <w:rsid w:val="00932C71"/>
    <w:rsid w:val="00947AE8"/>
    <w:rsid w:val="009503F5"/>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304E"/>
    <w:rsid w:val="009B513F"/>
    <w:rsid w:val="009B69F5"/>
    <w:rsid w:val="009C1426"/>
    <w:rsid w:val="009C1C0C"/>
    <w:rsid w:val="009C5FF7"/>
    <w:rsid w:val="009C6292"/>
    <w:rsid w:val="009D15DB"/>
    <w:rsid w:val="009D3133"/>
    <w:rsid w:val="009E160D"/>
    <w:rsid w:val="009E3D11"/>
    <w:rsid w:val="009F1CBB"/>
    <w:rsid w:val="009F3305"/>
    <w:rsid w:val="009F6FB2"/>
    <w:rsid w:val="009F7D85"/>
    <w:rsid w:val="00A071C0"/>
    <w:rsid w:val="00A1271F"/>
    <w:rsid w:val="00A213B8"/>
    <w:rsid w:val="00A22670"/>
    <w:rsid w:val="00A24B35"/>
    <w:rsid w:val="00A271BA"/>
    <w:rsid w:val="00A27F86"/>
    <w:rsid w:val="00A431C6"/>
    <w:rsid w:val="00A4737A"/>
    <w:rsid w:val="00A54315"/>
    <w:rsid w:val="00A60FBC"/>
    <w:rsid w:val="00A646BB"/>
    <w:rsid w:val="00A65C0B"/>
    <w:rsid w:val="00A702BA"/>
    <w:rsid w:val="00A752B9"/>
    <w:rsid w:val="00A776BA"/>
    <w:rsid w:val="00A81FD2"/>
    <w:rsid w:val="00A83132"/>
    <w:rsid w:val="00A8441A"/>
    <w:rsid w:val="00A8674A"/>
    <w:rsid w:val="00A8721E"/>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A38"/>
    <w:rsid w:val="00B5602D"/>
    <w:rsid w:val="00B60125"/>
    <w:rsid w:val="00B6656B"/>
    <w:rsid w:val="00B71625"/>
    <w:rsid w:val="00B75C54"/>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53F"/>
    <w:rsid w:val="00D01EDC"/>
    <w:rsid w:val="00D078AA"/>
    <w:rsid w:val="00D10058"/>
    <w:rsid w:val="00D11978"/>
    <w:rsid w:val="00D15E30"/>
    <w:rsid w:val="00D16129"/>
    <w:rsid w:val="00D25DBD"/>
    <w:rsid w:val="00D26929"/>
    <w:rsid w:val="00D30095"/>
    <w:rsid w:val="00D30CBD"/>
    <w:rsid w:val="00D30D9E"/>
    <w:rsid w:val="00D33908"/>
    <w:rsid w:val="00D354F2"/>
    <w:rsid w:val="00D35E2E"/>
    <w:rsid w:val="00D36C30"/>
    <w:rsid w:val="00D37C90"/>
    <w:rsid w:val="00D43A8C"/>
    <w:rsid w:val="00D53072"/>
    <w:rsid w:val="00D53DD1"/>
    <w:rsid w:val="00D609AB"/>
    <w:rsid w:val="00D61A4E"/>
    <w:rsid w:val="00D634EA"/>
    <w:rsid w:val="00D6457D"/>
    <w:rsid w:val="00D710F2"/>
    <w:rsid w:val="00D713A1"/>
    <w:rsid w:val="00D77956"/>
    <w:rsid w:val="00D80F0C"/>
    <w:rsid w:val="00D92077"/>
    <w:rsid w:val="00D951E2"/>
    <w:rsid w:val="00D9565A"/>
    <w:rsid w:val="00DA6B20"/>
    <w:rsid w:val="00DB1FF9"/>
    <w:rsid w:val="00DB2337"/>
    <w:rsid w:val="00DB2DD0"/>
    <w:rsid w:val="00DB5F87"/>
    <w:rsid w:val="00DB699B"/>
    <w:rsid w:val="00DC0376"/>
    <w:rsid w:val="00DC099B"/>
    <w:rsid w:val="00DC2BE5"/>
    <w:rsid w:val="00DC2D0C"/>
    <w:rsid w:val="00DD4CD4"/>
    <w:rsid w:val="00DD65A2"/>
    <w:rsid w:val="00DD6770"/>
    <w:rsid w:val="00DE0749"/>
    <w:rsid w:val="00DE184A"/>
    <w:rsid w:val="00DE1CE2"/>
    <w:rsid w:val="00DE4CF7"/>
    <w:rsid w:val="00DF1210"/>
    <w:rsid w:val="00DF31E9"/>
    <w:rsid w:val="00DF3DAB"/>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3747"/>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294C"/>
    <w:rsid w:val="00ED3BBA"/>
    <w:rsid w:val="00ED4E12"/>
    <w:rsid w:val="00EE051B"/>
    <w:rsid w:val="00EE54B4"/>
    <w:rsid w:val="00EE6334"/>
    <w:rsid w:val="00EF1AD8"/>
    <w:rsid w:val="00EF2B5C"/>
    <w:rsid w:val="00EF7794"/>
    <w:rsid w:val="00F01AFA"/>
    <w:rsid w:val="00F02046"/>
    <w:rsid w:val="00F053D8"/>
    <w:rsid w:val="00F07888"/>
    <w:rsid w:val="00F1313D"/>
    <w:rsid w:val="00F132B7"/>
    <w:rsid w:val="00F201E7"/>
    <w:rsid w:val="00F204E0"/>
    <w:rsid w:val="00F20B16"/>
    <w:rsid w:val="00F21C79"/>
    <w:rsid w:val="00F238C9"/>
    <w:rsid w:val="00F23CA5"/>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5E11"/>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311F"/>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2031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31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31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
    <w:basedOn w:val="Normal"/>
    <w:next w:val="Normal"/>
    <w:link w:val="Heading4Char"/>
    <w:uiPriority w:val="3"/>
    <w:unhideWhenUsed/>
    <w:qFormat/>
    <w:rsid w:val="002031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31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311F"/>
  </w:style>
  <w:style w:type="character" w:customStyle="1" w:styleId="Heading1Char">
    <w:name w:val="Heading 1 Char"/>
    <w:aliases w:val="Pocket Char"/>
    <w:basedOn w:val="DefaultParagraphFont"/>
    <w:link w:val="Heading1"/>
    <w:rsid w:val="002031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31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311F"/>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20311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311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20311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031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0311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0311F"/>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csi.edu/research/social/pandemics/transition" TargetMode="External"/><Relationship Id="rId18" Type="http://schemas.openxmlformats.org/officeDocument/2006/relationships/hyperlink" Target="http://illinoisjltp.com/journal/wp-content/uploads/2013/10/05-05-08_Oriola_AHW_Formatted_FINAL.pdf" TargetMode="External"/><Relationship Id="rId3" Type="http://schemas.openxmlformats.org/officeDocument/2006/relationships/customXml" Target="../customXml/item3.xml"/><Relationship Id="rId21" Type="http://schemas.openxmlformats.org/officeDocument/2006/relationships/hyperlink" Target="http://nsdupdate.com/2019/a-statistical-analysis-of-side-bias-on-the-2019-november-december-lincoln-douglas-debate-topic-by-sachin-shah/?fbclid=IwAR2dksMH6SK-_CQmFOUZz7_1Ay1HbX6oBDcjnKD4RipVozgkNSkfk1Ye3E4"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iip.re.kr/webzine/2103/file/kiip_43_file5.pdf" TargetMode="External"/><Relationship Id="rId23" Type="http://schemas.openxmlformats.org/officeDocument/2006/relationships/hyperlink" Target="https://www.natcom.org/" TargetMode="Externa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image" Target="media/image1.png"/><Relationship Id="rId22" Type="http://schemas.openxmlformats.org/officeDocument/2006/relationships/hyperlink" Target="https://globalizationandhealth.biomedcentral.com/articles/10.1186/s12992-019-0485-7-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24474</Words>
  <Characters>139508</Characters>
  <Application>Microsoft Office Word</Application>
  <DocSecurity>0</DocSecurity>
  <Lines>1162</Lines>
  <Paragraphs>327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 Torrez</cp:lastModifiedBy>
  <cp:revision>15</cp:revision>
  <dcterms:created xsi:type="dcterms:W3CDTF">2021-09-11T16:36:00Z</dcterms:created>
  <dcterms:modified xsi:type="dcterms:W3CDTF">2021-09-12T00:39:00Z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