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27FF6" w14:textId="77777777" w:rsidR="0062519A" w:rsidRDefault="0062519A" w:rsidP="0062519A">
      <w:pPr>
        <w:pStyle w:val="Heading2"/>
      </w:pPr>
      <w:r>
        <w:t>1</w:t>
      </w:r>
    </w:p>
    <w:p w14:paraId="3783D9FB" w14:textId="77777777" w:rsidR="0062519A" w:rsidRPr="00BB4AA7" w:rsidRDefault="0062519A" w:rsidP="0062519A">
      <w:pPr>
        <w:pStyle w:val="Heading4"/>
      </w:pPr>
      <w:r w:rsidRPr="00BB4AA7">
        <w:t xml:space="preserve">Interpretation: </w:t>
      </w:r>
      <w:r>
        <w:t>D</w:t>
      </w:r>
      <w:r w:rsidRPr="00BB4AA7">
        <w:t xml:space="preserve">ebaters must disclose all constructive speech docs open source with highlighting on the NDCA LD wiki within an hour after debating. </w:t>
      </w:r>
    </w:p>
    <w:p w14:paraId="584E5550" w14:textId="77777777" w:rsidR="0062519A" w:rsidRDefault="0062519A" w:rsidP="0062519A">
      <w:pPr>
        <w:pStyle w:val="Heading4"/>
      </w:pPr>
      <w:r w:rsidRPr="00BB4AA7">
        <w:t>Violation – you didn’t – I have screenshots</w:t>
      </w:r>
      <w:r>
        <w:t xml:space="preserve">. To clarify im not saying you have to </w:t>
      </w:r>
    </w:p>
    <w:p w14:paraId="502BC3D1" w14:textId="77777777" w:rsidR="0062519A" w:rsidRDefault="0062519A" w:rsidP="0062519A">
      <w:pPr>
        <w:pStyle w:val="Heading4"/>
      </w:pPr>
      <w:r>
        <w:t>opensource all analytics or narratives. Just cards with highlighting and tags.</w:t>
      </w:r>
    </w:p>
    <w:p w14:paraId="3A03F607" w14:textId="77777777" w:rsidR="0062519A" w:rsidRPr="00C3703E" w:rsidRDefault="0062519A" w:rsidP="0062519A">
      <w:r w:rsidRPr="00C3703E">
        <w:rPr>
          <w:noProof/>
        </w:rPr>
        <w:drawing>
          <wp:inline distT="0" distB="0" distL="0" distR="0" wp14:anchorId="2EB214D4" wp14:editId="00D5E57B">
            <wp:extent cx="5943600" cy="3002915"/>
            <wp:effectExtent l="0" t="0" r="0" b="6985"/>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6"/>
                    <a:stretch>
                      <a:fillRect/>
                    </a:stretch>
                  </pic:blipFill>
                  <pic:spPr>
                    <a:xfrm>
                      <a:off x="0" y="0"/>
                      <a:ext cx="5943600" cy="3002915"/>
                    </a:xfrm>
                    <a:prstGeom prst="rect">
                      <a:avLst/>
                    </a:prstGeom>
                  </pic:spPr>
                </pic:pic>
              </a:graphicData>
            </a:graphic>
          </wp:inline>
        </w:drawing>
      </w:r>
    </w:p>
    <w:p w14:paraId="450240DC" w14:textId="77777777" w:rsidR="0062519A" w:rsidRPr="00BB4AA7" w:rsidRDefault="0062519A" w:rsidP="0062519A">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027F1B5B" w14:textId="77777777" w:rsidR="0062519A" w:rsidRDefault="0062519A" w:rsidP="0062519A">
      <w:pPr>
        <w:pStyle w:val="Heading4"/>
      </w:pPr>
      <w:r w:rsidRPr="00BB4AA7">
        <w:t xml:space="preserve">B. Evidence ethics – open source is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xml:space="preserve"> </w:t>
      </w:r>
    </w:p>
    <w:p w14:paraId="614926F5" w14:textId="77777777" w:rsidR="0062519A" w:rsidRDefault="0062519A" w:rsidP="0062519A">
      <w:pPr>
        <w:pStyle w:val="Heading4"/>
      </w:pPr>
      <w:r>
        <w:t>C. Depth of clash – open source allows debaters to come up with more nuanced researched objections to their opponents evidence before the round at a much faster rate, which leads to the highest quality evidence comparison instead of guessing what was highlighted</w:t>
      </w:r>
    </w:p>
    <w:p w14:paraId="4E6867FC" w14:textId="77777777" w:rsidR="0062519A" w:rsidRDefault="0062519A" w:rsidP="0062519A">
      <w:pPr>
        <w:pStyle w:val="Heading2"/>
      </w:pPr>
      <w:r>
        <w:lastRenderedPageBreak/>
        <w:t>2</w:t>
      </w:r>
    </w:p>
    <w:p w14:paraId="166A1D5E" w14:textId="77777777" w:rsidR="0062519A" w:rsidRPr="00F4330B" w:rsidRDefault="0062519A" w:rsidP="0062519A">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7FF56B6C" w14:textId="77777777" w:rsidR="0062519A" w:rsidRPr="00F767F1" w:rsidRDefault="0062519A" w:rsidP="0062519A">
      <w:pPr>
        <w:pStyle w:val="Heading4"/>
        <w:rPr>
          <w:rFonts w:cs="Calibri"/>
        </w:rPr>
      </w:pPr>
      <w:r w:rsidRPr="00F767F1">
        <w:rPr>
          <w:rFonts w:cs="Calibri"/>
        </w:rPr>
        <w:t>"Resolved" requires a policy.</w:t>
      </w:r>
    </w:p>
    <w:p w14:paraId="05270AFE" w14:textId="77777777" w:rsidR="0062519A" w:rsidRDefault="0062519A" w:rsidP="0062519A">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7"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45DD7662" w14:textId="77777777" w:rsidR="0062519A" w:rsidRPr="00453186" w:rsidRDefault="0062519A" w:rsidP="0062519A">
      <w:pPr>
        <w:pStyle w:val="Heading4"/>
        <w:rPr>
          <w:rFonts w:eastAsia="Calibri" w:cs="Calibri"/>
        </w:rPr>
      </w:pPr>
      <w:r w:rsidRPr="00453186">
        <w:rPr>
          <w:rFonts w:eastAsia="Calibri" w:cs="Calibri"/>
        </w:rPr>
        <w:t xml:space="preserve">Resolved requires policy action </w:t>
      </w:r>
    </w:p>
    <w:p w14:paraId="5C136BB6" w14:textId="77777777" w:rsidR="0062519A" w:rsidRPr="00453186" w:rsidRDefault="0062519A" w:rsidP="0062519A">
      <w:r w:rsidRPr="001165BB">
        <w:rPr>
          <w:rStyle w:val="Style13ptBold"/>
          <w:u w:val="single"/>
        </w:rPr>
        <w:t>Louisiana State Legislature</w:t>
      </w:r>
      <w:r w:rsidRPr="00453186">
        <w:rPr>
          <w:rStyle w:val="Style13ptBold"/>
        </w:rPr>
        <w:t xml:space="preserve"> </w:t>
      </w:r>
      <w:r w:rsidRPr="006F75B7">
        <w:t>(</w:t>
      </w:r>
      <w:hyperlink r:id="rId8" w:history="1">
        <w:r w:rsidRPr="000A2879">
          <w:rPr>
            <w:rStyle w:val="Hyperlink"/>
          </w:rPr>
          <w:t>https://www.legis.la.gov/legis/Glossary.aspx</w:t>
        </w:r>
      </w:hyperlink>
      <w:r>
        <w:rPr>
          <w:rStyle w:val="Hyperlink"/>
        </w:rPr>
        <w:t>)</w:t>
      </w:r>
      <w:r w:rsidRPr="00453186">
        <w:t xml:space="preserve"> Ngong</w:t>
      </w:r>
    </w:p>
    <w:p w14:paraId="70180459" w14:textId="77777777" w:rsidR="0062519A" w:rsidRPr="00E921DB" w:rsidRDefault="0062519A" w:rsidP="0062519A">
      <w:pPr>
        <w:rPr>
          <w:b/>
          <w:highlight w:val="green"/>
          <w:u w:val="single"/>
          <w:shd w:val="clear" w:color="auto" w:fill="00FFFF"/>
        </w:rPr>
      </w:pPr>
      <w:r w:rsidRPr="00E921DB">
        <w:rPr>
          <w:b/>
          <w:highlight w:val="green"/>
          <w:u w:val="single"/>
          <w:shd w:val="clear" w:color="auto" w:fill="00FFFF"/>
        </w:rPr>
        <w:t xml:space="preserve">Resolution  </w:t>
      </w:r>
    </w:p>
    <w:p w14:paraId="646BC55D" w14:textId="77777777" w:rsidR="0062519A" w:rsidRPr="00963C39" w:rsidRDefault="0062519A" w:rsidP="0062519A">
      <w:r w:rsidRPr="00E921D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E921DB">
        <w:rPr>
          <w:b/>
          <w:highlight w:val="green"/>
          <w:u w:val="single"/>
          <w:shd w:val="clear" w:color="auto" w:fill="00FFFF"/>
        </w:rPr>
        <w:t>used for</w:t>
      </w:r>
      <w:r w:rsidRPr="00453186">
        <w:rPr>
          <w:sz w:val="16"/>
        </w:rPr>
        <w:t xml:space="preserve"> making declarations,  </w:t>
      </w:r>
      <w:r w:rsidRPr="00E921DB">
        <w:rPr>
          <w:b/>
          <w:highlight w:val="green"/>
          <w:u w:val="single"/>
          <w:shd w:val="clear" w:color="auto" w:fill="00FFFF"/>
        </w:rPr>
        <w:t>stating policies</w:t>
      </w:r>
      <w:r w:rsidRPr="00E921DB">
        <w:rPr>
          <w:sz w:val="16"/>
          <w:highlight w:val="green"/>
        </w:rPr>
        <w:t>,</w:t>
      </w:r>
      <w:r w:rsidRPr="00453186">
        <w:rPr>
          <w:sz w:val="16"/>
        </w:rPr>
        <w:t xml:space="preserve"> and making decisions where some other form is not  required. A bill includes the constitutionally required enacting clause; </w:t>
      </w:r>
      <w:r w:rsidRPr="00453186">
        <w:rPr>
          <w:u w:val="single"/>
        </w:rPr>
        <w:t xml:space="preserve">a  resolution </w:t>
      </w:r>
      <w:r w:rsidRPr="00E921DB">
        <w:rPr>
          <w:b/>
          <w:highlight w:val="green"/>
          <w:u w:val="single"/>
          <w:shd w:val="clear" w:color="auto" w:fill="00FFFF"/>
        </w:rPr>
        <w:t>uses the term "resolved".</w:t>
      </w:r>
      <w:r w:rsidRPr="00453186">
        <w:rPr>
          <w:sz w:val="16"/>
        </w:rPr>
        <w:t xml:space="preserve"> Not subject to a time limit for  introduction nor to governor's veto. ( Const. Art. III, §17(B) and House  Rules 8.11 , 13.1 , 6.8 , and 7.4</w:t>
      </w:r>
      <w:r w:rsidRPr="00453186">
        <w:t xml:space="preserve"> and Senate Rules 10.9, 13.5 and 15.1)</w:t>
      </w:r>
    </w:p>
    <w:p w14:paraId="157F6485" w14:textId="77777777" w:rsidR="0062519A" w:rsidRDefault="0062519A" w:rsidP="0062519A">
      <w:pPr>
        <w:pStyle w:val="Heading4"/>
      </w:pPr>
      <w:r>
        <w:t xml:space="preserve">Appropriation </w:t>
      </w:r>
    </w:p>
    <w:p w14:paraId="533FECBA" w14:textId="77777777" w:rsidR="0062519A" w:rsidRPr="00932A50" w:rsidRDefault="0062519A" w:rsidP="0062519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6696E11" w14:textId="77777777" w:rsidR="0062519A" w:rsidRPr="004B4BE9" w:rsidRDefault="0062519A" w:rsidP="0062519A">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B05B7E" w14:textId="77777777" w:rsidR="0062519A" w:rsidRPr="00252AE8" w:rsidRDefault="0062519A" w:rsidP="0062519A">
      <w:pPr>
        <w:pStyle w:val="Heading4"/>
      </w:pPr>
      <w:r w:rsidRPr="00252AE8">
        <w:t xml:space="preserve">Outer space </w:t>
      </w:r>
    </w:p>
    <w:p w14:paraId="79B2B807" w14:textId="77777777" w:rsidR="0062519A" w:rsidRPr="00252AE8" w:rsidRDefault="0062519A" w:rsidP="0062519A">
      <w:r w:rsidRPr="00252AE8">
        <w:rPr>
          <w:rStyle w:val="Style13ptBold"/>
        </w:rPr>
        <w:t>Lexico</w:t>
      </w:r>
      <w:r w:rsidRPr="00252AE8">
        <w:t>. Oxford Dictionary. Outer Space. https://www.lexico.com/en/definition/outer_space</w:t>
      </w:r>
    </w:p>
    <w:p w14:paraId="584ADAC7" w14:textId="77777777" w:rsidR="0062519A" w:rsidRPr="00252AE8" w:rsidRDefault="0062519A" w:rsidP="0062519A">
      <w:pPr>
        <w:rPr>
          <w:rStyle w:val="StyleUnderline"/>
        </w:rPr>
      </w:pPr>
      <w:r w:rsidRPr="00252AE8">
        <w:rPr>
          <w:rStyle w:val="StyleUnderline"/>
          <w:highlight w:val="green"/>
        </w:rPr>
        <w:t>The physical universe beyond the earth's atmosphere.</w:t>
      </w:r>
    </w:p>
    <w:p w14:paraId="4AB7F669" w14:textId="77777777" w:rsidR="0062519A" w:rsidRPr="001F3EBF" w:rsidRDefault="0062519A" w:rsidP="0062519A">
      <w:pPr>
        <w:pStyle w:val="Heading4"/>
      </w:pPr>
      <w:r w:rsidRPr="001F3EBF">
        <w:t>Private entit</w:t>
      </w:r>
      <w:r>
        <w:t>ies</w:t>
      </w:r>
    </w:p>
    <w:p w14:paraId="0E74E620" w14:textId="77777777" w:rsidR="0062519A" w:rsidRPr="001F3EBF" w:rsidRDefault="0062519A" w:rsidP="0062519A">
      <w:r w:rsidRPr="001F3EBF">
        <w:rPr>
          <w:rStyle w:val="Style13ptBold"/>
        </w:rPr>
        <w:t>Law Insider.</w:t>
      </w:r>
      <w:r w:rsidRPr="001F3EBF">
        <w:t xml:space="preserve"> Private entity definition. </w:t>
      </w:r>
      <w:hyperlink r:id="rId9" w:history="1">
        <w:r w:rsidRPr="001F3EBF">
          <w:rPr>
            <w:rStyle w:val="Hyperlink"/>
          </w:rPr>
          <w:t>https://www.lawinsider.com/dictionary/private-entity</w:t>
        </w:r>
      </w:hyperlink>
      <w:r w:rsidRPr="001F3EBF">
        <w:t xml:space="preserve"> </w:t>
      </w:r>
    </w:p>
    <w:p w14:paraId="35AD1425" w14:textId="77777777" w:rsidR="0062519A" w:rsidRPr="001F3EBF" w:rsidRDefault="0062519A" w:rsidP="0062519A">
      <w:pPr>
        <w:rPr>
          <w:rStyle w:val="StyleUnderline"/>
        </w:rPr>
      </w:pPr>
      <w:r w:rsidRPr="001F3EBF">
        <w:rPr>
          <w:rStyle w:val="StyleUnderline"/>
        </w:rPr>
        <w:t xml:space="preserve">Private entity means </w:t>
      </w:r>
      <w:r w:rsidRPr="001F3EBF">
        <w:rPr>
          <w:rStyle w:val="StyleUnderline"/>
          <w:highlight w:val="green"/>
        </w:rPr>
        <w:t>any natural person, corporation, general partnership, limited liability company, limited partnership, joint venture, business trust, public benefit corporation, nonprofit entity, or other business entity.</w:t>
      </w:r>
    </w:p>
    <w:p w14:paraId="4BEAA3F6" w14:textId="77777777" w:rsidR="0062519A" w:rsidRPr="00F767F1" w:rsidRDefault="0062519A" w:rsidP="0062519A">
      <w:pPr>
        <w:rPr>
          <w:rStyle w:val="StyleUnderline"/>
        </w:rPr>
      </w:pPr>
    </w:p>
    <w:p w14:paraId="03A0EA04" w14:textId="77777777" w:rsidR="0062519A" w:rsidRDefault="0062519A" w:rsidP="0062519A">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4F3E402B" w14:textId="77777777" w:rsidR="0062519A" w:rsidRDefault="0062519A" w:rsidP="0062519A">
      <w:pPr>
        <w:pStyle w:val="Heading4"/>
      </w:pPr>
    </w:p>
    <w:p w14:paraId="22308B9D" w14:textId="77777777" w:rsidR="0062519A" w:rsidRDefault="0062519A" w:rsidP="0062519A">
      <w:pPr>
        <w:pStyle w:val="Heading4"/>
      </w:pPr>
      <w:r>
        <w:t xml:space="preserve">Fairness turns the Aff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Affs – for people who </w:t>
      </w:r>
      <w:r>
        <w:rPr>
          <w:u w:val="single"/>
        </w:rPr>
        <w:t>can’t afford</w:t>
      </w:r>
      <w:r>
        <w:t xml:space="preserve"> to work on debate full-time due to income concerns, their interp says unless you prep out </w:t>
      </w:r>
      <w:r>
        <w:rPr>
          <w:u w:val="single"/>
        </w:rPr>
        <w:t>every possible Aff</w:t>
      </w:r>
      <w:r>
        <w:t>, they lose 3] Bound up in the logic</w:t>
      </w:r>
    </w:p>
    <w:p w14:paraId="3B68BF48" w14:textId="77777777" w:rsidR="0062519A" w:rsidRDefault="0062519A" w:rsidP="0062519A"/>
    <w:p w14:paraId="3C7EFE4E" w14:textId="77777777" w:rsidR="0062519A" w:rsidRPr="00F520E9" w:rsidRDefault="0062519A" w:rsidP="0062519A">
      <w:pPr>
        <w:pStyle w:val="Heading4"/>
      </w:pPr>
      <w:r w:rsidRPr="00F520E9">
        <w:t xml:space="preserve">Fairness, </w:t>
      </w:r>
      <w:r>
        <w:t>also outweighs</w:t>
      </w:r>
      <w:r w:rsidRPr="00F520E9">
        <w:tab/>
      </w:r>
    </w:p>
    <w:p w14:paraId="6EEEC54F" w14:textId="77777777" w:rsidR="0062519A" w:rsidRPr="00F520E9" w:rsidRDefault="0062519A" w:rsidP="0062519A">
      <w:pPr>
        <w:pStyle w:val="Heading4"/>
      </w:pPr>
      <w:r w:rsidRPr="00F520E9">
        <w:t>1] its an independent impact and prior to the aff intrinsically true in the context of a competitive activity, before you feel comfortable voting aff, you should determine the fair basis to adjudicate substance its contradictory to vote on fairness bad you have no obligation to evaluate their arguments or conclude the aff is a good idea, which proves the lack of fairness renders the activity incoherent</w:t>
      </w:r>
    </w:p>
    <w:p w14:paraId="591452C5" w14:textId="77777777" w:rsidR="0062519A" w:rsidRPr="00F520E9" w:rsidRDefault="0062519A" w:rsidP="0062519A">
      <w:pPr>
        <w:pStyle w:val="Heading4"/>
      </w:pPr>
      <w:r w:rsidRPr="00F520E9">
        <w:t xml:space="preserve">2] Scope, it’s the only impact you can solve for, voting for them doesn’t resolve antiblackness in debate but voting for T remedies procedural inequalities caused by their aff </w:t>
      </w:r>
    </w:p>
    <w:p w14:paraId="7BB83F22" w14:textId="77777777" w:rsidR="0062519A" w:rsidRPr="00F520E9" w:rsidRDefault="0062519A" w:rsidP="0062519A">
      <w:pPr>
        <w:pStyle w:val="Heading4"/>
      </w:pPr>
      <w:r w:rsidRPr="00F520E9">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665AE6F2" w14:textId="77777777" w:rsidR="0062519A" w:rsidRPr="007C50EB" w:rsidRDefault="0062519A" w:rsidP="0062519A"/>
    <w:p w14:paraId="485ACBD2" w14:textId="77777777" w:rsidR="0062519A" w:rsidRDefault="0062519A" w:rsidP="0062519A">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5E4A256F" w14:textId="77777777" w:rsidR="0062519A" w:rsidRPr="00A10C56" w:rsidRDefault="0062519A" w:rsidP="0062519A"/>
    <w:p w14:paraId="5D8AED9D" w14:textId="77777777" w:rsidR="0062519A" w:rsidRDefault="0062519A" w:rsidP="0062519A">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35CA7528" w14:textId="77777777" w:rsidR="0062519A" w:rsidRDefault="0062519A" w:rsidP="0062519A"/>
    <w:p w14:paraId="32FD4032" w14:textId="77777777" w:rsidR="0062519A" w:rsidRDefault="0062519A" w:rsidP="0062519A">
      <w:pPr>
        <w:pStyle w:val="Heading4"/>
      </w:pPr>
      <w:r>
        <w:t xml:space="preserve">Fourth-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38948EA3" w14:textId="77777777" w:rsidR="0062519A" w:rsidRPr="007C580E" w:rsidRDefault="0062519A" w:rsidP="0062519A">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3630E034" w14:textId="77777777" w:rsidR="0062519A" w:rsidRPr="007C580E" w:rsidRDefault="0062519A" w:rsidP="0062519A">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0C15EE54" w14:textId="77777777" w:rsidR="0062519A" w:rsidRPr="001B13D8" w:rsidRDefault="0062519A" w:rsidP="0062519A">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t>Affirm the public trust doctrine aff which solves legal ambiguity of space colonization by shutting out IP rights, then apply those spillover policies to disability</w:t>
      </w:r>
      <w:r>
        <w:rPr>
          <w:rFonts w:asciiTheme="minorHAnsi" w:hAnsiTheme="minorHAnsi" w:cstheme="minorHAnsi"/>
        </w:rPr>
        <w:t>]</w:t>
      </w:r>
    </w:p>
    <w:p w14:paraId="4064D246" w14:textId="77777777" w:rsidR="0062519A" w:rsidRPr="00F800C0" w:rsidRDefault="0062519A" w:rsidP="0062519A">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just the substantive burden of the Aff.</w:t>
      </w:r>
    </w:p>
    <w:p w14:paraId="76E3A563" w14:textId="77777777" w:rsidR="0062519A" w:rsidRDefault="0062519A" w:rsidP="0062519A">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164CBEA1" w14:textId="77777777" w:rsidR="0062519A" w:rsidRDefault="0062519A" w:rsidP="0062519A">
      <w:pPr>
        <w:pStyle w:val="Heading2"/>
      </w:pPr>
      <w:r>
        <w:t>3</w:t>
      </w:r>
    </w:p>
    <w:p w14:paraId="1939DD1D" w14:textId="77777777" w:rsidR="0062519A" w:rsidRDefault="0062519A" w:rsidP="0062519A">
      <w:pPr>
        <w:pStyle w:val="Heading4"/>
      </w:pPr>
      <w:r>
        <w:t>We are in the midst of a race war and King has refused to definitively align themselves with militant revolution on the NDCA LD Wiki</w:t>
      </w:r>
    </w:p>
    <w:p w14:paraId="5BE464F8" w14:textId="77777777" w:rsidR="0062519A" w:rsidRDefault="0062519A" w:rsidP="0062519A">
      <w:pPr>
        <w:pStyle w:val="Heading4"/>
      </w:pPr>
      <w:r>
        <w:t>Hesitation in the Race War is a voting issue:</w:t>
      </w:r>
    </w:p>
    <w:p w14:paraId="64026A37" w14:textId="77777777" w:rsidR="0062519A" w:rsidRDefault="0062519A" w:rsidP="0062519A">
      <w:pPr>
        <w:pStyle w:val="Heading4"/>
      </w:pPr>
      <w:r>
        <w:t xml:space="preserve">(1)  </w:t>
      </w:r>
      <w:r w:rsidRPr="0057594C">
        <w:rPr>
          <w:u w:val="single"/>
        </w:rPr>
        <w:t>Survival Planning –</w:t>
      </w:r>
      <w:r>
        <w:t xml:space="preserve"> debate is not a safe space proven by debaters calling the cops on black students playing music and labeling native debaters cheaters for publishing their scholarship in journals to read in debates. King must be clear on where they stand on the race war so colored debaters can navigate hostile spaces – remedies violence- that outweighs since every other impact assumes the ability to access the debate space. Pre-round side disclosure is key to planning out survival tactics and circumventing racial violence by mapping coalitions and enemies.</w:t>
      </w:r>
    </w:p>
    <w:p w14:paraId="4BB19DF1" w14:textId="77777777" w:rsidR="0062519A" w:rsidRPr="00571617" w:rsidRDefault="0062519A" w:rsidP="0062519A">
      <w:pPr>
        <w:pStyle w:val="Heading4"/>
      </w:pPr>
      <w:r>
        <w:t xml:space="preserve">(2)  </w:t>
      </w:r>
      <w:r w:rsidRPr="0057594C">
        <w:rPr>
          <w:u w:val="single"/>
        </w:rPr>
        <w:t>Wolves in Sheep’s Clothing</w:t>
      </w:r>
      <w:r>
        <w:t xml:space="preserve"> – White Being supervises Reconstructionist politics sustaining supremacist institutions while repackaging liberal politics as change. Think of affirmative action policies that layers bodies in institutions while continuing to sustain those very structures that recreate violence. Pre-round specification is key to cross-checking their specification with their content to fight back against supremacies implantation in resistance. Anything else allows for in round flip-flops and lying that allow them to sustain supremacist structures while not being held accountable for violence in the race war. </w:t>
      </w:r>
    </w:p>
    <w:p w14:paraId="7804F7D8" w14:textId="77777777" w:rsidR="0062519A" w:rsidRPr="004A15E4" w:rsidRDefault="0062519A" w:rsidP="0062519A"/>
    <w:p w14:paraId="1802638F" w14:textId="77777777" w:rsidR="0062519A" w:rsidRPr="006E6E5D" w:rsidRDefault="0062519A" w:rsidP="0062519A"/>
    <w:p w14:paraId="54A5A50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83C44"/>
    <w:multiLevelType w:val="hybridMultilevel"/>
    <w:tmpl w:val="2F4CC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170F0"/>
    <w:multiLevelType w:val="hybridMultilevel"/>
    <w:tmpl w:val="13D88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B903B2"/>
    <w:multiLevelType w:val="hybridMultilevel"/>
    <w:tmpl w:val="11D0D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F7E2A"/>
    <w:multiLevelType w:val="hybridMultilevel"/>
    <w:tmpl w:val="9EEA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4"/>
  </w:num>
  <w:num w:numId="14">
    <w:abstractNumId w:val="12"/>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2519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2519A"/>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F148"/>
  <w15:chartTrackingRefBased/>
  <w15:docId w15:val="{6797841E-B061-4E2E-96C7-7104BB9C6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519A"/>
    <w:rPr>
      <w:rFonts w:ascii="Calibri" w:hAnsi="Calibri" w:cs="Calibri"/>
    </w:rPr>
  </w:style>
  <w:style w:type="paragraph" w:styleId="Heading1">
    <w:name w:val="heading 1"/>
    <w:aliases w:val="Pocket"/>
    <w:basedOn w:val="Normal"/>
    <w:next w:val="Normal"/>
    <w:link w:val="Heading1Char"/>
    <w:qFormat/>
    <w:rsid w:val="006251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51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51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TAG,ta,tag, Ch"/>
    <w:basedOn w:val="Normal"/>
    <w:next w:val="Normal"/>
    <w:link w:val="Heading4Char"/>
    <w:uiPriority w:val="3"/>
    <w:unhideWhenUsed/>
    <w:qFormat/>
    <w:rsid w:val="006251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51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19A"/>
  </w:style>
  <w:style w:type="character" w:customStyle="1" w:styleId="Heading1Char">
    <w:name w:val="Heading 1 Char"/>
    <w:aliases w:val="Pocket Char"/>
    <w:basedOn w:val="DefaultParagraphFont"/>
    <w:link w:val="Heading1"/>
    <w:rsid w:val="006251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51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519A"/>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w:basedOn w:val="DefaultParagraphFont"/>
    <w:link w:val="Heading4"/>
    <w:uiPriority w:val="3"/>
    <w:rsid w:val="006251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6251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519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62519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2519A"/>
    <w:rPr>
      <w:color w:val="auto"/>
      <w:u w:val="none"/>
    </w:rPr>
  </w:style>
  <w:style w:type="character" w:styleId="FollowedHyperlink">
    <w:name w:val="FollowedHyperlink"/>
    <w:basedOn w:val="DefaultParagraphFont"/>
    <w:uiPriority w:val="99"/>
    <w:semiHidden/>
    <w:unhideWhenUsed/>
    <w:rsid w:val="0062519A"/>
    <w:rPr>
      <w:color w:val="auto"/>
      <w:u w:val="none"/>
    </w:rPr>
  </w:style>
  <w:style w:type="paragraph" w:customStyle="1" w:styleId="textbold">
    <w:name w:val="text bold"/>
    <w:basedOn w:val="Normal"/>
    <w:link w:val="Emphasis"/>
    <w:autoRedefine/>
    <w:uiPriority w:val="7"/>
    <w:qFormat/>
    <w:rsid w:val="0062519A"/>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gov/legis/Glossary.aspx" TargetMode="External"/><Relationship Id="rId3" Type="http://schemas.openxmlformats.org/officeDocument/2006/relationships/styles" Target="styles.xml"/><Relationship Id="rId7" Type="http://schemas.openxmlformats.org/officeDocument/2006/relationships/hyperlink" Target="https://www.merriam-webster.com/dictionary/resol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winsider.com/dictionary/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4963</Words>
  <Characters>28294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2021-12-18T17:18:00Z</dcterms:created>
  <dcterms:modified xsi:type="dcterms:W3CDTF">2021-12-18T17:18:00Z</dcterms:modified>
</cp:coreProperties>
</file>