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91BC6" w14:textId="77777777" w:rsidR="002932F1" w:rsidRDefault="002932F1" w:rsidP="002932F1">
      <w:pPr>
        <w:pStyle w:val="Heading2"/>
      </w:pPr>
      <w:r>
        <w:t>1</w:t>
      </w:r>
    </w:p>
    <w:p w14:paraId="7E1B2436" w14:textId="77777777" w:rsidR="002932F1" w:rsidRPr="00F4330B" w:rsidRDefault="002932F1" w:rsidP="002932F1">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72492F0A" w14:textId="77777777" w:rsidR="002932F1" w:rsidRPr="001B13D8" w:rsidRDefault="002932F1" w:rsidP="002932F1">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7C9E9A79" w14:textId="77777777" w:rsidR="002932F1" w:rsidRPr="001B13D8" w:rsidRDefault="002932F1" w:rsidP="002932F1">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6B99204C" w14:textId="77777777" w:rsidR="002932F1" w:rsidRPr="001B13D8" w:rsidRDefault="002932F1" w:rsidP="002932F1">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6C78E5B0" w14:textId="77777777" w:rsidR="002932F1" w:rsidRDefault="002932F1" w:rsidP="002932F1">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7510884C" w14:textId="77777777" w:rsidR="002932F1" w:rsidRDefault="002932F1" w:rsidP="002932F1">
      <w:pPr>
        <w:pStyle w:val="Heading4"/>
      </w:pPr>
      <w:r>
        <w:t>Government</w:t>
      </w:r>
    </w:p>
    <w:p w14:paraId="1649B317" w14:textId="77777777" w:rsidR="002932F1" w:rsidRDefault="002932F1" w:rsidP="002932F1">
      <w:r w:rsidRPr="00E548A6">
        <w:rPr>
          <w:rStyle w:val="Style13ptBold"/>
        </w:rPr>
        <w:t>Oxford</w:t>
      </w:r>
      <w:r w:rsidRPr="00E548A6">
        <w:t xml:space="preserve"> Lexico. Definition of </w:t>
      </w:r>
      <w:r>
        <w:t>government</w:t>
      </w:r>
      <w:r w:rsidRPr="00E548A6">
        <w:t xml:space="preserve"> in English. </w:t>
      </w:r>
      <w:hyperlink r:id="rId6" w:history="1">
        <w:r w:rsidRPr="00DC55D6">
          <w:rPr>
            <w:rStyle w:val="Hyperlink"/>
          </w:rPr>
          <w:t>https://www.lexico.com/en/definition/government</w:t>
        </w:r>
      </w:hyperlink>
    </w:p>
    <w:p w14:paraId="246826FD" w14:textId="77777777" w:rsidR="002932F1" w:rsidRDefault="002932F1" w:rsidP="002932F1">
      <w:pPr>
        <w:rPr>
          <w:rStyle w:val="StyleUnderline"/>
        </w:rPr>
      </w:pPr>
      <w:r>
        <w:rPr>
          <w:rStyle w:val="StyleUnderline"/>
        </w:rPr>
        <w:t xml:space="preserve">The </w:t>
      </w:r>
      <w:r w:rsidRPr="00A7685F">
        <w:rPr>
          <w:rStyle w:val="StyleUnderline"/>
          <w:highlight w:val="green"/>
        </w:rPr>
        <w:t>governing body of a nation, state, or community</w:t>
      </w:r>
      <w:r>
        <w:rPr>
          <w:rStyle w:val="StyleUnderline"/>
        </w:rPr>
        <w:t>. ‘an agency of the federal government’</w:t>
      </w:r>
    </w:p>
    <w:p w14:paraId="4AAC8323" w14:textId="77777777" w:rsidR="002932F1" w:rsidRPr="00FB17BA" w:rsidRDefault="002932F1" w:rsidP="002932F1">
      <w:pPr>
        <w:pStyle w:val="Heading4"/>
      </w:pPr>
      <w:r w:rsidRPr="00FB17BA">
        <w:t>Recognize</w:t>
      </w:r>
    </w:p>
    <w:p w14:paraId="572FBDA4" w14:textId="77777777" w:rsidR="002932F1" w:rsidRDefault="002932F1" w:rsidP="002932F1">
      <w:r w:rsidRPr="00E548A6">
        <w:rPr>
          <w:rStyle w:val="Style13ptBold"/>
        </w:rPr>
        <w:t>Oxford</w:t>
      </w:r>
      <w:r w:rsidRPr="00E548A6">
        <w:t xml:space="preserve"> Lexico. Definition of recognize in English. </w:t>
      </w:r>
      <w:hyperlink r:id="rId7" w:history="1">
        <w:r w:rsidRPr="00DC55D6">
          <w:rPr>
            <w:rStyle w:val="Hyperlink"/>
          </w:rPr>
          <w:t>https://www.lexico.com/en/definition/recognize</w:t>
        </w:r>
      </w:hyperlink>
    </w:p>
    <w:p w14:paraId="5D8B13F1" w14:textId="77777777" w:rsidR="002932F1" w:rsidRDefault="002932F1" w:rsidP="002932F1">
      <w:r w:rsidRPr="00E548A6">
        <w:rPr>
          <w:rStyle w:val="StyleUnderline"/>
          <w:highlight w:val="green"/>
        </w:rPr>
        <w:t>Acknowledge</w:t>
      </w:r>
      <w:r w:rsidRPr="00E548A6">
        <w:rPr>
          <w:rStyle w:val="StyleUnderline"/>
        </w:rPr>
        <w:t xml:space="preserve"> the </w:t>
      </w:r>
      <w:r w:rsidRPr="00E548A6">
        <w:rPr>
          <w:rStyle w:val="StyleUnderline"/>
          <w:highlight w:val="green"/>
        </w:rPr>
        <w:t>existence</w:t>
      </w:r>
      <w:r w:rsidRPr="00E548A6">
        <w:rPr>
          <w:rStyle w:val="StyleUnderline"/>
        </w:rPr>
        <w:t xml:space="preserve">, </w:t>
      </w:r>
      <w:r w:rsidRPr="00E548A6">
        <w:rPr>
          <w:rStyle w:val="StyleUnderline"/>
          <w:highlight w:val="green"/>
        </w:rPr>
        <w:t>validity, or legality of</w:t>
      </w:r>
      <w:r>
        <w:t>. ‘the defense is recognized in Mexican law’</w:t>
      </w:r>
    </w:p>
    <w:p w14:paraId="3B88FCD0" w14:textId="77777777" w:rsidR="002932F1" w:rsidRDefault="002932F1" w:rsidP="002932F1">
      <w:pPr>
        <w:pStyle w:val="Heading4"/>
      </w:pPr>
      <w:r>
        <w:t>Unconditional</w:t>
      </w:r>
    </w:p>
    <w:p w14:paraId="11577F7F" w14:textId="77777777" w:rsidR="002932F1" w:rsidRDefault="002932F1" w:rsidP="002932F1">
      <w:r w:rsidRPr="00FB17BA">
        <w:rPr>
          <w:rStyle w:val="Style13ptBold"/>
        </w:rPr>
        <w:t>US Legal.</w:t>
      </w:r>
      <w:r>
        <w:t xml:space="preserve"> Unconditional Law and Legal Definition. </w:t>
      </w:r>
      <w:r w:rsidRPr="00FB17BA">
        <w:t>https://definitions.uslegal.com/u/unconditional/</w:t>
      </w:r>
    </w:p>
    <w:p w14:paraId="64C2ECFF" w14:textId="77777777" w:rsidR="002932F1" w:rsidRPr="00CC2744" w:rsidRDefault="002932F1" w:rsidP="002932F1">
      <w:pPr>
        <w:rPr>
          <w:u w:val="single"/>
        </w:rPr>
      </w:pPr>
      <w:r w:rsidRPr="00FB17BA">
        <w:rPr>
          <w:rStyle w:val="StyleUnderline"/>
          <w:highlight w:val="green"/>
        </w:rPr>
        <w:t>Unconditional means without conditions</w:t>
      </w:r>
      <w:r w:rsidRPr="00FB17BA">
        <w:rPr>
          <w:rStyle w:val="StyleUnderline"/>
        </w:rPr>
        <w:t xml:space="preserve">; without </w:t>
      </w:r>
      <w:r w:rsidRPr="00FB17BA">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250AE5E1" w14:textId="77777777" w:rsidR="002932F1" w:rsidRDefault="002932F1" w:rsidP="002932F1">
      <w:pPr>
        <w:pStyle w:val="Heading4"/>
      </w:pPr>
      <w:r>
        <w:lastRenderedPageBreak/>
        <w:t>[</w:t>
      </w:r>
      <w:r w:rsidRPr="006477B6">
        <w:rPr>
          <w:highlight w:val="green"/>
        </w:rPr>
        <w:t>4</w:t>
      </w:r>
      <w:r>
        <w:t>] Standards to Prefer:</w:t>
      </w:r>
    </w:p>
    <w:p w14:paraId="2E21AA27" w14:textId="77777777" w:rsidR="002932F1" w:rsidRDefault="002932F1" w:rsidP="002932F1">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5C896399" w14:textId="77777777" w:rsidR="002932F1" w:rsidRDefault="002932F1" w:rsidP="002932F1">
      <w:pPr>
        <w:pStyle w:val="Heading4"/>
      </w:pPr>
    </w:p>
    <w:p w14:paraId="1DBEBEB9" w14:textId="77777777" w:rsidR="002932F1" w:rsidRDefault="002932F1" w:rsidP="002932F1">
      <w:pPr>
        <w:pStyle w:val="Heading4"/>
      </w:pPr>
      <w:r>
        <w:t xml:space="preserve">Fairness turns the Aff – 1] Solutions to status quo unfairness should not be to remove them for all but work to ensure that fairness in </w:t>
      </w:r>
      <w:r>
        <w:rPr>
          <w:u w:val="single"/>
        </w:rPr>
        <w:t>every instance</w:t>
      </w:r>
      <w:r>
        <w:t xml:space="preserve"> is remedied and 2] An unlimited topic </w:t>
      </w:r>
      <w:r>
        <w:rPr>
          <w:u w:val="single"/>
        </w:rPr>
        <w:t>hurts</w:t>
      </w:r>
      <w:r>
        <w:t xml:space="preserve"> low-income and minority debaters by allowing big schools infinite capacity to break non-T Affs – for people who </w:t>
      </w:r>
      <w:r>
        <w:rPr>
          <w:u w:val="single"/>
        </w:rPr>
        <w:t>can’t afford</w:t>
      </w:r>
      <w:r>
        <w:t xml:space="preserve"> to work on debate full-time due to income concerns, their interp says unless you prep out </w:t>
      </w:r>
      <w:r>
        <w:rPr>
          <w:u w:val="single"/>
        </w:rPr>
        <w:t>every possible Aff</w:t>
      </w:r>
      <w:r>
        <w:t>, you will always lose.</w:t>
      </w:r>
    </w:p>
    <w:p w14:paraId="39A78664" w14:textId="77777777" w:rsidR="002932F1" w:rsidRDefault="002932F1" w:rsidP="002932F1"/>
    <w:p w14:paraId="6ADB733B" w14:textId="77777777" w:rsidR="002932F1" w:rsidRPr="00F520E9" w:rsidRDefault="002932F1" w:rsidP="002932F1">
      <w:pPr>
        <w:pStyle w:val="Heading4"/>
      </w:pPr>
      <w:r w:rsidRPr="00F520E9">
        <w:t xml:space="preserve">Fairness, </w:t>
      </w:r>
      <w:r w:rsidRPr="00F520E9">
        <w:tab/>
      </w:r>
    </w:p>
    <w:p w14:paraId="7FE09484" w14:textId="77777777" w:rsidR="002932F1" w:rsidRPr="00F520E9" w:rsidRDefault="002932F1" w:rsidP="002932F1">
      <w:pPr>
        <w:pStyle w:val="Heading4"/>
      </w:pPr>
      <w:r w:rsidRPr="00F520E9">
        <w:t>1] its an independent impact and prior to the aff intrinsically true in the context of a competitive activity, before you feel comfortable voting aff, you should determine the fair basis to adjudicate substance its contradictory to vote on fairness bad you have no obligation to evaluate their arguments or conclude the aff is a good idea, which proves the lack of fairness renders the activity incoherent</w:t>
      </w:r>
    </w:p>
    <w:p w14:paraId="65AE9658" w14:textId="77777777" w:rsidR="002932F1" w:rsidRPr="00F520E9" w:rsidRDefault="002932F1" w:rsidP="002932F1">
      <w:pPr>
        <w:pStyle w:val="Heading4"/>
      </w:pPr>
      <w:r w:rsidRPr="00F520E9">
        <w:t xml:space="preserve">2] Scope, it’s the only impact you can solve for, voting for them doesn’t resolve antiblackness in debate but voting for T remedies procedural inequalities caused by their aff </w:t>
      </w:r>
    </w:p>
    <w:p w14:paraId="75CA9AB0" w14:textId="77777777" w:rsidR="002932F1" w:rsidRPr="00F520E9" w:rsidRDefault="002932F1" w:rsidP="002932F1">
      <w:pPr>
        <w:pStyle w:val="Heading4"/>
      </w:pPr>
      <w:r w:rsidRPr="00F520E9">
        <w:t xml:space="preserve">3] Only way the game works, undergirds competitive incentive to research and prep engage and clash for argumentative evaluation, OOR and prep solves their education offense, but fairness ensures that this hour is productive, this protects under resourced debaters from impossible research burdens, their version makes debate pay to play, but our model makes that better by forcing large teams to be bound to the topic </w:t>
      </w:r>
    </w:p>
    <w:p w14:paraId="789D4147" w14:textId="77777777" w:rsidR="002932F1" w:rsidRPr="00A10C56" w:rsidRDefault="002932F1" w:rsidP="002932F1"/>
    <w:p w14:paraId="43DE3E00" w14:textId="77777777" w:rsidR="002932F1" w:rsidRDefault="002932F1" w:rsidP="002932F1">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3FFD4D8F" w14:textId="77777777" w:rsidR="002932F1" w:rsidRPr="00A10C56" w:rsidRDefault="002932F1" w:rsidP="002932F1"/>
    <w:p w14:paraId="73952C54" w14:textId="77777777" w:rsidR="002932F1" w:rsidRDefault="002932F1" w:rsidP="002932F1">
      <w:pPr>
        <w:pStyle w:val="Heading4"/>
      </w:pPr>
      <w:r>
        <w:t xml:space="preserve">Third – </w:t>
      </w: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3CD29A5C" w14:textId="77777777" w:rsidR="002932F1" w:rsidRDefault="002932F1" w:rsidP="002932F1"/>
    <w:p w14:paraId="7678A165" w14:textId="77777777" w:rsidR="002932F1" w:rsidRDefault="002932F1" w:rsidP="002932F1">
      <w:pPr>
        <w:pStyle w:val="Heading4"/>
      </w:pPr>
      <w:r>
        <w:t xml:space="preserve">Fourth-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0CD4A810" w14:textId="77777777" w:rsidR="002932F1" w:rsidRPr="007C580E" w:rsidRDefault="002932F1" w:rsidP="002932F1">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554037C4" w14:textId="77777777" w:rsidR="002932F1" w:rsidRPr="007C580E" w:rsidRDefault="002932F1" w:rsidP="002932F1">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1BA83EC2" w14:textId="77777777" w:rsidR="002932F1" w:rsidRPr="001B13D8" w:rsidRDefault="002932F1" w:rsidP="002932F1">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w:t>
      </w:r>
      <w:r w:rsidRPr="006477B6">
        <w:rPr>
          <w:rFonts w:asciiTheme="minorHAnsi" w:hAnsiTheme="minorHAnsi" w:cstheme="minorHAnsi"/>
          <w:highlight w:val="green"/>
        </w:rPr>
        <w:t xml:space="preserve">Affirm a </w:t>
      </w:r>
      <w:r>
        <w:rPr>
          <w:rFonts w:asciiTheme="minorHAnsi" w:hAnsiTheme="minorHAnsi" w:cstheme="minorHAnsi"/>
        </w:rPr>
        <w:t>unconditional right to strike for disabled workers that attempts to declare radicality with the system, solves all of your offense]</w:t>
      </w:r>
    </w:p>
    <w:p w14:paraId="207C692D" w14:textId="77777777" w:rsidR="002932F1" w:rsidRPr="00F800C0" w:rsidRDefault="002932F1" w:rsidP="002932F1">
      <w:pPr>
        <w:pStyle w:val="Heading4"/>
        <w:rPr>
          <w:rFonts w:asciiTheme="minorHAnsi" w:hAnsiTheme="minorHAnsi" w:cstheme="minorHAnsi"/>
          <w:bCs/>
          <w:szCs w:val="26"/>
        </w:rPr>
      </w:pPr>
      <w:r>
        <w:rPr>
          <w:rFonts w:asciiTheme="minorHAnsi" w:hAnsiTheme="minorHAnsi" w:cstheme="minorHAnsi"/>
          <w:bCs/>
          <w:szCs w:val="26"/>
        </w:rPr>
        <w:t xml:space="preserve">TVA is terminal defense – proves our models aren’t </w:t>
      </w:r>
      <w:r>
        <w:rPr>
          <w:rFonts w:asciiTheme="minorHAnsi" w:hAnsiTheme="minorHAnsi" w:cstheme="minorHAnsi"/>
          <w:bCs/>
          <w:szCs w:val="26"/>
          <w:u w:val="single"/>
        </w:rPr>
        <w:t xml:space="preserve">mutually </w:t>
      </w:r>
      <w:r w:rsidRPr="00F800C0">
        <w:rPr>
          <w:rFonts w:asciiTheme="minorHAnsi" w:hAnsiTheme="minorHAnsi" w:cstheme="minorHAnsi"/>
          <w:bCs/>
          <w:szCs w:val="26"/>
          <w:u w:val="single"/>
        </w:rPr>
        <w:t>exclusive</w:t>
      </w:r>
      <w:r>
        <w:rPr>
          <w:rFonts w:asciiTheme="minorHAnsi" w:hAnsiTheme="minorHAnsi" w:cstheme="minorHAnsi"/>
          <w:bCs/>
          <w:szCs w:val="26"/>
        </w:rPr>
        <w:t xml:space="preserve"> - </w:t>
      </w:r>
      <w:r w:rsidRPr="00F800C0">
        <w:rPr>
          <w:rFonts w:asciiTheme="minorHAnsi" w:hAnsiTheme="minorHAnsi" w:cstheme="minorHAnsi"/>
          <w:bCs/>
          <w:szCs w:val="26"/>
        </w:rPr>
        <w:t>any</w:t>
      </w:r>
      <w:r w:rsidRPr="001B13D8">
        <w:rPr>
          <w:rFonts w:asciiTheme="minorHAnsi" w:hAnsiTheme="minorHAnsi" w:cstheme="minorHAnsi"/>
          <w:bCs/>
          <w:szCs w:val="26"/>
        </w:rPr>
        <w:t xml:space="preserve">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r>
        <w:rPr>
          <w:rFonts w:asciiTheme="minorHAnsi" w:hAnsiTheme="minorHAnsi" w:cstheme="minorHAnsi"/>
          <w:bCs/>
          <w:szCs w:val="26"/>
        </w:rPr>
        <w:t xml:space="preserve">. 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just the substantive burden of the Aff.</w:t>
      </w:r>
    </w:p>
    <w:p w14:paraId="5FDBAEE0" w14:textId="77777777" w:rsidR="002932F1" w:rsidRDefault="002932F1" w:rsidP="002932F1">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weren’t able to adequately prepare for it.</w:t>
      </w:r>
    </w:p>
    <w:p w14:paraId="0E757DE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2B6F24"/>
    <w:multiLevelType w:val="hybridMultilevel"/>
    <w:tmpl w:val="6F605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2932F1"/>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932F1"/>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D1C6D"/>
  <w15:chartTrackingRefBased/>
  <w15:docId w15:val="{D8A5D95F-C1C4-4F29-9B0E-EFF67C5A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32F1"/>
    <w:rPr>
      <w:rFonts w:ascii="Calibri" w:hAnsi="Calibri" w:cs="Calibri"/>
    </w:rPr>
  </w:style>
  <w:style w:type="paragraph" w:styleId="Heading1">
    <w:name w:val="heading 1"/>
    <w:aliases w:val="Pocket"/>
    <w:basedOn w:val="Normal"/>
    <w:next w:val="Normal"/>
    <w:link w:val="Heading1Char"/>
    <w:qFormat/>
    <w:rsid w:val="002932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32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32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2932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32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2F1"/>
  </w:style>
  <w:style w:type="character" w:customStyle="1" w:styleId="Heading1Char">
    <w:name w:val="Heading 1 Char"/>
    <w:aliases w:val="Pocket Char"/>
    <w:basedOn w:val="DefaultParagraphFont"/>
    <w:link w:val="Heading1"/>
    <w:rsid w:val="002932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32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32F1"/>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2932F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2932F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32F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2932F1"/>
    <w:rPr>
      <w:b w:val="0"/>
      <w:sz w:val="22"/>
      <w:u w:val="singl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uiPriority w:val="99"/>
    <w:unhideWhenUsed/>
    <w:rsid w:val="002932F1"/>
    <w:rPr>
      <w:color w:val="auto"/>
      <w:u w:val="none"/>
    </w:rPr>
  </w:style>
  <w:style w:type="character" w:styleId="FollowedHyperlink">
    <w:name w:val="FollowedHyperlink"/>
    <w:basedOn w:val="DefaultParagraphFont"/>
    <w:uiPriority w:val="99"/>
    <w:semiHidden/>
    <w:unhideWhenUsed/>
    <w:rsid w:val="002932F1"/>
    <w:rPr>
      <w:color w:val="auto"/>
      <w:u w:val="none"/>
    </w:rPr>
  </w:style>
  <w:style w:type="paragraph" w:customStyle="1" w:styleId="textbold">
    <w:name w:val="text bold"/>
    <w:basedOn w:val="Normal"/>
    <w:link w:val="Emphasis"/>
    <w:autoRedefine/>
    <w:uiPriority w:val="7"/>
    <w:qFormat/>
    <w:rsid w:val="002932F1"/>
    <w:pPr>
      <w:pBdr>
        <w:top w:val="single" w:sz="18" w:space="1" w:color="auto"/>
        <w:left w:val="single" w:sz="18" w:space="4" w:color="auto"/>
        <w:bottom w:val="single" w:sz="18" w:space="1" w:color="auto"/>
        <w:right w:val="single" w:sz="18" w:space="4" w:color="auto"/>
      </w:pBdr>
      <w:ind w:left="720"/>
      <w:jc w:val="both"/>
    </w:pPr>
    <w:rPr>
      <w:b/>
      <w:iCs/>
      <w:u w:val="single"/>
    </w:rPr>
  </w:style>
  <w:style w:type="character" w:styleId="IntenseEmphasis">
    <w:name w:val="Intense Emphasis"/>
    <w:aliases w:val="Heading 3 Char1 Char Char Char,9.5 p,9.5 ,8.,9.5 pt,Underline Char Char Char,Cards + Font: 12 pt Char Char Char Char Char Char Char Char Char Char Char,Minimized Ch"/>
    <w:basedOn w:val="DefaultParagraphFont"/>
    <w:link w:val="CardsFont12pt"/>
    <w:qFormat/>
    <w:rsid w:val="002932F1"/>
    <w:rPr>
      <w:sz w:val="20"/>
      <w:u w:val="single"/>
    </w:rPr>
  </w:style>
  <w:style w:type="character" w:customStyle="1" w:styleId="underline">
    <w:name w:val="underline"/>
    <w:basedOn w:val="DefaultParagraphFont"/>
    <w:uiPriority w:val="7"/>
    <w:qFormat/>
    <w:rsid w:val="002932F1"/>
    <w:rPr>
      <w:rFonts w:ascii="Calibri" w:hAnsi="Calibri" w:cs="Calibri"/>
      <w:b/>
      <w:iCs/>
      <w:u w:val="single"/>
      <w:bdr w:val="single" w:sz="8" w:space="0" w:color="auto"/>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2932F1"/>
    <w:pPr>
      <w:autoSpaceDE w:val="0"/>
      <w:autoSpaceDN w:val="0"/>
      <w:adjustRightInd w:val="0"/>
      <w:jc w:val="both"/>
    </w:pPr>
    <w:rPr>
      <w:rFonts w:asciiTheme="minorHAnsi" w:hAnsiTheme="minorHAnsi" w:cstheme="minorBidi"/>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exico.com/en/definition/recogniz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4367</Words>
  <Characters>24894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2021-10-30T14:56:00Z</dcterms:created>
  <dcterms:modified xsi:type="dcterms:W3CDTF">2021-10-30T14:56:00Z</dcterms:modified>
</cp:coreProperties>
</file>