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DA10" w14:textId="77777777" w:rsidR="00FF216C" w:rsidRDefault="00FF216C" w:rsidP="00FF216C">
      <w:pPr>
        <w:pStyle w:val="Heading2"/>
      </w:pPr>
      <w:r>
        <w:t>1</w:t>
      </w:r>
    </w:p>
    <w:p w14:paraId="0E6F8570" w14:textId="77777777" w:rsidR="00FF216C" w:rsidRDefault="00FF216C" w:rsidP="00FF216C">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675EC332" w14:textId="77777777" w:rsidR="00FF216C" w:rsidRDefault="00FF216C" w:rsidP="00FF216C">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39734721" w14:textId="77777777" w:rsidR="00FF216C" w:rsidRDefault="00FF216C" w:rsidP="00FF216C">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167CA165" w14:textId="77777777" w:rsidR="00FF216C" w:rsidRDefault="00FF216C" w:rsidP="00FF216C">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of arguments that they can evaluate</w:t>
      </w:r>
    </w:p>
    <w:p w14:paraId="46486274" w14:textId="77777777" w:rsidR="00FF216C" w:rsidRDefault="00FF216C" w:rsidP="00FF216C"/>
    <w:p w14:paraId="61F5CFE9" w14:textId="77777777" w:rsidR="00FF216C" w:rsidRDefault="00FF216C" w:rsidP="00FF216C">
      <w:pPr>
        <w:pStyle w:val="Heading4"/>
        <w:rPr>
          <w:rFonts w:cs="Calibri"/>
        </w:rPr>
      </w:pPr>
      <w:r w:rsidRPr="00F570EE">
        <w:rPr>
          <w:rFonts w:cs="Calibri"/>
        </w:rPr>
        <w:t>Permissibility and presumption negate</w:t>
      </w:r>
    </w:p>
    <w:p w14:paraId="2E35FA55" w14:textId="77777777" w:rsidR="00FF216C" w:rsidRDefault="00FF216C" w:rsidP="00FF216C">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67D15CCD" w14:textId="77777777" w:rsidR="00FF216C" w:rsidRDefault="00FF216C" w:rsidP="00FF216C">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65E22114" w14:textId="77777777" w:rsidR="00FF216C" w:rsidRDefault="00FF216C" w:rsidP="00FF216C">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2F1BD8BA" w14:textId="77777777" w:rsidR="00FF216C" w:rsidRPr="004F2341" w:rsidRDefault="00FF216C" w:rsidP="00FF216C">
      <w:pPr>
        <w:pStyle w:val="Heading4"/>
      </w:pPr>
      <w:r>
        <w:t xml:space="preserve">4] </w:t>
      </w:r>
      <w:r w:rsidRPr="004F2341">
        <w:rPr>
          <w:u w:val="single"/>
        </w:rPr>
        <w:t>Affirmation theory-</w:t>
      </w:r>
      <w:r>
        <w:t xml:space="preserve"> Affirming requires unconditionally maintaining an obligation</w:t>
      </w:r>
    </w:p>
    <w:p w14:paraId="5A5636F4" w14:textId="77777777" w:rsidR="00FF216C" w:rsidRPr="0028499F" w:rsidRDefault="00FF216C" w:rsidP="00FF216C">
      <w:pPr>
        <w:rPr>
          <w:rStyle w:val="Emphasis"/>
          <w:sz w:val="24"/>
          <w:szCs w:val="24"/>
        </w:rPr>
      </w:pPr>
      <w:r w:rsidRPr="00B901E3">
        <w:rPr>
          <w:rStyle w:val="Emphasis"/>
          <w:sz w:val="24"/>
          <w:szCs w:val="24"/>
          <w:highlight w:val="green"/>
        </w:rPr>
        <w:t>Affirm [is to]: maintain as true.</w:t>
      </w:r>
    </w:p>
    <w:p w14:paraId="3887113F" w14:textId="77777777" w:rsidR="00FF216C" w:rsidRDefault="00FF216C" w:rsidP="00FF216C">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30AD793A" w14:textId="77777777" w:rsidR="00FF216C" w:rsidRDefault="00FF216C" w:rsidP="00FF216C"/>
    <w:p w14:paraId="0A1069A9" w14:textId="77777777" w:rsidR="00FF216C" w:rsidRDefault="00FF216C" w:rsidP="00FF216C">
      <w:pPr>
        <w:pStyle w:val="Heading4"/>
      </w:pPr>
      <w:r>
        <w:t xml:space="preserve">Every reason is equally as violent in its creation. </w:t>
      </w:r>
    </w:p>
    <w:p w14:paraId="32B225BA" w14:textId="77777777" w:rsidR="00FF216C" w:rsidRDefault="00FF216C" w:rsidP="00FF216C">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775E2649" w14:textId="77777777" w:rsidR="00FF216C" w:rsidRDefault="00FF216C" w:rsidP="00FF216C">
      <w:pPr>
        <w:pStyle w:val="FootnoteText"/>
        <w:rPr>
          <w:b/>
          <w:sz w:val="26"/>
          <w:szCs w:val="26"/>
          <w:u w:val="single"/>
        </w:rPr>
      </w:pPr>
      <w:r w:rsidRPr="000C791C">
        <w:rPr>
          <w:sz w:val="16"/>
          <w:szCs w:val="16"/>
        </w:rPr>
        <w:lastRenderedPageBreak/>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71EFB6ED" w14:textId="77777777" w:rsidR="00FF216C" w:rsidRDefault="00FF216C" w:rsidP="00FF216C">
      <w:pPr>
        <w:pStyle w:val="Heading4"/>
      </w:pPr>
      <w:r>
        <w:t>Objective knowledge of the external world is epistemically nonsensical.</w:t>
      </w:r>
    </w:p>
    <w:p w14:paraId="14499E68" w14:textId="77777777" w:rsidR="00FF216C" w:rsidRPr="009E037C" w:rsidRDefault="00FF216C" w:rsidP="00FF216C">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674EBC71" w14:textId="77777777" w:rsidR="00FF216C" w:rsidRDefault="00FF216C" w:rsidP="00FF216C">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52A031E3" w14:textId="77777777" w:rsidR="00FF216C" w:rsidRDefault="00FF216C" w:rsidP="00FF216C">
      <w:pPr>
        <w:pStyle w:val="Heading2"/>
      </w:pPr>
      <w:r>
        <w:t>2</w:t>
      </w:r>
    </w:p>
    <w:p w14:paraId="66A6AE73" w14:textId="77777777" w:rsidR="00FF216C" w:rsidRDefault="00FF216C" w:rsidP="00FF216C">
      <w:pPr>
        <w:pStyle w:val="Heading4"/>
      </w:pPr>
      <w:r>
        <w:t xml:space="preserve">Interpretation—the </w:t>
      </w:r>
      <w:proofErr w:type="spellStart"/>
      <w:r>
        <w:t>aff</w:t>
      </w:r>
      <w:proofErr w:type="spellEnd"/>
      <w:r>
        <w:t xml:space="preserve"> must disclose the plan text 30 minutes before the round. To clarify, disclosure can occur on the wiki or over message.</w:t>
      </w:r>
    </w:p>
    <w:p w14:paraId="237F5B94" w14:textId="77777777" w:rsidR="00FF216C" w:rsidRDefault="00FF216C" w:rsidP="00FF216C">
      <w:pPr>
        <w:pStyle w:val="Heading4"/>
      </w:pPr>
      <w:r>
        <w:t>Violation—they didn't</w:t>
      </w:r>
    </w:p>
    <w:p w14:paraId="67E90286" w14:textId="77777777" w:rsidR="00FF216C" w:rsidRPr="00E36824" w:rsidRDefault="00FF216C" w:rsidP="00FF216C">
      <w:r w:rsidRPr="009E5F2B">
        <w:rPr>
          <w:noProof/>
        </w:rPr>
        <w:drawing>
          <wp:inline distT="0" distB="0" distL="0" distR="0" wp14:anchorId="3909AF57" wp14:editId="43987373">
            <wp:extent cx="5943600" cy="1840865"/>
            <wp:effectExtent l="0" t="0" r="0" b="6985"/>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8"/>
                    <a:stretch>
                      <a:fillRect/>
                    </a:stretch>
                  </pic:blipFill>
                  <pic:spPr>
                    <a:xfrm>
                      <a:off x="0" y="0"/>
                      <a:ext cx="5943600" cy="1840865"/>
                    </a:xfrm>
                    <a:prstGeom prst="rect">
                      <a:avLst/>
                    </a:prstGeom>
                  </pic:spPr>
                </pic:pic>
              </a:graphicData>
            </a:graphic>
          </wp:inline>
        </w:drawing>
      </w:r>
    </w:p>
    <w:p w14:paraId="7112ACA3" w14:textId="77777777" w:rsidR="00FF216C" w:rsidRDefault="00FF216C" w:rsidP="00FF216C">
      <w:pPr>
        <w:pStyle w:val="Heading4"/>
      </w:pPr>
      <w:r>
        <w:t xml:space="preserve">Vote neg for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t>aff</w:t>
      </w:r>
      <w:proofErr w:type="spellEnd"/>
      <w:r>
        <w:t xml:space="preserve"> quality—plan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7475E0DF" w14:textId="77777777" w:rsidR="00FF216C" w:rsidRDefault="00FF216C" w:rsidP="00FF216C"/>
    <w:p w14:paraId="6940CE5C" w14:textId="77777777" w:rsidR="00FF216C" w:rsidRDefault="00FF216C" w:rsidP="00FF216C">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7639894B" w14:textId="77777777" w:rsidR="00FF216C" w:rsidRDefault="00FF216C" w:rsidP="00FF216C"/>
    <w:p w14:paraId="1854F557" w14:textId="77777777" w:rsidR="00FF216C" w:rsidRDefault="00FF216C" w:rsidP="00FF216C">
      <w:pPr>
        <w:pStyle w:val="Heading4"/>
      </w:pPr>
      <w:r>
        <w:t>Drop the debater – a] deters future abuse through a loss and b] set better norms for debate since you are less likely to repeat a practice you can lose for</w:t>
      </w:r>
    </w:p>
    <w:p w14:paraId="0E54BE16" w14:textId="77777777" w:rsidR="00FF216C" w:rsidRDefault="00FF216C" w:rsidP="00FF216C">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640CFD4D" w14:textId="77777777" w:rsidR="00FF216C" w:rsidRPr="0049144A" w:rsidRDefault="00FF216C" w:rsidP="00FF216C">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615E4C5C" w14:textId="77777777" w:rsidR="00FF216C" w:rsidRDefault="00FF216C" w:rsidP="00FF216C">
      <w:pPr>
        <w:pStyle w:val="Heading2"/>
      </w:pPr>
      <w:r>
        <w:t>3</w:t>
      </w:r>
    </w:p>
    <w:p w14:paraId="79A45A02" w14:textId="77777777" w:rsidR="00FF216C" w:rsidRDefault="00FF216C" w:rsidP="00FF216C">
      <w:pPr>
        <w:pStyle w:val="Heading4"/>
      </w:pPr>
      <w:r>
        <w:t>Interpretation: Debaters must specify how they enforce the unconditional right of workers to strike.</w:t>
      </w:r>
    </w:p>
    <w:p w14:paraId="311DF0D8" w14:textId="77777777" w:rsidR="00FF216C" w:rsidRPr="00C75B0A" w:rsidRDefault="00FF216C" w:rsidP="00FF216C">
      <w:pPr>
        <w:pStyle w:val="Heading4"/>
      </w:pPr>
      <w:r>
        <w:t>1]</w:t>
      </w:r>
      <w:r w:rsidRPr="00C75B0A">
        <w:t xml:space="preserve"> Topic lit – enforcement is the core question of the topic and there's no consensus on normal means so you must spec.</w:t>
      </w:r>
      <w:r>
        <w:t xml:space="preserve"> Weiss</w:t>
      </w:r>
    </w:p>
    <w:p w14:paraId="64AD5A85" w14:textId="77777777" w:rsidR="00FF216C" w:rsidRPr="00DB7BD1" w:rsidRDefault="00FF216C" w:rsidP="00FF216C">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6976882A" w14:textId="77777777" w:rsidR="00FF216C" w:rsidRDefault="00FF216C" w:rsidP="00FF216C">
      <w:pPr>
        <w:rPr>
          <w:sz w:val="14"/>
        </w:rPr>
      </w:pPr>
      <w:r w:rsidRPr="00702651">
        <w:rPr>
          <w:sz w:val="14"/>
        </w:rPr>
        <w:t xml:space="preserve">2. </w:t>
      </w:r>
      <w:r w:rsidRPr="00707087">
        <w:rPr>
          <w:highlight w:val="cyan"/>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7087">
        <w:rPr>
          <w:highlight w:val="cyan"/>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7087">
        <w:rPr>
          <w:highlight w:val="cyan"/>
          <w:u w:val="single"/>
        </w:rPr>
        <w:t>extremely difficult to enforce,</w:t>
      </w:r>
      <w:r w:rsidRPr="00702651">
        <w:rPr>
          <w:u w:val="single"/>
        </w:rPr>
        <w:t xml:space="preserve"> and </w:t>
      </w:r>
      <w:r w:rsidRPr="00707087">
        <w:rPr>
          <w:highlight w:val="cyan"/>
          <w:u w:val="single"/>
        </w:rPr>
        <w:t>employers too often resort to bad faith bargaining</w:t>
      </w:r>
      <w:r w:rsidRPr="00702651">
        <w:rPr>
          <w:sz w:val="14"/>
        </w:rPr>
        <w:t xml:space="preserve">, </w:t>
      </w:r>
      <w:r w:rsidRPr="00702651">
        <w:rPr>
          <w:u w:val="single"/>
        </w:rPr>
        <w:t xml:space="preserve">bargaining on the surface </w:t>
      </w:r>
      <w:r w:rsidRPr="00707087">
        <w:rPr>
          <w:highlight w:val="cyan"/>
          <w:u w:val="single"/>
        </w:rPr>
        <w:t>with no real intention of concluding an agreement,</w:t>
      </w:r>
      <w:r w:rsidRPr="00702651">
        <w:rPr>
          <w:u w:val="single"/>
        </w:rPr>
        <w:t xml:space="preserve"> as part of a strategy </w:t>
      </w:r>
      <w:r w:rsidRPr="00707087">
        <w:rPr>
          <w:highlight w:val="cyan"/>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7087">
        <w:rPr>
          <w:highlight w:val="cyan"/>
          <w:u w:val="single"/>
        </w:rPr>
        <w:t xml:space="preserve">the right to strike is </w:t>
      </w:r>
      <w:r w:rsidRPr="00702651">
        <w:rPr>
          <w:u w:val="single"/>
        </w:rPr>
        <w:t xml:space="preserve">similarly </w:t>
      </w:r>
      <w:r w:rsidRPr="00707087">
        <w:rPr>
          <w:highlight w:val="cyan"/>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0352AA06" w14:textId="77777777" w:rsidR="00FF216C" w:rsidRPr="00C75B0A" w:rsidRDefault="00FF216C" w:rsidP="00FF216C">
      <w:pPr>
        <w:pStyle w:val="Heading4"/>
      </w:pPr>
      <w:r w:rsidRPr="00C75B0A">
        <w:t xml:space="preserve">This acts as a resolvability standard. Debate </w:t>
      </w:r>
      <w:proofErr w:type="gramStart"/>
      <w:r w:rsidRPr="00C75B0A">
        <w:t>has to</w:t>
      </w:r>
      <w:proofErr w:type="gramEnd"/>
      <w:r w:rsidRPr="00C75B0A">
        <w:t xml:space="preserve"> make sense and be comparable for the judge to make a decision which means it's an independent voter and outweighs</w:t>
      </w:r>
      <w:r>
        <w:t>.</w:t>
      </w:r>
    </w:p>
    <w:p w14:paraId="155157D6" w14:textId="77777777" w:rsidR="00FF216C" w:rsidRPr="00C75B0A" w:rsidRDefault="00FF216C" w:rsidP="00FF216C">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6CA3744C" w14:textId="77777777" w:rsidR="00FF216C" w:rsidRPr="00C75B0A" w:rsidRDefault="00FF216C" w:rsidP="00FF216C">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55B18A5C" w14:textId="77777777" w:rsidR="00FF216C" w:rsidRPr="00932E68" w:rsidRDefault="00FF216C" w:rsidP="00FF216C"/>
    <w:p w14:paraId="1715C3EA" w14:textId="77777777" w:rsidR="00FF216C" w:rsidRPr="00926FF1" w:rsidRDefault="00FF216C" w:rsidP="00FF216C"/>
    <w:p w14:paraId="5E9B101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4196B" w14:textId="77777777" w:rsidR="00CC2614" w:rsidRDefault="00CC2614" w:rsidP="00FF216C">
      <w:pPr>
        <w:spacing w:after="0" w:line="240" w:lineRule="auto"/>
      </w:pPr>
      <w:r>
        <w:separator/>
      </w:r>
    </w:p>
  </w:endnote>
  <w:endnote w:type="continuationSeparator" w:id="0">
    <w:p w14:paraId="1ECF258F" w14:textId="77777777" w:rsidR="00CC2614" w:rsidRDefault="00CC2614" w:rsidP="00FF2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B9292" w14:textId="77777777" w:rsidR="00CC2614" w:rsidRDefault="00CC2614" w:rsidP="00FF216C">
      <w:pPr>
        <w:spacing w:after="0" w:line="240" w:lineRule="auto"/>
      </w:pPr>
      <w:r>
        <w:separator/>
      </w:r>
    </w:p>
  </w:footnote>
  <w:footnote w:type="continuationSeparator" w:id="0">
    <w:p w14:paraId="11AC90B3" w14:textId="77777777" w:rsidR="00CC2614" w:rsidRDefault="00CC2614" w:rsidP="00FF216C">
      <w:pPr>
        <w:spacing w:after="0" w:line="240" w:lineRule="auto"/>
      </w:pPr>
      <w:r>
        <w:continuationSeparator/>
      </w:r>
    </w:p>
  </w:footnote>
  <w:footnote w:id="1">
    <w:p w14:paraId="4A91CA42" w14:textId="77777777" w:rsidR="00FF216C" w:rsidRPr="00752E9C" w:rsidRDefault="00FF216C" w:rsidP="00FF216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6092AC1" w14:textId="77777777" w:rsidR="00FF216C" w:rsidRPr="00855FDC" w:rsidRDefault="00FF216C" w:rsidP="00FF216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F216C"/>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2614"/>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216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1F5D"/>
  <w15:chartTrackingRefBased/>
  <w15:docId w15:val="{12D64E7D-714C-4BF2-95CF-45827789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216C"/>
    <w:rPr>
      <w:rFonts w:ascii="Calibri" w:hAnsi="Calibri" w:cs="Calibri"/>
    </w:rPr>
  </w:style>
  <w:style w:type="paragraph" w:styleId="Heading1">
    <w:name w:val="heading 1"/>
    <w:aliases w:val="Pocket"/>
    <w:basedOn w:val="Normal"/>
    <w:next w:val="Normal"/>
    <w:link w:val="Heading1Char"/>
    <w:qFormat/>
    <w:rsid w:val="00FF2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21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21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FF21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2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16C"/>
  </w:style>
  <w:style w:type="character" w:customStyle="1" w:styleId="Heading1Char">
    <w:name w:val="Heading 1 Char"/>
    <w:aliases w:val="Pocket Char"/>
    <w:basedOn w:val="DefaultParagraphFont"/>
    <w:link w:val="Heading1"/>
    <w:rsid w:val="00FF21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21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216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FF216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F21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F216C"/>
    <w:rPr>
      <w:b/>
      <w:bCs/>
      <w:sz w:val="26"/>
      <w:u w:val="none"/>
    </w:rPr>
  </w:style>
  <w:style w:type="character" w:customStyle="1" w:styleId="StyleUnderline">
    <w:name w:val="Style Underline"/>
    <w:aliases w:val="Underline"/>
    <w:basedOn w:val="DefaultParagraphFont"/>
    <w:uiPriority w:val="6"/>
    <w:qFormat/>
    <w:rsid w:val="00FF216C"/>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F216C"/>
    <w:rPr>
      <w:color w:val="auto"/>
      <w:u w:val="none"/>
    </w:rPr>
  </w:style>
  <w:style w:type="character" w:styleId="FollowedHyperlink">
    <w:name w:val="FollowedHyperlink"/>
    <w:basedOn w:val="DefaultParagraphFont"/>
    <w:uiPriority w:val="99"/>
    <w:semiHidden/>
    <w:unhideWhenUsed/>
    <w:rsid w:val="00FF216C"/>
    <w:rPr>
      <w:color w:val="auto"/>
      <w:u w:val="none"/>
    </w:rPr>
  </w:style>
  <w:style w:type="paragraph" w:customStyle="1" w:styleId="Emphasis1">
    <w:name w:val="Emphasis1"/>
    <w:basedOn w:val="Normal"/>
    <w:link w:val="Emphasis"/>
    <w:uiPriority w:val="7"/>
    <w:qFormat/>
    <w:rsid w:val="00FF216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FF216C"/>
    <w:rPr>
      <w:vertAlign w:val="superscript"/>
    </w:rPr>
  </w:style>
  <w:style w:type="paragraph" w:styleId="FootnoteText">
    <w:name w:val="footnote text"/>
    <w:basedOn w:val="Normal"/>
    <w:link w:val="FootnoteTextChar"/>
    <w:uiPriority w:val="99"/>
    <w:unhideWhenUsed/>
    <w:qFormat/>
    <w:rsid w:val="00FF216C"/>
    <w:pPr>
      <w:spacing w:after="0" w:line="240" w:lineRule="auto"/>
    </w:pPr>
    <w:rPr>
      <w:sz w:val="20"/>
      <w:szCs w:val="20"/>
    </w:rPr>
  </w:style>
  <w:style w:type="character" w:customStyle="1" w:styleId="FootnoteTextChar">
    <w:name w:val="Footnote Text Char"/>
    <w:basedOn w:val="DefaultParagraphFont"/>
    <w:link w:val="FootnoteText"/>
    <w:uiPriority w:val="99"/>
    <w:rsid w:val="00FF216C"/>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2021-10-29T21:51:00Z</dcterms:created>
  <dcterms:modified xsi:type="dcterms:W3CDTF">2021-10-29T21:51:00Z</dcterms:modified>
</cp:coreProperties>
</file>