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D0367" w14:textId="77777777" w:rsidR="001F568A" w:rsidRDefault="001F568A" w:rsidP="001F568A">
      <w:pPr>
        <w:pStyle w:val="Heading1"/>
      </w:pPr>
      <w:r>
        <w:t>Yale r3</w:t>
      </w:r>
    </w:p>
    <w:p w14:paraId="5B884B93" w14:textId="77777777" w:rsidR="001F568A" w:rsidRPr="00CF02E8" w:rsidRDefault="001F568A" w:rsidP="001F568A"/>
    <w:p w14:paraId="16C83958" w14:textId="77777777" w:rsidR="001F568A" w:rsidRDefault="001F568A" w:rsidP="001F568A">
      <w:pPr>
        <w:pStyle w:val="Heading2"/>
      </w:pPr>
      <w:r>
        <w:lastRenderedPageBreak/>
        <w:t>1</w:t>
      </w:r>
    </w:p>
    <w:p w14:paraId="1A4CB0E0" w14:textId="77777777" w:rsidR="001F568A" w:rsidRDefault="001F568A" w:rsidP="001F568A"/>
    <w:p w14:paraId="0B2A34EE" w14:textId="77777777" w:rsidR="001F568A" w:rsidRDefault="001F568A" w:rsidP="001F568A">
      <w:pPr>
        <w:pStyle w:val="Heading4"/>
      </w:pPr>
      <w:r>
        <w:t xml:space="preserve">Interpretation – The </w:t>
      </w:r>
      <w:proofErr w:type="spellStart"/>
      <w:r>
        <w:t>aff</w:t>
      </w:r>
      <w:proofErr w:type="spellEnd"/>
      <w:r>
        <w:t xml:space="preserve"> must clarify an explicit advocacy text in the text of the AC</w:t>
      </w:r>
    </w:p>
    <w:p w14:paraId="6D3D40BC" w14:textId="77777777" w:rsidR="001F568A" w:rsidRDefault="001F568A" w:rsidP="001F568A">
      <w:pPr>
        <w:pStyle w:val="Heading4"/>
      </w:pPr>
      <w:r>
        <w:t>Violation – They don’t specify</w:t>
      </w:r>
    </w:p>
    <w:p w14:paraId="61E967ED" w14:textId="77777777" w:rsidR="001F568A" w:rsidRPr="00DA04EE" w:rsidRDefault="001F568A" w:rsidP="001F568A">
      <w:pPr>
        <w:pStyle w:val="Heading4"/>
      </w:pPr>
      <w:r>
        <w:t>Standards –</w:t>
      </w:r>
    </w:p>
    <w:p w14:paraId="5244E436" w14:textId="77777777" w:rsidR="001F568A" w:rsidRDefault="001F568A" w:rsidP="001F568A">
      <w:pPr>
        <w:pStyle w:val="Heading4"/>
      </w:pPr>
      <w:r>
        <w:t xml:space="preserve">[1] Stable Advocacy – a) I have no idea what you defend which means I can’t formulate a 1nc until after the 1ac is read which decks disclosure and prep and means cx doesn’t check b) Anything else allows cherry-picking lit that supports your offense and then shifting out of </w:t>
      </w:r>
      <w:proofErr w:type="spellStart"/>
      <w:r>
        <w:t>indites</w:t>
      </w:r>
      <w:proofErr w:type="spellEnd"/>
      <w:r>
        <w:t xml:space="preserve"> by claiming you don’t defend them which makes the </w:t>
      </w:r>
      <w:proofErr w:type="spellStart"/>
      <w:r>
        <w:t>aff</w:t>
      </w:r>
      <w:proofErr w:type="spellEnd"/>
      <w:r>
        <w:t xml:space="preserve"> a moving target and skews neg strategy. </w:t>
      </w:r>
    </w:p>
    <w:p w14:paraId="37F3C1C9" w14:textId="77777777" w:rsidR="001F568A" w:rsidRDefault="001F568A" w:rsidP="001F568A">
      <w:pPr>
        <w:pStyle w:val="Heading4"/>
      </w:pPr>
      <w:r>
        <w:t xml:space="preserve">[2] Resolvability – All arguments link to an advocacy text as otherwise there’s no uniqueness or links that can be used to develop comparisons between the </w:t>
      </w:r>
      <w:proofErr w:type="spellStart"/>
      <w:r>
        <w:t>aff</w:t>
      </w:r>
      <w:proofErr w:type="spellEnd"/>
      <w:r>
        <w:t xml:space="preserve"> and the neg. Absent an explicit text </w:t>
      </w:r>
      <w:proofErr w:type="spellStart"/>
      <w:r>
        <w:t>its</w:t>
      </w:r>
      <w:proofErr w:type="spellEnd"/>
      <w:r>
        <w:t xml:space="preserve"> impossible to weigh which crushes resolvability and that’s a voter since the judge needs to be able to make a coherent decision for anything else to matter.</w:t>
      </w:r>
    </w:p>
    <w:p w14:paraId="1D5E1184" w14:textId="77777777" w:rsidR="001F568A" w:rsidRPr="00CF02E8" w:rsidRDefault="001F568A" w:rsidP="001F568A"/>
    <w:p w14:paraId="3CD2B218" w14:textId="77777777" w:rsidR="001F568A" w:rsidRDefault="001F568A" w:rsidP="001F568A">
      <w:r>
        <w:t>Voters</w:t>
      </w:r>
    </w:p>
    <w:p w14:paraId="7A0724F2" w14:textId="77777777" w:rsidR="001F568A" w:rsidRPr="00D54283" w:rsidRDefault="001F568A" w:rsidP="001F568A">
      <w:pPr>
        <w:pStyle w:val="Heading4"/>
        <w:rPr>
          <w:rFonts w:ascii="-webkit-standard" w:hAnsi="-webkit-standard" w:cs="Times New Roman" w:hint="eastAsia"/>
        </w:rPr>
      </w:pPr>
      <w:r w:rsidRPr="00D54283">
        <w:rPr>
          <w:rStyle w:val="s14"/>
          <w:rFonts w:cs="Calibri"/>
          <w:color w:val="000000"/>
        </w:rPr>
        <w:t>Fairness – all </w:t>
      </w:r>
      <w:proofErr w:type="spellStart"/>
      <w:r w:rsidRPr="00D54283">
        <w:rPr>
          <w:rStyle w:val="s14"/>
          <w:rFonts w:cs="Calibri"/>
          <w:color w:val="000000"/>
        </w:rPr>
        <w:t>arugments</w:t>
      </w:r>
      <w:proofErr w:type="spellEnd"/>
      <w:r w:rsidRPr="00D54283">
        <w:rPr>
          <w:rStyle w:val="s14"/>
          <w:rFonts w:cs="Calibri"/>
          <w:color w:val="000000"/>
        </w:rPr>
        <w:t> presuppose fair evaluation</w:t>
      </w:r>
    </w:p>
    <w:p w14:paraId="7F215D22" w14:textId="77777777" w:rsidR="001F568A" w:rsidRPr="00D54283" w:rsidRDefault="001F568A" w:rsidP="001F568A">
      <w:pPr>
        <w:pStyle w:val="Heading4"/>
        <w:rPr>
          <w:rFonts w:ascii="-webkit-standard" w:hAnsi="-webkit-standard" w:hint="eastAsia"/>
        </w:rPr>
      </w:pPr>
      <w:r w:rsidRPr="00D54283">
        <w:rPr>
          <w:rStyle w:val="s14"/>
          <w:rFonts w:cs="Calibri"/>
          <w:color w:val="000000"/>
        </w:rPr>
        <w:t>DTD – </w:t>
      </w:r>
    </w:p>
    <w:p w14:paraId="3DFEE00E" w14:textId="77777777" w:rsidR="001F568A" w:rsidRPr="00D54283" w:rsidRDefault="001F568A" w:rsidP="001F568A">
      <w:pPr>
        <w:pStyle w:val="Heading4"/>
        <w:rPr>
          <w:rFonts w:ascii="-webkit-standard" w:hAnsi="-webkit-standard" w:hint="eastAsia"/>
        </w:rPr>
      </w:pPr>
      <w:r w:rsidRPr="00D54283">
        <w:rPr>
          <w:rStyle w:val="s14"/>
          <w:rFonts w:cs="Calibri"/>
          <w:color w:val="000000"/>
        </w:rPr>
        <w:t>a) Deters future abuse</w:t>
      </w:r>
    </w:p>
    <w:p w14:paraId="75E658EB" w14:textId="77777777" w:rsidR="001F568A" w:rsidRDefault="001F568A" w:rsidP="001F568A">
      <w:r>
        <w:t>b) this indicts their whole advocacy</w:t>
      </w:r>
    </w:p>
    <w:p w14:paraId="20EE156D" w14:textId="77777777" w:rsidR="001F568A" w:rsidRDefault="001F568A" w:rsidP="001F568A"/>
    <w:p w14:paraId="68B8B95B" w14:textId="77777777" w:rsidR="001F568A" w:rsidRPr="00D54283" w:rsidRDefault="001F568A" w:rsidP="001F568A">
      <w:pPr>
        <w:pStyle w:val="Heading4"/>
        <w:rPr>
          <w:rFonts w:ascii="-webkit-standard" w:hAnsi="-webkit-standard" w:hint="eastAsia"/>
        </w:rPr>
      </w:pPr>
      <w:r w:rsidRPr="00D54283">
        <w:rPr>
          <w:rStyle w:val="s14"/>
          <w:rFonts w:cs="Calibri"/>
          <w:color w:val="000000"/>
        </w:rPr>
        <w:t>CI – a) It fosters the best norms through encouraging the fairest rule b) Reasonability collapses by debating the </w:t>
      </w:r>
      <w:proofErr w:type="spellStart"/>
      <w:r w:rsidRPr="00D54283">
        <w:rPr>
          <w:rStyle w:val="s14"/>
          <w:rFonts w:cs="Calibri"/>
          <w:color w:val="000000"/>
        </w:rPr>
        <w:t>brightline</w:t>
      </w:r>
      <w:proofErr w:type="spellEnd"/>
      <w:r w:rsidRPr="00D54283">
        <w:rPr>
          <w:rStyle w:val="s14"/>
          <w:rFonts w:cs="Calibri"/>
          <w:color w:val="000000"/>
        </w:rPr>
        <w:t> </w:t>
      </w:r>
    </w:p>
    <w:p w14:paraId="11ABD232" w14:textId="77777777" w:rsidR="001F568A" w:rsidRPr="00D54283" w:rsidRDefault="001F568A" w:rsidP="001F568A">
      <w:pPr>
        <w:pStyle w:val="Heading4"/>
        <w:rPr>
          <w:rFonts w:ascii="-webkit-standard" w:hAnsi="-webkit-standard" w:hint="eastAsia"/>
        </w:rPr>
      </w:pPr>
      <w:r w:rsidRPr="00D54283">
        <w:rPr>
          <w:rStyle w:val="s15"/>
          <w:rFonts w:ascii="-webkit-standard" w:hAnsi="-webkit-standard"/>
          <w:color w:val="000000"/>
        </w:rPr>
        <w:t> </w:t>
      </w:r>
    </w:p>
    <w:p w14:paraId="07AB7E7E" w14:textId="77777777" w:rsidR="001F568A" w:rsidRPr="00D54283" w:rsidRDefault="001F568A" w:rsidP="001F568A">
      <w:pPr>
        <w:pStyle w:val="Heading4"/>
        <w:rPr>
          <w:rFonts w:ascii="-webkit-standard" w:hAnsi="-webkit-standard" w:hint="eastAsia"/>
        </w:rPr>
      </w:pPr>
      <w:r w:rsidRPr="00D54283">
        <w:rPr>
          <w:rStyle w:val="s14"/>
          <w:rFonts w:cs="Calibri"/>
          <w:color w:val="000000"/>
        </w:rPr>
        <w:t>No RVI – a) Illogical – you shouldn’t win for proving that you’re fair or </w:t>
      </w:r>
      <w:proofErr w:type="spellStart"/>
      <w:r w:rsidRPr="00D54283">
        <w:rPr>
          <w:rStyle w:val="s14"/>
          <w:rFonts w:cs="Calibri"/>
          <w:color w:val="000000"/>
        </w:rPr>
        <w:t>edication</w:t>
      </w:r>
      <w:proofErr w:type="spellEnd"/>
      <w:r w:rsidRPr="00D54283">
        <w:rPr>
          <w:rStyle w:val="s14"/>
          <w:rFonts w:cs="Calibri"/>
          <w:color w:val="000000"/>
        </w:rPr>
        <w:t xml:space="preserve"> because it’s a prima facie burden – </w:t>
      </w:r>
      <w:proofErr w:type="spellStart"/>
      <w:r w:rsidRPr="00D54283">
        <w:rPr>
          <w:rStyle w:val="s14"/>
          <w:rFonts w:cs="Calibri"/>
          <w:color w:val="000000"/>
        </w:rPr>
        <w:t>crossapply</w:t>
      </w:r>
      <w:proofErr w:type="spellEnd"/>
      <w:r w:rsidRPr="00D54283">
        <w:rPr>
          <w:rStyle w:val="s14"/>
          <w:rFonts w:cs="Calibri"/>
          <w:color w:val="000000"/>
        </w:rPr>
        <w:t xml:space="preserve"> logic outweighs from shell b) It incentivizes you to bait theory and win off a scripted CI c) people will be scared to read theory against good theory debaters and will never be able to check abuse</w:t>
      </w:r>
    </w:p>
    <w:p w14:paraId="59204F56" w14:textId="77777777" w:rsidR="001F568A" w:rsidRPr="00D54283" w:rsidRDefault="001F568A" w:rsidP="001F568A">
      <w:pPr>
        <w:pStyle w:val="Heading4"/>
        <w:rPr>
          <w:rFonts w:ascii="-webkit-standard" w:hAnsi="-webkit-standard" w:hint="eastAsia"/>
        </w:rPr>
      </w:pPr>
      <w:r w:rsidRPr="00D54283">
        <w:rPr>
          <w:rFonts w:ascii="-webkit-standard" w:hAnsi="-webkit-standard"/>
        </w:rPr>
        <w:t> </w:t>
      </w:r>
    </w:p>
    <w:p w14:paraId="1FF52D90" w14:textId="77777777" w:rsidR="001F568A" w:rsidRDefault="001F568A" w:rsidP="001F568A"/>
    <w:p w14:paraId="1BE1B71F" w14:textId="77777777" w:rsidR="001F568A" w:rsidRDefault="001F568A" w:rsidP="001F568A"/>
    <w:p w14:paraId="3D3AD084" w14:textId="77777777" w:rsidR="001F568A" w:rsidRDefault="001F568A" w:rsidP="001F568A">
      <w:pPr>
        <w:pStyle w:val="Heading2"/>
      </w:pPr>
      <w:r>
        <w:lastRenderedPageBreak/>
        <w:t>2</w:t>
      </w:r>
    </w:p>
    <w:p w14:paraId="145E30E5" w14:textId="77777777" w:rsidR="001F568A" w:rsidRPr="00270BF3" w:rsidRDefault="001F568A" w:rsidP="001F568A">
      <w:pPr>
        <w:pStyle w:val="Heading4"/>
      </w:pPr>
      <w:r>
        <w:t>Pe</w:t>
      </w:r>
      <w:r w:rsidRPr="00270BF3">
        <w:t>rmissibility and presumption negate:</w:t>
      </w:r>
    </w:p>
    <w:p w14:paraId="7C868BF7" w14:textId="77777777" w:rsidR="001F568A" w:rsidRPr="00270BF3" w:rsidRDefault="001F568A" w:rsidP="001F568A">
      <w:pPr>
        <w:pStyle w:val="Heading4"/>
        <w:rPr>
          <w:rFonts w:eastAsia="Times New Roman"/>
          <w:color w:val="000000"/>
        </w:rPr>
      </w:pPr>
      <w:r w:rsidRPr="00270BF3">
        <w:t xml:space="preserve">[1] </w:t>
      </w:r>
      <w:r w:rsidRPr="00270BF3">
        <w:rPr>
          <w:rFonts w:eastAsia="Times New Roman"/>
          <w:color w:val="000000"/>
        </w:rPr>
        <w:t>Resolution indicates the affirmative has to prove a proactive obligation, and permissibility would deny the existence of an obligation</w:t>
      </w:r>
    </w:p>
    <w:p w14:paraId="50B48D92" w14:textId="77777777" w:rsidR="001F568A" w:rsidRPr="00270BF3" w:rsidRDefault="001F568A" w:rsidP="001F568A">
      <w:pPr>
        <w:pStyle w:val="Heading4"/>
      </w:pPr>
      <w:r w:rsidRPr="00270BF3">
        <w:t xml:space="preserve">[2] Logic – Propositions require positive justification before being accepted, otherwise one would be forced to accept the validity of logically contradictory propositions regarding subjects one knows nothing about, </w:t>
      </w:r>
      <w:proofErr w:type="spellStart"/>
      <w:r w:rsidRPr="00270BF3">
        <w:t>i.e</w:t>
      </w:r>
      <w:proofErr w:type="spellEnd"/>
      <w:r w:rsidRPr="00270BF3">
        <w:t xml:space="preserve"> if one knew nothing about P one would have to presume that both the “P” and “~P” are true.</w:t>
      </w:r>
    </w:p>
    <w:p w14:paraId="39A80A35" w14:textId="77777777" w:rsidR="001F568A" w:rsidRPr="00A535BD" w:rsidRDefault="001F568A" w:rsidP="001F568A">
      <w:pPr>
        <w:pStyle w:val="Heading4"/>
      </w:pPr>
      <w:r w:rsidRPr="00270BF3">
        <w:t>[3] Statements are more often false than true because any part can be false. This means you negate if there is no offense because the resolution is probably</w:t>
      </w:r>
      <w:r w:rsidRPr="00A535BD">
        <w:t xml:space="preserve"> false. </w:t>
      </w:r>
    </w:p>
    <w:p w14:paraId="7E9C69DE" w14:textId="77777777" w:rsidR="001F568A" w:rsidRPr="00A535BD" w:rsidRDefault="001F568A" w:rsidP="001F568A">
      <w:pPr>
        <w:rPr>
          <w:sz w:val="26"/>
          <w:szCs w:val="26"/>
        </w:rPr>
      </w:pPr>
      <w:r w:rsidRPr="00A535BD">
        <w:rPr>
          <w:sz w:val="26"/>
          <w:szCs w:val="26"/>
        </w:rPr>
        <w:t> </w:t>
      </w:r>
    </w:p>
    <w:p w14:paraId="519668F3" w14:textId="77777777" w:rsidR="001F568A" w:rsidRPr="00B120D3" w:rsidRDefault="001F568A" w:rsidP="001F568A">
      <w:pPr>
        <w:pStyle w:val="Heading4"/>
      </w:pPr>
      <w:r>
        <w:t>I negate: the WTO ought not reduce intellectual property protections for medicines.</w:t>
      </w:r>
    </w:p>
    <w:p w14:paraId="1245237F" w14:textId="77777777" w:rsidR="001F568A" w:rsidRDefault="001F568A" w:rsidP="001F568A">
      <w:pPr>
        <w:pStyle w:val="Heading4"/>
      </w:pPr>
      <w:r>
        <w:t xml:space="preserve">Moral </w:t>
      </w:r>
      <w:proofErr w:type="spellStart"/>
      <w:r>
        <w:t>internalism</w:t>
      </w:r>
      <w:proofErr w:type="spellEnd"/>
      <w:r>
        <w:t xml:space="preserve"> is true:</w:t>
      </w:r>
    </w:p>
    <w:p w14:paraId="016F843A" w14:textId="77777777" w:rsidR="001F568A" w:rsidRDefault="001F568A" w:rsidP="001F568A">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2E304451" w14:textId="77777777" w:rsidR="001F568A" w:rsidRDefault="001F568A" w:rsidP="001F568A">
      <w:proofErr w:type="spellStart"/>
      <w:r w:rsidRPr="004C56AF">
        <w:rPr>
          <w:rFonts w:eastAsiaTheme="majorEastAsia" w:cstheme="majorBidi"/>
          <w:b/>
          <w:bCs/>
          <w:sz w:val="26"/>
          <w:szCs w:val="26"/>
        </w:rPr>
        <w:t>Markovits</w:t>
      </w:r>
      <w:proofErr w:type="spellEnd"/>
      <w:r w:rsidRPr="004C56AF">
        <w:rPr>
          <w:rFonts w:eastAsiaTheme="majorEastAsia" w:cstheme="majorBidi"/>
          <w:b/>
          <w:bCs/>
          <w:sz w:val="26"/>
          <w:szCs w:val="26"/>
        </w:rPr>
        <w:t xml:space="preserve"> 14</w:t>
      </w:r>
      <w:r>
        <w:t xml:space="preserve">.  </w:t>
      </w:r>
      <w:r w:rsidRPr="00816E26">
        <w:t>[</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 xml:space="preserve">/Scopa] </w:t>
      </w:r>
      <w:r>
        <w:t>BHHS AK</w:t>
      </w:r>
    </w:p>
    <w:p w14:paraId="0CB9A774" w14:textId="77777777" w:rsidR="001F568A" w:rsidRPr="004C56AF" w:rsidRDefault="001F568A" w:rsidP="001F568A">
      <w:pPr>
        <w:rPr>
          <w:sz w:val="16"/>
        </w:rPr>
      </w:pPr>
      <w:r w:rsidRPr="004C56AF">
        <w:rPr>
          <w:sz w:val="16"/>
        </w:rPr>
        <w:t xml:space="preserve">Relatedly, </w:t>
      </w:r>
      <w:proofErr w:type="spellStart"/>
      <w:r w:rsidRPr="004C56AF">
        <w:rPr>
          <w:sz w:val="16"/>
        </w:rPr>
        <w:t>internalism</w:t>
      </w:r>
      <w:proofErr w:type="spellEnd"/>
      <w:r w:rsidRPr="004C56AF">
        <w:rPr>
          <w:sz w:val="16"/>
        </w:rPr>
        <w:t xml:space="preserve">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w:t>
      </w:r>
      <w:proofErr w:type="spellStart"/>
      <w:r w:rsidRPr="004C56AF">
        <w:rPr>
          <w:sz w:val="16"/>
        </w:rPr>
        <w:t>internalism</w:t>
      </w:r>
      <w:proofErr w:type="spellEnd"/>
      <w:r w:rsidRPr="004C56AF">
        <w:rPr>
          <w:sz w:val="16"/>
        </w:rPr>
        <w:t xml:space="preserve">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w:t>
      </w:r>
      <w:proofErr w:type="spellStart"/>
      <w:r w:rsidRPr="004C56AF">
        <w:rPr>
          <w:rStyle w:val="StyleUnderline"/>
        </w:rPr>
        <w:t>do</w:t>
      </w:r>
      <w:proofErr w:type="spellEnd"/>
      <w:r w:rsidRPr="004C56AF">
        <w:rPr>
          <w:rStyle w:val="StyleUnderline"/>
        </w:rPr>
        <w:t xml:space="preserve"> and pursue and protect and respect and promote. </w:t>
      </w:r>
      <w:r w:rsidRPr="004C56AF">
        <w:rPr>
          <w:rStyle w:val="StyleUnderline"/>
          <w:highlight w:val="green"/>
        </w:rPr>
        <w:t xml:space="preserve">Some of </w:t>
      </w:r>
      <w:proofErr w:type="gramStart"/>
      <w:r w:rsidRPr="004C56AF">
        <w:rPr>
          <w:rStyle w:val="StyleUnderline"/>
          <w:highlight w:val="green"/>
        </w:rPr>
        <w:t>us</w:t>
      </w:r>
      <w:r w:rsidRPr="004C56AF">
        <w:rPr>
          <w:rStyle w:val="StyleUnderline"/>
        </w:rPr>
        <w:t xml:space="preserve">  happen</w:t>
      </w:r>
      <w:proofErr w:type="gramEnd"/>
      <w:r w:rsidRPr="004C56AF">
        <w:rPr>
          <w:rStyle w:val="StyleUnderline"/>
        </w:rPr>
        <w:t xml:space="preserve">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w:t>
      </w:r>
      <w:proofErr w:type="spellStart"/>
      <w:r w:rsidRPr="004C56AF">
        <w:rPr>
          <w:sz w:val="16"/>
        </w:rPr>
        <w:t>sexers</w:t>
      </w:r>
      <w:proofErr w:type="spellEnd"/>
      <w:r w:rsidRPr="004C56AF">
        <w:rPr>
          <w:sz w:val="16"/>
        </w:rPr>
        <w:t xml:space="preserve">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lastRenderedPageBreak/>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4959CBD1" w14:textId="77777777" w:rsidR="001F568A" w:rsidRDefault="001F568A" w:rsidP="001F568A">
      <w:pPr>
        <w:pStyle w:val="Heading4"/>
        <w:rPr>
          <w:sz w:val="12"/>
        </w:rPr>
      </w:pPr>
    </w:p>
    <w:p w14:paraId="14ECFBBD" w14:textId="77777777" w:rsidR="001F568A" w:rsidRDefault="001F568A" w:rsidP="001F568A">
      <w:pPr>
        <w:pStyle w:val="Heading4"/>
      </w:pPr>
    </w:p>
    <w:p w14:paraId="6282458B" w14:textId="77777777" w:rsidR="001F568A" w:rsidRPr="00EB1B17" w:rsidRDefault="001F568A" w:rsidP="001F568A">
      <w:pPr>
        <w:pStyle w:val="Heading4"/>
        <w:rPr>
          <w:rFonts w:ascii="Times New Roman" w:hAnsi="Times New Roman" w:cs="Times New Roman"/>
          <w:sz w:val="24"/>
        </w:rPr>
      </w:pPr>
      <w:r>
        <w:t xml:space="preserve">[3] </w:t>
      </w:r>
      <w:r w:rsidRPr="00EB1B17">
        <w:t xml:space="preserve">Motivation – A. Externalist ethics collapse to </w:t>
      </w:r>
      <w:proofErr w:type="spellStart"/>
      <w:r w:rsidRPr="00EB1B17">
        <w:t>internalism</w:t>
      </w:r>
      <w:proofErr w:type="spellEnd"/>
      <w:r w:rsidRPr="00EB1B17">
        <w:t xml:space="preserve"> because agents will only follow external demands if they are consistent with their internal account of the good. For instance, citizens only follow the law insofar as its consistent with their internal beliefs, even when external value structures are being placed upon them.</w:t>
      </w:r>
    </w:p>
    <w:p w14:paraId="3AB2D511" w14:textId="77777777" w:rsidR="001F568A" w:rsidRDefault="001F568A" w:rsidP="001F568A"/>
    <w:p w14:paraId="79A4B268" w14:textId="77777777" w:rsidR="001F568A" w:rsidRPr="00EB1B17" w:rsidRDefault="001F568A" w:rsidP="001F568A"/>
    <w:p w14:paraId="3E5D39B1" w14:textId="77777777" w:rsidR="001F568A" w:rsidRPr="005842EE" w:rsidRDefault="001F568A" w:rsidP="001F568A">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197B0329" w14:textId="77777777" w:rsidR="001F568A" w:rsidRPr="00D1235A" w:rsidRDefault="001F568A" w:rsidP="001F568A">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1F34F6CA" w14:textId="77777777" w:rsidR="001F568A" w:rsidRPr="00D1235A" w:rsidRDefault="001F568A" w:rsidP="001F568A">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w:t>
      </w:r>
      <w:proofErr w:type="spellStart"/>
      <w:r w:rsidRPr="00590332">
        <w:t>ob</w:t>
      </w:r>
      <w:proofErr w:type="spellEnd"/>
      <w:r w:rsidRPr="00590332">
        <w:t xml:space="preserve">- </w:t>
      </w:r>
      <w:proofErr w:type="spellStart"/>
      <w:r w:rsidRPr="00590332">
        <w:t>tain</w:t>
      </w:r>
      <w:proofErr w:type="spellEnd"/>
      <w:r w:rsidRPr="00590332">
        <w:t xml:space="preserve">. </w:t>
      </w:r>
      <w:r w:rsidRPr="00D1235A">
        <w:rPr>
          <w:rStyle w:val="StyleUnderline"/>
        </w:rPr>
        <w:t xml:space="preserve">By </w:t>
      </w:r>
      <w:r w:rsidRPr="00D1235A">
        <w:rPr>
          <w:rStyle w:val="StyleUnderline"/>
          <w:highlight w:val="green"/>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4DEC7461" w14:textId="77777777" w:rsidR="001F568A" w:rsidRPr="0004616F" w:rsidRDefault="001F568A" w:rsidP="001F568A">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Contracts are the only standard capable of generating normativity since each agent rationally chooses to protect their self-interest by entering the contract. </w:t>
      </w:r>
    </w:p>
    <w:p w14:paraId="033994A5" w14:textId="77777777" w:rsidR="001F568A" w:rsidRPr="0058668A" w:rsidRDefault="001F568A" w:rsidP="001F568A">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53082487" w14:textId="77777777" w:rsidR="001F568A" w:rsidRPr="0058668A" w:rsidRDefault="001F568A" w:rsidP="001F568A">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 xml:space="preserve">in many situations, if </w:t>
      </w:r>
      <w:r w:rsidRPr="008F1957">
        <w:rPr>
          <w:rStyle w:val="Style13ptBold"/>
          <w:b w:val="0"/>
          <w:bCs/>
          <w:sz w:val="22"/>
          <w:szCs w:val="22"/>
          <w:u w:val="single"/>
        </w:rPr>
        <w:lastRenderedPageBreak/>
        <w:t>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7A6E3DC9" w14:textId="77777777" w:rsidR="001F568A" w:rsidRDefault="001F568A" w:rsidP="001F568A">
      <w:pPr>
        <w:pStyle w:val="Heading4"/>
      </w:pPr>
    </w:p>
    <w:p w14:paraId="72454AB1" w14:textId="77777777" w:rsidR="001F568A" w:rsidRDefault="001F568A" w:rsidP="001F568A">
      <w:pPr>
        <w:pStyle w:val="Heading4"/>
      </w:pPr>
    </w:p>
    <w:p w14:paraId="674F601C" w14:textId="77777777" w:rsidR="001F568A" w:rsidRDefault="001F568A" w:rsidP="001F568A">
      <w:pPr>
        <w:pStyle w:val="Heading4"/>
      </w:pPr>
      <w:r>
        <w:t>Thus, the standard is consistency with contractarianism. Prefer additionally:</w:t>
      </w:r>
    </w:p>
    <w:p w14:paraId="6B26FD18" w14:textId="77777777" w:rsidR="001F568A" w:rsidRDefault="001F568A" w:rsidP="001F568A">
      <w:pPr>
        <w:pStyle w:val="Heading4"/>
      </w:pPr>
    </w:p>
    <w:p w14:paraId="51C86346" w14:textId="77777777" w:rsidR="001F568A" w:rsidRPr="00EB1B17" w:rsidRDefault="001F568A" w:rsidP="001F568A">
      <w:pPr>
        <w:pStyle w:val="Heading4"/>
        <w:rPr>
          <w:rFonts w:ascii="-webkit-standard" w:hAnsi="-webkit-standard" w:cs="Times New Roman"/>
          <w:color w:val="000000"/>
        </w:rPr>
      </w:pPr>
      <w:r w:rsidRPr="00EB1B17">
        <w:rPr>
          <w:rStyle w:val="s8"/>
          <w:rFonts w:cs="Calibri"/>
          <w:color w:val="000000"/>
        </w:rPr>
        <w:t>[</w:t>
      </w:r>
      <w:r>
        <w:rPr>
          <w:rStyle w:val="s8"/>
          <w:rFonts w:cs="Calibri"/>
          <w:color w:val="000000"/>
        </w:rPr>
        <w:t>1</w:t>
      </w:r>
      <w:r w:rsidRPr="00EB1B17">
        <w:rPr>
          <w:rStyle w:val="s8"/>
          <w:rFonts w:cs="Calibri"/>
          <w:color w:val="000000"/>
        </w:rPr>
        <w:t>] Actor specificity – states are not moral entities but derive authority from the contracts that allows them to constrain action. This outweighs</w:t>
      </w:r>
      <w:r w:rsidRPr="00EB1B17">
        <w:rPr>
          <w:rStyle w:val="apple-converted-space"/>
          <w:rFonts w:cs="Calibri"/>
          <w:color w:val="000000"/>
        </w:rPr>
        <w:t> </w:t>
      </w:r>
      <w:r w:rsidRPr="00EB1B17">
        <w:rPr>
          <w:rStyle w:val="s8"/>
          <w:rFonts w:cs="Calibri"/>
          <w:color w:val="000000"/>
        </w:rPr>
        <w:t>-</w:t>
      </w:r>
      <w:r w:rsidRPr="00EB1B17">
        <w:rPr>
          <w:rStyle w:val="apple-converted-space"/>
          <w:rFonts w:cs="Calibri"/>
          <w:color w:val="000000"/>
        </w:rPr>
        <w:t> </w:t>
      </w:r>
      <w:r w:rsidRPr="00EB1B17">
        <w:rPr>
          <w:rStyle w:val="s8"/>
          <w:rFonts w:cs="Calibri"/>
          <w:color w:val="000000"/>
        </w:rPr>
        <w:t>states aren’t bound by moral obligations, but they are by their contracts to other entities.</w:t>
      </w:r>
      <w:r w:rsidRPr="00EB1B17">
        <w:rPr>
          <w:rStyle w:val="apple-converted-space"/>
          <w:rFonts w:cs="Calibri"/>
          <w:color w:val="000000"/>
        </w:rPr>
        <w:t> </w:t>
      </w:r>
    </w:p>
    <w:p w14:paraId="0F956174" w14:textId="77777777" w:rsidR="001F568A" w:rsidRPr="00ED4128" w:rsidRDefault="001F568A" w:rsidP="001F568A">
      <w:pPr>
        <w:rPr>
          <w:color w:val="000000" w:themeColor="text1"/>
        </w:rPr>
      </w:pPr>
    </w:p>
    <w:p w14:paraId="70C85DA1" w14:textId="77777777" w:rsidR="001F568A" w:rsidRDefault="001F568A" w:rsidP="001F568A">
      <w:pPr>
        <w:pStyle w:val="Heading4"/>
      </w:pPr>
      <w:r>
        <w:t xml:space="preserve">Negate: </w:t>
      </w:r>
    </w:p>
    <w:p w14:paraId="51BCD60F" w14:textId="77777777" w:rsidR="001F568A" w:rsidRPr="005904B7" w:rsidRDefault="001F568A" w:rsidP="001F568A"/>
    <w:p w14:paraId="546CDEEE" w14:textId="77777777" w:rsidR="001F568A" w:rsidRDefault="001F568A" w:rsidP="001F568A">
      <w:pPr>
        <w:pStyle w:val="Heading4"/>
      </w:pPr>
      <w:r>
        <w:lastRenderedPageBreak/>
        <w:t xml:space="preserve">[1] IP rights are included in multiple international contracts – the </w:t>
      </w:r>
      <w:proofErr w:type="spellStart"/>
      <w:r>
        <w:t>aff</w:t>
      </w:r>
      <w:proofErr w:type="spellEnd"/>
      <w:r>
        <w:t xml:space="preserve"> violates that.</w:t>
      </w:r>
    </w:p>
    <w:p w14:paraId="6FB1365C" w14:textId="77777777" w:rsidR="001F568A" w:rsidRPr="00F56AB5" w:rsidRDefault="001F568A" w:rsidP="001F568A">
      <w:pPr>
        <w:spacing w:before="15" w:after="180" w:line="240" w:lineRule="auto"/>
        <w:rPr>
          <w:rFonts w:ascii="Times New Roman" w:eastAsia="Times New Roman" w:hAnsi="Times New Roman" w:cs="Times New Roman"/>
          <w:sz w:val="24"/>
        </w:rPr>
      </w:pPr>
      <w:r w:rsidRPr="00F56AB5">
        <w:rPr>
          <w:rFonts w:eastAsia="Times New Roman"/>
          <w:b/>
          <w:bCs/>
          <w:sz w:val="26"/>
          <w:szCs w:val="26"/>
        </w:rPr>
        <w:t>WIPO</w:t>
      </w:r>
      <w:r w:rsidRPr="00F56AB5">
        <w:rPr>
          <w:rFonts w:eastAsia="Times New Roman"/>
          <w:szCs w:val="22"/>
        </w:rPr>
        <w:t> </w:t>
      </w:r>
      <w:r w:rsidRPr="00F56AB5">
        <w:t>(WIPO, 11-9-1998, accessed on 8-25-2021, World Intellectual Property Organization, "Intellectual Property and Human Rights", https://www.wipo.int/edocs/pubdocs/en/wipo_pub_762.pdf)</w:t>
      </w:r>
    </w:p>
    <w:p w14:paraId="7C7F68D2" w14:textId="77777777" w:rsidR="001F568A" w:rsidRPr="00727921" w:rsidRDefault="001F568A" w:rsidP="001F568A">
      <w:pPr>
        <w:rPr>
          <w:rStyle w:val="StyleUnderline"/>
        </w:rPr>
      </w:pPr>
      <w:r w:rsidRPr="00727921">
        <w:rPr>
          <w:rStyle w:val="StyleUnderlin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727921">
        <w:rPr>
          <w:rStyle w:val="StyleUnderline"/>
          <w:highlight w:val="green"/>
        </w:rPr>
        <w:t>Intellectual property rights are</w:t>
      </w:r>
      <w:r w:rsidRPr="00727921">
        <w:rPr>
          <w:rStyle w:val="StyleUnderline"/>
        </w:rPr>
        <w:t xml:space="preserve"> </w:t>
      </w:r>
      <w:r w:rsidRPr="00727921">
        <w:rPr>
          <w:rStyle w:val="StyleUnderline"/>
          <w:highlight w:val="green"/>
        </w:rPr>
        <w:t>enshrined as</w:t>
      </w:r>
      <w:r w:rsidRPr="00727921">
        <w:rPr>
          <w:rStyle w:val="StyleUnderline"/>
        </w:rPr>
        <w:t xml:space="preserve"> human </w:t>
      </w:r>
      <w:r w:rsidRPr="00727921">
        <w:rPr>
          <w:rStyle w:val="StyleUnderline"/>
          <w:highlight w:val="green"/>
        </w:rPr>
        <w:t>rights in the UDHR</w:t>
      </w:r>
      <w:r w:rsidRPr="00727921">
        <w:rPr>
          <w:rStyle w:val="StyleUnderline"/>
        </w:rPr>
        <w:t>.</w:t>
      </w:r>
      <w:r w:rsidRPr="00727921">
        <w:rPr>
          <w:sz w:val="16"/>
        </w:rPr>
        <w:t xml:space="preserve"> Article 27 of the Universal Declaration provides that: "(]) Everyone has the </w:t>
      </w:r>
      <w:proofErr w:type="spellStart"/>
      <w:r w:rsidRPr="00727921">
        <w:rPr>
          <w:sz w:val="16"/>
        </w:rPr>
        <w:t>right.freely</w:t>
      </w:r>
      <w:proofErr w:type="spellEnd"/>
      <w:r w:rsidRPr="00727921">
        <w:rPr>
          <w:sz w:val="16"/>
        </w:rPr>
        <w:t xml:space="preserve">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727921">
        <w:rPr>
          <w:rStyle w:val="StyleUnderline"/>
        </w:rPr>
        <w:t xml:space="preserve">These rights are </w:t>
      </w:r>
      <w:r w:rsidRPr="00727921">
        <w:rPr>
          <w:rStyle w:val="StyleUnderline"/>
          <w:highlight w:val="green"/>
        </w:rPr>
        <w:t>further emphasized by Article 15 of the</w:t>
      </w:r>
      <w:r w:rsidRPr="00727921">
        <w:rPr>
          <w:rStyle w:val="StyleUnderline"/>
        </w:rPr>
        <w:t xml:space="preserve"> International Covenant on Economic, Social and Cultural Rights, 1966 (</w:t>
      </w:r>
      <w:r w:rsidRPr="00727921">
        <w:rPr>
          <w:rStyle w:val="StyleUnderline"/>
          <w:highlight w:val="green"/>
        </w:rPr>
        <w:t>ICESCR</w:t>
      </w:r>
      <w:r w:rsidRPr="00727921">
        <w:rPr>
          <w:rStyle w:val="StyleUnderline"/>
        </w:rPr>
        <w:t xml:space="preserve">), </w:t>
      </w:r>
      <w:r w:rsidRPr="00727921">
        <w:rPr>
          <w:rStyle w:val="StyleUnderline"/>
          <w:highlight w:val="green"/>
        </w:rPr>
        <w:t>Article 19 of the</w:t>
      </w:r>
      <w:r w:rsidRPr="00727921">
        <w:rPr>
          <w:rStyle w:val="StyleUnderline"/>
        </w:rPr>
        <w:t xml:space="preserve"> International Covenant on </w:t>
      </w:r>
      <w:proofErr w:type="spellStart"/>
      <w:r w:rsidRPr="00727921">
        <w:rPr>
          <w:rStyle w:val="StyleUnderline"/>
        </w:rPr>
        <w:t>Civii'and</w:t>
      </w:r>
      <w:proofErr w:type="spellEnd"/>
      <w:r w:rsidRPr="00727921">
        <w:rPr>
          <w:rStyle w:val="StyleUnderline"/>
        </w:rPr>
        <w:t xml:space="preserve"> Political Rights, 1966 (</w:t>
      </w:r>
      <w:r w:rsidRPr="00727921">
        <w:rPr>
          <w:rStyle w:val="StyleUnderline"/>
          <w:highlight w:val="green"/>
        </w:rPr>
        <w:t>ICCPR</w:t>
      </w:r>
      <w:r w:rsidRPr="00727921">
        <w:rPr>
          <w:rStyle w:val="StyleUnderline"/>
        </w:rPr>
        <w:t xml:space="preserve">), </w:t>
      </w:r>
      <w:r w:rsidRPr="00727921">
        <w:rPr>
          <w:rStyle w:val="StyleUnderline"/>
          <w:highlight w:val="green"/>
        </w:rPr>
        <w:t>the</w:t>
      </w:r>
      <w:r w:rsidRPr="00727921">
        <w:rPr>
          <w:rStyle w:val="StyleUnderline"/>
        </w:rPr>
        <w:t xml:space="preserve"> Vienna Declaration and Program of Action, 1993 (</w:t>
      </w:r>
      <w:r w:rsidRPr="00727921">
        <w:rPr>
          <w:rStyle w:val="StyleUnderline"/>
          <w:highlight w:val="green"/>
        </w:rPr>
        <w:t>VDPA</w:t>
      </w:r>
      <w:r w:rsidRPr="00727921">
        <w:rPr>
          <w:rStyle w:val="StyleUnderline"/>
        </w:rPr>
        <w:t xml:space="preserve">), </w:t>
      </w:r>
      <w:r w:rsidRPr="00727921">
        <w:rPr>
          <w:rStyle w:val="StyleUnderline"/>
          <w:highlight w:val="green"/>
        </w:rPr>
        <w:t>and other international</w:t>
      </w:r>
      <w:r w:rsidRPr="00727921">
        <w:rPr>
          <w:rStyle w:val="StyleUnderline"/>
        </w:rPr>
        <w:t xml:space="preserve"> and regional </w:t>
      </w:r>
      <w:r w:rsidRPr="00727921">
        <w:rPr>
          <w:rStyle w:val="StyleUnderline"/>
          <w:highlight w:val="green"/>
        </w:rPr>
        <w:t>instruments</w:t>
      </w:r>
      <w:r w:rsidRPr="00727921">
        <w:rPr>
          <w:rStyle w:val="StyleUnderline"/>
        </w:rPr>
        <w:t xml:space="preserve">. </w:t>
      </w:r>
    </w:p>
    <w:p w14:paraId="3EE534CE" w14:textId="77777777" w:rsidR="001F568A" w:rsidRDefault="001F568A" w:rsidP="001F568A">
      <w:pPr>
        <w:pStyle w:val="Heading4"/>
      </w:pPr>
      <w:r>
        <w:t xml:space="preserve">[2] Consent – the </w:t>
      </w:r>
      <w:proofErr w:type="spellStart"/>
      <w:r>
        <w:t>aff</w:t>
      </w:r>
      <w:proofErr w:type="spellEnd"/>
      <w:r>
        <w:t xml:space="preserve"> bypasses the consent of medicine producers and allows it to be violated by removing patents - negates because violating a party’s consent is an act of disregarding their side of a hypothetical contract</w:t>
      </w:r>
    </w:p>
    <w:p w14:paraId="7A2787B1" w14:textId="77777777" w:rsidR="001F568A" w:rsidRDefault="001F568A" w:rsidP="001F568A"/>
    <w:p w14:paraId="598D8EBB" w14:textId="77777777" w:rsidR="001F568A" w:rsidRDefault="001F568A" w:rsidP="001F568A"/>
    <w:p w14:paraId="26A97879" w14:textId="77777777" w:rsidR="001F568A" w:rsidRDefault="001F568A" w:rsidP="001F568A">
      <w:pPr>
        <w:pStyle w:val="Heading2"/>
      </w:pPr>
      <w:r>
        <w:lastRenderedPageBreak/>
        <w:t>3</w:t>
      </w:r>
    </w:p>
    <w:p w14:paraId="4E7F79F2" w14:textId="77777777" w:rsidR="001F568A" w:rsidRPr="00F829FF" w:rsidRDefault="001F568A" w:rsidP="001F568A">
      <w:pPr>
        <w:pStyle w:val="Heading4"/>
        <w:rPr>
          <w:rFonts w:cs="Calibri"/>
          <w:color w:val="000000" w:themeColor="text1"/>
        </w:rPr>
      </w:pPr>
      <w:r w:rsidRPr="00C4573E">
        <w:rPr>
          <w:rFonts w:cs="Calibri"/>
          <w:color w:val="000000" w:themeColor="text1"/>
        </w:rPr>
        <w:t xml:space="preserve">The neg burden is to prove that the </w:t>
      </w:r>
      <w:proofErr w:type="spellStart"/>
      <w:r w:rsidRPr="00C4573E">
        <w:rPr>
          <w:rFonts w:cs="Calibri"/>
          <w:color w:val="000000" w:themeColor="text1"/>
        </w:rPr>
        <w:t>aff</w:t>
      </w:r>
      <w:proofErr w:type="spellEnd"/>
      <w:r w:rsidRPr="00C4573E">
        <w:rPr>
          <w:rFonts w:cs="Calibri"/>
          <w:color w:val="000000" w:themeColor="text1"/>
        </w:rPr>
        <w:t xml:space="preserve"> won’t logically happen in the status quo, and the </w:t>
      </w:r>
      <w:proofErr w:type="spellStart"/>
      <w:r w:rsidRPr="00C4573E">
        <w:rPr>
          <w:rFonts w:cs="Calibri"/>
          <w:color w:val="000000" w:themeColor="text1"/>
        </w:rPr>
        <w:t>aff</w:t>
      </w:r>
      <w:proofErr w:type="spellEnd"/>
      <w:r w:rsidRPr="00C4573E">
        <w:rPr>
          <w:rFonts w:cs="Calibri"/>
          <w:color w:val="000000" w:themeColor="text1"/>
        </w:rPr>
        <w:t xml:space="preserve"> burden is to prove that it will.</w:t>
      </w:r>
    </w:p>
    <w:p w14:paraId="0B761767" w14:textId="77777777" w:rsidR="001F568A" w:rsidRPr="00C4573E" w:rsidRDefault="001F568A" w:rsidP="001F568A">
      <w:pPr>
        <w:pStyle w:val="Heading4"/>
        <w:rPr>
          <w:rFonts w:cs="Calibri"/>
        </w:rPr>
      </w:pPr>
      <w:r w:rsidRPr="00C4573E">
        <w:rPr>
          <w:rFonts w:cs="Calibri"/>
        </w:rPr>
        <w:t>Prefer:</w:t>
      </w:r>
    </w:p>
    <w:p w14:paraId="4C6C7FC4" w14:textId="77777777" w:rsidR="001F568A" w:rsidRPr="00C4573E" w:rsidRDefault="001F568A" w:rsidP="001F568A">
      <w:pPr>
        <w:pStyle w:val="Heading4"/>
        <w:rPr>
          <w:rFonts w:cs="Calibri"/>
        </w:rPr>
      </w:pPr>
      <w:r w:rsidRPr="00C4573E">
        <w:rPr>
          <w:rFonts w:cs="Calibri"/>
        </w:rPr>
        <w:t>1] Text –</w:t>
      </w:r>
    </w:p>
    <w:p w14:paraId="796E68A0" w14:textId="77777777" w:rsidR="001F568A" w:rsidRPr="00C4573E" w:rsidRDefault="001F568A" w:rsidP="001F568A">
      <w:pPr>
        <w:pStyle w:val="Heading4"/>
        <w:rPr>
          <w:rFonts w:cs="Calibri"/>
        </w:rPr>
      </w:pPr>
      <w:r w:rsidRPr="00C4573E">
        <w:rPr>
          <w:rFonts w:cs="Calibri"/>
        </w:rPr>
        <w:t xml:space="preserve">A] Ought </w:t>
      </w:r>
      <w:proofErr w:type="gramStart"/>
      <w:r w:rsidRPr="00C4573E">
        <w:rPr>
          <w:rFonts w:cs="Calibri"/>
        </w:rPr>
        <w:t>is</w:t>
      </w:r>
      <w:proofErr w:type="gramEnd"/>
      <w:r w:rsidRPr="00C4573E">
        <w:rPr>
          <w:rFonts w:cs="Calibri"/>
        </w:rPr>
        <w:t xml:space="preserve"> “</w:t>
      </w:r>
      <w:r w:rsidRPr="00C4573E">
        <w:rPr>
          <w:rFonts w:cs="Calibri"/>
          <w:u w:val="single"/>
        </w:rPr>
        <w:t>used to express logical consequence</w:t>
      </w:r>
      <w:r w:rsidRPr="00C4573E">
        <w:rPr>
          <w:rFonts w:cs="Calibri"/>
        </w:rPr>
        <w:t xml:space="preserve">” as defined by Merriam-Webster </w:t>
      </w:r>
    </w:p>
    <w:p w14:paraId="1BB0CDF2" w14:textId="77777777" w:rsidR="001F568A" w:rsidRPr="00C4573E" w:rsidRDefault="001F568A" w:rsidP="001F568A">
      <w:pPr>
        <w:rPr>
          <w:szCs w:val="16"/>
        </w:rPr>
      </w:pPr>
      <w:r w:rsidRPr="00C4573E">
        <w:rPr>
          <w:szCs w:val="16"/>
        </w:rPr>
        <w:t>(</w:t>
      </w:r>
      <w:hyperlink r:id="rId9" w:history="1">
        <w:r w:rsidRPr="00C4573E">
          <w:rPr>
            <w:rStyle w:val="Hyperlink"/>
            <w:szCs w:val="16"/>
          </w:rPr>
          <w:t>http://www.merriam-webster.com/dictionary/ought</w:t>
        </w:r>
      </w:hyperlink>
      <w:r w:rsidRPr="00C4573E">
        <w:rPr>
          <w:szCs w:val="16"/>
        </w:rPr>
        <w:t>) //Massa</w:t>
      </w:r>
    </w:p>
    <w:p w14:paraId="68D96E4A" w14:textId="77777777" w:rsidR="001F568A" w:rsidRPr="00C4573E" w:rsidRDefault="001F568A" w:rsidP="001F568A">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7869019E" w14:textId="77777777" w:rsidR="001F568A" w:rsidRPr="00C4573E" w:rsidRDefault="001F568A" w:rsidP="001F568A">
      <w:pPr>
        <w:rPr>
          <w:szCs w:val="16"/>
        </w:rPr>
      </w:pPr>
      <w:hyperlink r:id="rId10" w:history="1">
        <w:r w:rsidRPr="00C4573E">
          <w:rPr>
            <w:rStyle w:val="Hyperlink"/>
            <w:szCs w:val="16"/>
          </w:rPr>
          <w:t>https://en.oxforddictionaries.com/definition/ought</w:t>
        </w:r>
      </w:hyperlink>
      <w:r w:rsidRPr="00C4573E">
        <w:rPr>
          <w:szCs w:val="16"/>
        </w:rPr>
        <w:t xml:space="preserve"> //Massa</w:t>
      </w:r>
    </w:p>
    <w:p w14:paraId="6F700A73" w14:textId="77777777" w:rsidR="001F568A" w:rsidRPr="00D05B4F" w:rsidRDefault="001F568A" w:rsidP="001F568A">
      <w:pPr>
        <w:pStyle w:val="Heading4"/>
      </w:pPr>
      <w:r w:rsidRPr="0078173A">
        <w:t xml:space="preserve">2] </w:t>
      </w:r>
      <w:proofErr w:type="spellStart"/>
      <w:r w:rsidRPr="0078173A">
        <w:t>Debatability</w:t>
      </w:r>
      <w:proofErr w:type="spellEnd"/>
      <w:r w:rsidRPr="0078173A">
        <w:t xml:space="preserve"> – </w:t>
      </w:r>
      <w:r>
        <w:t>A]</w:t>
      </w:r>
      <w:r w:rsidRPr="0078173A">
        <w:t xml:space="preserve"> it focuses debates on empirics about </w:t>
      </w:r>
      <w:proofErr w:type="spellStart"/>
      <w:r w:rsidRPr="0078173A">
        <w:t>squo</w:t>
      </w:r>
      <w:proofErr w:type="spellEnd"/>
      <w:r w:rsidRPr="0078173A">
        <w:t xml:space="preserve"> trends rather than irresolvable abstract principles that’ve been argued for years – </w:t>
      </w:r>
      <w:r w:rsidRPr="0078173A">
        <w:rPr>
          <w:rFonts w:eastAsia="Times New Roman"/>
          <w:color w:val="000000"/>
        </w:rPr>
        <w:t>Resolvability is an independent voter </w:t>
      </w:r>
      <w:proofErr w:type="spellStart"/>
      <w:r w:rsidRPr="0078173A">
        <w:rPr>
          <w:rFonts w:eastAsia="Times New Roman"/>
          <w:color w:val="000000"/>
        </w:rPr>
        <w:t>cuz</w:t>
      </w:r>
      <w:proofErr w:type="spellEnd"/>
      <w:r w:rsidRPr="0078173A">
        <w:rPr>
          <w:rFonts w:eastAsia="Times New Roman"/>
          <w:color w:val="000000"/>
        </w:rPr>
        <w:t> otherwise the judge can’t make a decision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384DC7F4" w14:textId="77777777" w:rsidR="001F568A" w:rsidRPr="00D05B4F" w:rsidRDefault="001F568A" w:rsidP="001F568A">
      <w:r w:rsidRPr="00D05B4F">
        <w:rPr>
          <w:rStyle w:val="Style13ptBold"/>
        </w:rPr>
        <w:t xml:space="preserve">Joyce 02 </w:t>
      </w:r>
      <w:r w:rsidRPr="00D05B4F">
        <w:t>Joyce, Richard. Myth of Morality. Port Chester, NY, USA: Cambridge University Press, 2002. p 45-47.</w:t>
      </w:r>
    </w:p>
    <w:p w14:paraId="1AFC9DF4" w14:textId="77777777" w:rsidR="001F568A" w:rsidRPr="00D05B4F" w:rsidRDefault="001F568A" w:rsidP="001F568A">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accepting mathematics allows one to say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r w:rsidRPr="00D05B4F">
        <w:rPr>
          <w:rFonts w:eastAsia="MS Mincho"/>
          <w:b/>
          <w:u w:val="single"/>
        </w:rPr>
        <w:t>ask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w:t>
      </w:r>
      <w:proofErr w:type="gramStart"/>
      <w:r w:rsidRPr="00D05B4F">
        <w:rPr>
          <w:rFonts w:eastAsia="MS Mincho"/>
          <w:sz w:val="12"/>
        </w:rPr>
        <w:t>do</w:t>
      </w:r>
      <w:proofErr w:type="gramEnd"/>
      <w:r w:rsidRPr="00D05B4F">
        <w:rPr>
          <w:rFonts w:eastAsia="MS Mincho"/>
          <w:sz w:val="12"/>
        </w:rPr>
        <w:t xml:space="preserve">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w:t>
      </w:r>
      <w:r w:rsidRPr="00D05B4F">
        <w:rPr>
          <w:rFonts w:eastAsia="MS Mincho"/>
          <w:sz w:val="12"/>
          <w:szCs w:val="12"/>
        </w:rPr>
        <w:lastRenderedPageBreak/>
        <w:t>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684469F6" w14:textId="77777777" w:rsidR="001F568A" w:rsidRPr="00C4573E" w:rsidRDefault="001F568A" w:rsidP="001F568A">
      <w:pPr>
        <w:spacing w:after="0" w:line="240" w:lineRule="auto"/>
        <w:rPr>
          <w:sz w:val="14"/>
        </w:rPr>
      </w:pPr>
    </w:p>
    <w:p w14:paraId="23A1F7C8" w14:textId="77777777" w:rsidR="001F568A" w:rsidRPr="00C4573E" w:rsidRDefault="001F568A" w:rsidP="001F568A">
      <w:pPr>
        <w:pStyle w:val="Heading4"/>
        <w:rPr>
          <w:rFonts w:cs="Calibri"/>
        </w:rPr>
      </w:pPr>
      <w:r w:rsidRPr="00C4573E">
        <w:rPr>
          <w:rFonts w:cs="Calibri"/>
        </w:rPr>
        <w:t xml:space="preserve">3] Neg definition choice – the </w:t>
      </w:r>
      <w:proofErr w:type="spellStart"/>
      <w:r w:rsidRPr="00C4573E">
        <w:rPr>
          <w:rFonts w:cs="Calibri"/>
        </w:rPr>
        <w:t>aff</w:t>
      </w:r>
      <w:proofErr w:type="spellEnd"/>
      <w:r w:rsidRPr="00C4573E">
        <w:rPr>
          <w:rFonts w:cs="Calibri"/>
        </w:rPr>
        <w:t xml:space="preserve"> should have defined ought in the 1ac because it was in the </w:t>
      </w:r>
      <w:proofErr w:type="spellStart"/>
      <w:r w:rsidRPr="00C4573E">
        <w:rPr>
          <w:rFonts w:cs="Calibri"/>
        </w:rPr>
        <w:t>rez</w:t>
      </w:r>
      <w:proofErr w:type="spellEnd"/>
      <w:r w:rsidRPr="00C4573E">
        <w:rPr>
          <w:rFonts w:cs="Calibri"/>
        </w:rPr>
        <w:t xml:space="preserve"> so it’s predictable contestation, by not doing so they have forfeited their right to read a new definition – kills 1NC strategy since I </w:t>
      </w:r>
      <w:proofErr w:type="spellStart"/>
      <w:r w:rsidRPr="00C4573E">
        <w:rPr>
          <w:rFonts w:cs="Calibri"/>
        </w:rPr>
        <w:t>premised</w:t>
      </w:r>
      <w:proofErr w:type="spellEnd"/>
      <w:r w:rsidRPr="00C4573E">
        <w:rPr>
          <w:rFonts w:cs="Calibri"/>
        </w:rPr>
        <w:t xml:space="preserve"> my engagement on a lack of your definition. </w:t>
      </w:r>
    </w:p>
    <w:p w14:paraId="17AB7F56" w14:textId="77777777" w:rsidR="001F568A" w:rsidRPr="00C4573E" w:rsidRDefault="001F568A" w:rsidP="001F568A">
      <w:pPr>
        <w:pStyle w:val="Heading4"/>
        <w:rPr>
          <w:rFonts w:cs="Calibri"/>
        </w:rPr>
      </w:pPr>
      <w:r w:rsidRPr="00C4573E">
        <w:rPr>
          <w:rFonts w:cs="Calibri"/>
        </w:rPr>
        <w:t>Now negate:</w:t>
      </w:r>
    </w:p>
    <w:p w14:paraId="2940CB41" w14:textId="77777777" w:rsidR="001F568A" w:rsidRPr="00C4573E" w:rsidRDefault="001F568A" w:rsidP="001F568A">
      <w:pPr>
        <w:pStyle w:val="Heading4"/>
        <w:rPr>
          <w:rFonts w:cs="Calibri"/>
        </w:rPr>
      </w:pPr>
      <w:r w:rsidRPr="00C4573E">
        <w:rPr>
          <w:rFonts w:cs="Calibri"/>
        </w:rPr>
        <w:t xml:space="preserve">1] Inherency – either a) the </w:t>
      </w:r>
      <w:proofErr w:type="spellStart"/>
      <w:r w:rsidRPr="00C4573E">
        <w:rPr>
          <w:rFonts w:cs="Calibri"/>
        </w:rPr>
        <w:t>aff</w:t>
      </w:r>
      <w:proofErr w:type="spellEnd"/>
      <w:r w:rsidRPr="00C4573E">
        <w:rPr>
          <w:rFonts w:cs="Calibri"/>
        </w:rPr>
        <w:t xml:space="preserve"> is non-inherent and you vote neg on presumption or b) it </w:t>
      </w:r>
      <w:proofErr w:type="gramStart"/>
      <w:r w:rsidRPr="00C4573E">
        <w:rPr>
          <w:rFonts w:cs="Calibri"/>
        </w:rPr>
        <w:t>is</w:t>
      </w:r>
      <w:proofErr w:type="gramEnd"/>
      <w:r w:rsidRPr="00C4573E">
        <w:rPr>
          <w:rFonts w:cs="Calibri"/>
        </w:rPr>
        <w:t xml:space="preserve"> and it isn’t going to happen since there are structural barriers that preclude. </w:t>
      </w:r>
      <w:proofErr w:type="gramStart"/>
      <w:r w:rsidRPr="00C4573E">
        <w:rPr>
          <w:rFonts w:cs="Calibri"/>
        </w:rPr>
        <w:t>Also</w:t>
      </w:r>
      <w:proofErr w:type="gramEnd"/>
      <w:r w:rsidRPr="00C4573E">
        <w:rPr>
          <w:rFonts w:cs="Calibri"/>
        </w:rPr>
        <w:t xml:space="preserve"> you don’t get to say in the 1ar that the </w:t>
      </w:r>
      <w:proofErr w:type="spellStart"/>
      <w:r w:rsidRPr="00C4573E">
        <w:rPr>
          <w:rFonts w:cs="Calibri"/>
        </w:rPr>
        <w:t>aff</w:t>
      </w:r>
      <w:proofErr w:type="spellEnd"/>
      <w:r w:rsidRPr="00C4573E">
        <w:rPr>
          <w:rFonts w:cs="Calibri"/>
        </w:rPr>
        <w:t xml:space="preserve"> is non inherent because you took a stance in the </w:t>
      </w:r>
      <w:proofErr w:type="spellStart"/>
      <w:r w:rsidRPr="00C4573E">
        <w:rPr>
          <w:rFonts w:cs="Calibri"/>
        </w:rPr>
        <w:t>aff</w:t>
      </w:r>
      <w:proofErr w:type="spellEnd"/>
      <w:r w:rsidRPr="00C4573E">
        <w:rPr>
          <w:rFonts w:cs="Calibri"/>
        </w:rPr>
        <w:t xml:space="preserve"> that it was which is an academic integrity issue.</w:t>
      </w:r>
    </w:p>
    <w:p w14:paraId="3739EC46" w14:textId="77777777" w:rsidR="001F568A" w:rsidRPr="00EB1B17" w:rsidRDefault="001F568A" w:rsidP="001F568A"/>
    <w:p w14:paraId="31804582" w14:textId="77777777" w:rsidR="00E42E4C" w:rsidRPr="001F568A" w:rsidRDefault="00E42E4C" w:rsidP="001F568A"/>
    <w:sectPr w:rsidR="00E42E4C" w:rsidRPr="001F56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68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56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F56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56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56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1F56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56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568A"/>
  </w:style>
  <w:style w:type="character" w:customStyle="1" w:styleId="Heading1Char">
    <w:name w:val="Heading 1 Char"/>
    <w:aliases w:val="Pocket Char"/>
    <w:basedOn w:val="DefaultParagraphFont"/>
    <w:link w:val="Heading1"/>
    <w:uiPriority w:val="9"/>
    <w:rsid w:val="001F56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56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568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1F56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568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1F568A"/>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1F568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F568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1F568A"/>
    <w:rPr>
      <w:color w:val="auto"/>
      <w:u w:val="none"/>
    </w:rPr>
  </w:style>
  <w:style w:type="paragraph" w:styleId="DocumentMap">
    <w:name w:val="Document Map"/>
    <w:basedOn w:val="Normal"/>
    <w:link w:val="DocumentMapChar"/>
    <w:uiPriority w:val="99"/>
    <w:semiHidden/>
    <w:unhideWhenUsed/>
    <w:rsid w:val="001F56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568A"/>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9</Pages>
  <Words>2722</Words>
  <Characters>15521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8</cp:revision>
  <dcterms:created xsi:type="dcterms:W3CDTF">2021-09-04T20:57:00Z</dcterms:created>
  <dcterms:modified xsi:type="dcterms:W3CDTF">2021-09-18T15:20:00Z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