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9883F" w14:textId="09FC80F1" w:rsidR="00E42E4C" w:rsidRDefault="009E4971" w:rsidP="009E4971">
      <w:pPr>
        <w:pStyle w:val="Heading1"/>
      </w:pPr>
      <w:r>
        <w:t>Toc r5 1nc</w:t>
      </w:r>
    </w:p>
    <w:p w14:paraId="36EB4A6F" w14:textId="7B935698" w:rsidR="009E4971" w:rsidRDefault="009E4971" w:rsidP="009E4971"/>
    <w:p w14:paraId="5E6DEFFD" w14:textId="449B6124" w:rsidR="009E4971" w:rsidRDefault="009E4971" w:rsidP="009E4971"/>
    <w:p w14:paraId="17EA745A" w14:textId="09A43FDD" w:rsidR="009E4971" w:rsidRDefault="009E4971" w:rsidP="009E4971">
      <w:pPr>
        <w:pStyle w:val="Heading2"/>
      </w:pPr>
      <w:r>
        <w:t>1</w:t>
      </w:r>
    </w:p>
    <w:p w14:paraId="43459657" w14:textId="36ABCDB1" w:rsidR="00C412DD" w:rsidRDefault="00C412DD" w:rsidP="00C412DD">
      <w:pPr>
        <w:pStyle w:val="Heading4"/>
      </w:pPr>
      <w:r w:rsidRPr="00C412DD">
        <w:t xml:space="preserve">Interpretation: </w:t>
      </w:r>
      <w:r>
        <w:t>D</w:t>
      </w:r>
      <w:r w:rsidRPr="00C412DD">
        <w:t xml:space="preserve">ebaters may not garner offense from extra-topical planks of the plan Violation: they say the specific process of appropriation via large sats in the LEO is unjust </w:t>
      </w:r>
      <w:r>
        <w:t>– specifying a process</w:t>
      </w:r>
    </w:p>
    <w:p w14:paraId="5478713F" w14:textId="632CA868" w:rsidR="00C412DD" w:rsidRDefault="00C412DD" w:rsidP="00C412DD">
      <w:pPr>
        <w:pStyle w:val="Heading4"/>
      </w:pPr>
      <w:r w:rsidRPr="00C412DD">
        <w:t xml:space="preserve">Prefer: </w:t>
      </w:r>
    </w:p>
    <w:p w14:paraId="3CD98BF3" w14:textId="77777777" w:rsidR="00C412DD" w:rsidRDefault="00C412DD" w:rsidP="00C412DD">
      <w:pPr>
        <w:pStyle w:val="Heading4"/>
      </w:pPr>
      <w:r w:rsidRPr="00C412DD">
        <w:t xml:space="preserve">1] Limits and ground– they justify an infinite number of affs i.e. the appropriation of space is unjust via small sats, medium sats, mini sats, the Middle Earth orbit, the High Earth orbit, etc. – makes it impossible to prep since each aff requires unique case negs – ows since the rez is the only stasis point we have for prep pre-round </w:t>
      </w:r>
    </w:p>
    <w:p w14:paraId="607F89F8" w14:textId="77777777" w:rsidR="00C412DD" w:rsidRDefault="00C412DD" w:rsidP="00C412DD">
      <w:pPr>
        <w:pStyle w:val="Heading4"/>
      </w:pPr>
      <w:r w:rsidRPr="00C412DD">
        <w:t xml:space="preserve">2] Vagueness - only our interp lets them clearly define what they defend from the start. Their model leads to late-breaking debates that destroy ground, for example we won’t know if asteroid mining or space exploration or heg are offense until the 1AR, which skews neg prep </w:t>
      </w:r>
    </w:p>
    <w:p w14:paraId="6F24CE13" w14:textId="77777777" w:rsidR="000A56B8" w:rsidRDefault="00C412DD" w:rsidP="00C412DD">
      <w:pPr>
        <w:pStyle w:val="Heading4"/>
      </w:pPr>
      <w:r w:rsidRPr="00C412DD">
        <w:t xml:space="preserve">Use competing interps – reasonability is arbitrary and requires intervention </w:t>
      </w:r>
    </w:p>
    <w:p w14:paraId="0F5130B8" w14:textId="22751F9F" w:rsidR="00C412DD" w:rsidRDefault="00C412DD" w:rsidP="00C412DD">
      <w:pPr>
        <w:pStyle w:val="Heading4"/>
      </w:pPr>
      <w:r w:rsidRPr="00C412DD">
        <w:t xml:space="preserve">DTD – T indicts the whole aff </w:t>
      </w:r>
      <w:r w:rsidR="000A56B8">
        <w:t>so dta makes no sense</w:t>
      </w:r>
    </w:p>
    <w:p w14:paraId="396463F0" w14:textId="77777777" w:rsidR="00C412DD" w:rsidRDefault="00C412DD" w:rsidP="00C412DD">
      <w:pPr>
        <w:pStyle w:val="Heading4"/>
      </w:pPr>
      <w:r w:rsidRPr="00C412DD">
        <w:t xml:space="preserve">No RVIs – 1] illogical – shouldn’t win for being fair 2] forces us into a theory debate which crowds out substance </w:t>
      </w:r>
    </w:p>
    <w:p w14:paraId="42EF7AC7" w14:textId="77777777" w:rsidR="00C412DD" w:rsidRDefault="00C412DD" w:rsidP="00C412DD">
      <w:pPr>
        <w:pStyle w:val="Heading4"/>
      </w:pPr>
      <w:r w:rsidRPr="00C412DD">
        <w:t xml:space="preserve">Fairness is a voter – making arguments assumes they’re being evaluated fairly </w:t>
      </w:r>
    </w:p>
    <w:p w14:paraId="44A9FA0F" w14:textId="77777777" w:rsidR="004F0E77" w:rsidRDefault="00C412DD" w:rsidP="00C412DD">
      <w:pPr>
        <w:pStyle w:val="Heading4"/>
      </w:pPr>
      <w:r w:rsidRPr="00C412DD">
        <w:t xml:space="preserve">Education is a voter – why schools fund debate </w:t>
      </w:r>
    </w:p>
    <w:p w14:paraId="5D3B73F9" w14:textId="26A5E0B3" w:rsidR="00C412DD" w:rsidRPr="00C412DD" w:rsidRDefault="00C412DD" w:rsidP="00C412DD">
      <w:pPr>
        <w:pStyle w:val="Heading4"/>
      </w:pPr>
      <w:r w:rsidRPr="00C412DD">
        <w:t>1NC theory first - abuse was self-inflicted, the only reason I was abusive was because the 1ac was initially abusive</w:t>
      </w:r>
    </w:p>
    <w:p w14:paraId="7D32C4F1" w14:textId="2404748B" w:rsidR="00C412DD" w:rsidRDefault="00C412DD" w:rsidP="00C412DD">
      <w:pPr>
        <w:pStyle w:val="Heading4"/>
      </w:pPr>
    </w:p>
    <w:p w14:paraId="59F7CD2A" w14:textId="35A7E94A" w:rsidR="000A56B8" w:rsidRDefault="000A56B8" w:rsidP="000A56B8">
      <w:pPr>
        <w:pStyle w:val="Heading2"/>
      </w:pPr>
      <w:r>
        <w:t>2</w:t>
      </w:r>
    </w:p>
    <w:p w14:paraId="52E1A5F1" w14:textId="77777777" w:rsidR="000A56B8" w:rsidRPr="000A56B8" w:rsidRDefault="000A56B8" w:rsidP="000A56B8"/>
    <w:p w14:paraId="5C0A0E49" w14:textId="77777777" w:rsidR="009E4971" w:rsidRPr="006256E3" w:rsidRDefault="009E4971" w:rsidP="009E4971">
      <w:pPr>
        <w:rPr>
          <w:sz w:val="26"/>
          <w:szCs w:val="26"/>
        </w:rPr>
      </w:pPr>
      <w:r w:rsidRPr="006256E3">
        <w:rPr>
          <w:b/>
          <w:bCs/>
          <w:sz w:val="26"/>
          <w:szCs w:val="26"/>
        </w:rPr>
        <w:t>Permissibility and presumption negate:</w:t>
      </w:r>
    </w:p>
    <w:p w14:paraId="08D2DC04" w14:textId="77777777" w:rsidR="009E4971" w:rsidRPr="006256E3" w:rsidRDefault="009E4971" w:rsidP="009E4971">
      <w:pPr>
        <w:rPr>
          <w:sz w:val="26"/>
          <w:szCs w:val="26"/>
        </w:rPr>
      </w:pPr>
      <w:r w:rsidRPr="006256E3">
        <w:rPr>
          <w:b/>
          <w:bCs/>
          <w:sz w:val="26"/>
          <w:szCs w:val="26"/>
        </w:rPr>
        <w:t>[1] Resolution indicates the affirmative has to prove a proactive obligation, and permissibility would deny the existence of an obligation</w:t>
      </w:r>
    </w:p>
    <w:p w14:paraId="1C4F4299" w14:textId="77777777" w:rsidR="009E4971" w:rsidRPr="006256E3" w:rsidRDefault="009E4971" w:rsidP="009E4971">
      <w:pPr>
        <w:rPr>
          <w:sz w:val="26"/>
          <w:szCs w:val="26"/>
        </w:rPr>
      </w:pPr>
      <w:r w:rsidRPr="006256E3">
        <w:rPr>
          <w:b/>
          <w:bCs/>
          <w:sz w:val="26"/>
          <w:szCs w:val="26"/>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27BAA374" w14:textId="77777777" w:rsidR="009E4971" w:rsidRPr="006256E3" w:rsidRDefault="009E4971" w:rsidP="009E4971">
      <w:pPr>
        <w:rPr>
          <w:sz w:val="26"/>
          <w:szCs w:val="26"/>
        </w:rPr>
      </w:pPr>
      <w:r w:rsidRPr="006256E3">
        <w:rPr>
          <w:b/>
          <w:bCs/>
          <w:sz w:val="26"/>
          <w:szCs w:val="26"/>
        </w:rPr>
        <w:t>[3] Statements are more often false than true because any part can be false. This means you negate if there is no offense because the resolution is probably false.</w:t>
      </w:r>
    </w:p>
    <w:p w14:paraId="3E1D51A3" w14:textId="77777777" w:rsidR="009E4971" w:rsidRDefault="009E4971" w:rsidP="009E4971"/>
    <w:p w14:paraId="05D1B269" w14:textId="77777777" w:rsidR="009E4971" w:rsidRDefault="009E4971" w:rsidP="009E497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58B6119A" w14:textId="77777777" w:rsidR="009E4971" w:rsidRDefault="009E4971" w:rsidP="009E4971">
      <w:pPr>
        <w:pStyle w:val="Heading4"/>
      </w:pPr>
      <w:r>
        <w:t>Constitutivism solves – it allows for universal obligations among all agents but they are binding and cannot be opted out of.</w:t>
      </w:r>
    </w:p>
    <w:p w14:paraId="5BCE2845" w14:textId="77777777" w:rsidR="009E4971" w:rsidRPr="007A71B9" w:rsidRDefault="009E4971" w:rsidP="009E4971"/>
    <w:p w14:paraId="0EEBCB6B" w14:textId="77777777" w:rsidR="009E4971" w:rsidRDefault="009E4971" w:rsidP="009E4971">
      <w:pPr>
        <w:pStyle w:val="Heading4"/>
      </w:pPr>
      <w:r>
        <w:t>Next, only practical reason is constitutive:</w:t>
      </w:r>
    </w:p>
    <w:p w14:paraId="06E76E03" w14:textId="77777777" w:rsidR="009E4971" w:rsidRDefault="009E4971" w:rsidP="009E4971">
      <w:pPr>
        <w:pStyle w:val="Heading4"/>
      </w:pPr>
      <w:r>
        <w:t>[1] Regress – to question why one should reason concedes its authority since it is an act of reasoning itself which proves it’s binding and inescapable</w:t>
      </w:r>
    </w:p>
    <w:p w14:paraId="77742E05" w14:textId="77777777" w:rsidR="009E4971" w:rsidRDefault="009E4971" w:rsidP="009E4971">
      <w:pPr>
        <w:pStyle w:val="Heading4"/>
      </w:pPr>
      <w:r>
        <w:t>[2] Agents can shift between different identities but doing so requires reason - it unifies the subject and is the only enterprise agents cannot escape</w:t>
      </w:r>
    </w:p>
    <w:p w14:paraId="3F167A37" w14:textId="77777777" w:rsidR="009E4971" w:rsidRPr="00E63F3E" w:rsidRDefault="009E4971" w:rsidP="009E4971">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C5B6852" w14:textId="77777777" w:rsidR="009E4971" w:rsidRDefault="009E4971" w:rsidP="009E497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9BDF18C" w14:textId="77777777" w:rsidR="009E4971" w:rsidRPr="0051320E" w:rsidRDefault="009E4971" w:rsidP="009E4971"/>
    <w:p w14:paraId="46E866F1" w14:textId="77777777" w:rsidR="009E4971" w:rsidRDefault="009E4971" w:rsidP="009E4971">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D385DC4" w14:textId="77777777" w:rsidR="009E4971" w:rsidRDefault="009E4971" w:rsidP="009E4971"/>
    <w:p w14:paraId="1671EA4B" w14:textId="77777777" w:rsidR="009E4971" w:rsidRPr="00C75194" w:rsidRDefault="009E4971" w:rsidP="009E4971">
      <w:pPr>
        <w:pStyle w:val="Heading4"/>
      </w:pPr>
      <w:r w:rsidRPr="00C75194">
        <w:t>Thus, the standard is consistency with a system of equal and outer freedoms. Prefer:</w:t>
      </w:r>
    </w:p>
    <w:p w14:paraId="2B35FAAA" w14:textId="77777777" w:rsidR="009E4971" w:rsidRPr="00C75194" w:rsidRDefault="009E4971" w:rsidP="009E4971">
      <w:pPr>
        <w:pStyle w:val="Heading4"/>
      </w:pPr>
    </w:p>
    <w:p w14:paraId="50DE272B" w14:textId="77777777" w:rsidR="009E4971" w:rsidRPr="00C75194" w:rsidRDefault="009E4971" w:rsidP="009E4971">
      <w:pPr>
        <w:pStyle w:val="Heading4"/>
        <w:rPr>
          <w:rFonts w:ascii="-webkit-standard" w:hAnsi="-webkit-standard" w:cs="Times New Roman" w:hint="eastAsia"/>
          <w:color w:val="000000"/>
        </w:rPr>
      </w:pPr>
      <w:r w:rsidRPr="00C75194">
        <w:rPr>
          <w:rStyle w:val="s6"/>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75918D89" w14:textId="77777777" w:rsidR="009E4971" w:rsidRPr="00C75194" w:rsidRDefault="009E4971" w:rsidP="009E4971">
      <w:pPr>
        <w:pStyle w:val="Heading4"/>
        <w:rPr>
          <w:rFonts w:ascii="-webkit-standard" w:hAnsi="-webkit-standard" w:hint="eastAsia"/>
          <w:color w:val="000000"/>
        </w:rPr>
      </w:pPr>
      <w:r w:rsidRPr="00C75194">
        <w:rPr>
          <w:rFonts w:ascii="-webkit-standard" w:hAnsi="-webkit-standard"/>
          <w:color w:val="000000"/>
        </w:rPr>
        <w:t> </w:t>
      </w:r>
    </w:p>
    <w:p w14:paraId="6BEFB6B4" w14:textId="36073250" w:rsidR="009E4971" w:rsidRDefault="009E4971" w:rsidP="009E4971">
      <w:pPr>
        <w:pStyle w:val="Heading4"/>
        <w:rPr>
          <w:rStyle w:val="s6"/>
          <w:rFonts w:cs="Calibri"/>
          <w:color w:val="000000"/>
        </w:rPr>
      </w:pPr>
      <w:r w:rsidRPr="00C75194">
        <w:rPr>
          <w:rStyle w:val="s6"/>
          <w:rFonts w:cs="Calibri"/>
          <w:color w:val="000000"/>
        </w:rPr>
        <w:t>2]</w:t>
      </w:r>
      <w:r w:rsidRPr="00C75194">
        <w:rPr>
          <w:rStyle w:val="apple-converted-space"/>
          <w:rFonts w:cs="Calibri"/>
          <w:color w:val="000000"/>
        </w:rPr>
        <w:t> </w:t>
      </w:r>
      <w:r w:rsidRPr="00C75194">
        <w:rPr>
          <w:rStyle w:val="s6"/>
          <w:rFonts w:cs="Calibri"/>
          <w:color w:val="000000"/>
        </w:rPr>
        <w:t>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w:t>
      </w:r>
      <w:r w:rsidRPr="00C75194">
        <w:rPr>
          <w:rStyle w:val="apple-converted-space"/>
          <w:rFonts w:cs="Calibri"/>
          <w:color w:val="000000"/>
        </w:rPr>
        <w:t> </w:t>
      </w:r>
      <w:r w:rsidRPr="00C75194">
        <w:rPr>
          <w:rStyle w:val="s6"/>
          <w:rFonts w:cs="Calibri"/>
          <w:color w:val="000000"/>
        </w:rPr>
        <w:t>cuz</w:t>
      </w:r>
      <w:r w:rsidRPr="00C75194">
        <w:rPr>
          <w:rStyle w:val="apple-converted-space"/>
          <w:rFonts w:cs="Calibri"/>
          <w:color w:val="000000"/>
        </w:rPr>
        <w:t> </w:t>
      </w:r>
      <w:r w:rsidRPr="00C75194">
        <w:rPr>
          <w:rStyle w:val="s6"/>
          <w:rFonts w:cs="Calibri"/>
          <w:color w:val="000000"/>
        </w:rPr>
        <w:t>otherwise the judge can’t make a decision which means it’s a constraint on any</w:t>
      </w:r>
      <w:r w:rsidRPr="00C75194">
        <w:rPr>
          <w:rStyle w:val="apple-converted-space"/>
          <w:rFonts w:cs="Calibri"/>
          <w:color w:val="000000"/>
        </w:rPr>
        <w:t> </w:t>
      </w:r>
      <w:r w:rsidRPr="00C75194">
        <w:rPr>
          <w:rStyle w:val="s6"/>
          <w:rFonts w:cs="Calibri"/>
          <w:color w:val="000000"/>
        </w:rPr>
        <w:t>rotbbecause otherwise the round is impossible</w:t>
      </w:r>
    </w:p>
    <w:p w14:paraId="4D2203E6" w14:textId="2CFC6A6B" w:rsidR="000A56B8" w:rsidRDefault="000A56B8" w:rsidP="000A56B8"/>
    <w:p w14:paraId="664113FF" w14:textId="77777777" w:rsidR="009E4971" w:rsidRDefault="009E4971" w:rsidP="009E4971"/>
    <w:p w14:paraId="69A8FA2C" w14:textId="77777777" w:rsidR="009E4971" w:rsidRDefault="009E4971" w:rsidP="009E4971">
      <w:pPr>
        <w:pStyle w:val="Heading3"/>
      </w:pPr>
      <w:r>
        <w:t>Offense</w:t>
      </w:r>
    </w:p>
    <w:p w14:paraId="12925057" w14:textId="77777777" w:rsidR="009E4971" w:rsidRDefault="009E4971" w:rsidP="009E4971"/>
    <w:p w14:paraId="1220D1BB" w14:textId="77777777" w:rsidR="009E4971" w:rsidRDefault="009E4971" w:rsidP="009E4971">
      <w:pPr>
        <w:pStyle w:val="Heading4"/>
      </w:pPr>
      <w:r>
        <w:t>1]</w:t>
      </w:r>
      <w:r w:rsidRPr="00422450">
        <w:t xml:space="preserve"> </w:t>
      </w:r>
      <w:r>
        <w:t>There is no such thing as unjust initial acquisition – an injustice requires one whose right has been violated, which cannot be the case if a resource is unclaimed.</w:t>
      </w:r>
    </w:p>
    <w:p w14:paraId="101AA849" w14:textId="77777777" w:rsidR="009E4971" w:rsidRPr="00C67964" w:rsidRDefault="009E4971" w:rsidP="009E4971">
      <w:pPr>
        <w:rPr>
          <w:sz w:val="16"/>
        </w:rPr>
      </w:pPr>
      <w:r w:rsidRPr="00C67964">
        <w:rPr>
          <w:rStyle w:val="Emphasis"/>
        </w:rPr>
        <w:t>Feser</w:t>
      </w:r>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69B6B895" w14:textId="77777777" w:rsidR="009E4971" w:rsidRPr="00EB5A47" w:rsidRDefault="009E4971" w:rsidP="009E4971">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21D41195" w14:textId="77777777" w:rsidR="009E4971" w:rsidRPr="00E357A5" w:rsidRDefault="009E4971" w:rsidP="009E4971"/>
    <w:p w14:paraId="5FB358B8" w14:textId="77777777" w:rsidR="009E4971" w:rsidRDefault="009E4971" w:rsidP="009E4971">
      <w:pPr>
        <w:pStyle w:val="Heading4"/>
      </w:pPr>
      <w:r>
        <w:t>2] Private entities utilize their own property and resources to fund and conduct space exploration which means – Prohibition of it is a violation of a) Their ability to use their own property (like their rocketships or fuel) to set their ends in space and b). Their freedom to explore unknown horizons such as space.</w:t>
      </w:r>
    </w:p>
    <w:p w14:paraId="7E5F71A4" w14:textId="77777777" w:rsidR="009E4971" w:rsidRDefault="009E4971" w:rsidP="009E4971"/>
    <w:p w14:paraId="2E97A8E0" w14:textId="77777777" w:rsidR="009E4971" w:rsidRPr="008F5337" w:rsidRDefault="009E4971" w:rsidP="009E4971">
      <w:pPr>
        <w:pStyle w:val="Heading4"/>
      </w:pPr>
      <w:r>
        <w:t xml:space="preserve">[3] </w:t>
      </w:r>
      <w:r w:rsidRPr="008F5337">
        <w:t>Libertarianism mandates a market-oriented approach to space—that negates</w:t>
      </w:r>
    </w:p>
    <w:p w14:paraId="0B365C70" w14:textId="77777777" w:rsidR="009E4971" w:rsidRPr="008F5337" w:rsidRDefault="009E4971" w:rsidP="009E4971">
      <w:r w:rsidRPr="008F5337">
        <w:rPr>
          <w:rStyle w:val="StyleUnderline"/>
          <w:bCs/>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0" w:history="1">
        <w:r w:rsidRPr="008F5337">
          <w:rPr>
            <w:rStyle w:val="Hyperlink"/>
          </w:rPr>
          <w:t>https://abovethelaw.com/2020/01/space-law-can-only-be-libertarian-minded/</w:t>
        </w:r>
      </w:hyperlink>
      <w:r w:rsidRPr="008F5337">
        <w:t>] TDI</w:t>
      </w:r>
    </w:p>
    <w:p w14:paraId="3F84FDF8" w14:textId="77777777" w:rsidR="009E4971" w:rsidRPr="00422450" w:rsidRDefault="009E4971" w:rsidP="009E4971">
      <w:pPr>
        <w:rPr>
          <w:sz w:val="10"/>
        </w:rPr>
      </w:pPr>
      <w:r w:rsidRPr="0041001C">
        <w:rPr>
          <w:sz w:val="10"/>
        </w:rPr>
        <w:t xml:space="preserve">The impact on human daily life from a transition to the virtually unlimited resource reality of space cannot be overstated. </w:t>
      </w:r>
      <w:r w:rsidRPr="008F5337">
        <w:rPr>
          <w:rStyle w:val="StyleUnderline"/>
        </w:rPr>
        <w:t xml:space="preserve">However, </w:t>
      </w:r>
      <w:r w:rsidRPr="0041001C">
        <w:rPr>
          <w:rStyle w:val="StyleUnderline"/>
          <w:highlight w:val="green"/>
        </w:rPr>
        <w:t>when it comes to</w:t>
      </w:r>
      <w:r w:rsidRPr="008F5337">
        <w:rPr>
          <w:rStyle w:val="StyleUnderline"/>
        </w:rPr>
        <w:t xml:space="preserve"> the </w:t>
      </w:r>
      <w:r w:rsidRPr="0041001C">
        <w:rPr>
          <w:rStyle w:val="StyleUnderline"/>
          <w:highlight w:val="green"/>
        </w:rPr>
        <w:t>law</w:t>
      </w:r>
      <w:r w:rsidRPr="008F5337">
        <w:rPr>
          <w:rStyle w:val="StyleUnderline"/>
        </w:rPr>
        <w:t xml:space="preserve">, </w:t>
      </w:r>
      <w:r w:rsidRPr="0041001C">
        <w:rPr>
          <w:rStyle w:val="StyleUnderline"/>
          <w:highlight w:val="green"/>
        </w:rPr>
        <w:t>a</w:t>
      </w:r>
      <w:r w:rsidRPr="008F5337">
        <w:rPr>
          <w:rStyle w:val="StyleUnderline"/>
        </w:rPr>
        <w:t xml:space="preserve"> minimalist, dare I say </w:t>
      </w:r>
      <w:r w:rsidRPr="0041001C">
        <w:rPr>
          <w:rStyle w:val="StyleUnderline"/>
          <w:highlight w:val="green"/>
        </w:rPr>
        <w:t>libertarian, approach appears</w:t>
      </w:r>
      <w:r w:rsidRPr="008F5337">
        <w:rPr>
          <w:rStyle w:val="StyleUnderline"/>
        </w:rPr>
        <w:t xml:space="preserve"> as the only </w:t>
      </w:r>
      <w:r w:rsidRPr="0041001C">
        <w:rPr>
          <w:rStyle w:val="StyleUnderline"/>
          <w:highlight w:val="green"/>
        </w:rPr>
        <w:t>applicable</w:t>
      </w:r>
      <w:r w:rsidRPr="008F5337">
        <w:rPr>
          <w:rStyle w:val="StyleUnderline"/>
        </w:rPr>
        <w:t xml:space="preserve"> system.</w:t>
      </w:r>
      <w:r>
        <w:rPr>
          <w:rStyle w:val="StyleUnderline"/>
        </w:rPr>
        <w:t xml:space="preserve"> </w:t>
      </w:r>
      <w:r w:rsidRPr="0041001C">
        <w:rPr>
          <w:sz w:val="10"/>
        </w:rPr>
        <w:t xml:space="preserve">In the words of NASA, “2020 promises to be a big year for space exploration.” Yet, as Rand Simberg points out in Reason magazine, </w:t>
      </w:r>
      <w:r w:rsidRPr="0041001C">
        <w:rPr>
          <w:rStyle w:val="StyleUnderline"/>
          <w:highlight w:val="green"/>
        </w:rPr>
        <w:t>it is</w:t>
      </w:r>
      <w:r w:rsidRPr="008F5337">
        <w:rPr>
          <w:rStyle w:val="StyleUnderline"/>
        </w:rPr>
        <w:t xml:space="preserve"> actually private American investment that is </w:t>
      </w:r>
      <w:r w:rsidRPr="0041001C">
        <w:rPr>
          <w:rStyle w:val="StyleUnderline"/>
          <w:highlight w:val="green"/>
        </w:rPr>
        <w:t>currently moving space exploration to “a pace unseen</w:t>
      </w:r>
      <w:r w:rsidRPr="008F5337">
        <w:rPr>
          <w:rStyle w:val="StyleUnderline"/>
        </w:rPr>
        <w:t xml:space="preserve"> since the 1960s.”</w:t>
      </w:r>
      <w:r w:rsidRPr="0041001C">
        <w:rPr>
          <w:sz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8F5337">
        <w:rPr>
          <w:rStyle w:val="StyleUnderline"/>
        </w:rPr>
        <w:t>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nonrivalrous in their consumption and nonexcludable in their distribution.</w:t>
      </w:r>
      <w:r w:rsidRPr="0041001C">
        <w:rPr>
          <w:sz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StyleUnderline"/>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41001C">
        <w:rPr>
          <w:rStyle w:val="StyleUnderline"/>
          <w:highlight w:val="green"/>
        </w:rPr>
        <w:t>Regardless of whether governments allow it</w:t>
      </w:r>
      <w:r w:rsidRPr="008F5337">
        <w:rPr>
          <w:rStyle w:val="StyleUnderline"/>
        </w:rPr>
        <w:t xml:space="preserve">, however, </w:t>
      </w:r>
      <w:r w:rsidRPr="0041001C">
        <w:rPr>
          <w:rStyle w:val="StyleUnderline"/>
          <w:highlight w:val="green"/>
        </w:rPr>
        <w:t>private citizens are currently obtaining the ability to travel there</w:t>
      </w:r>
      <w:r w:rsidRPr="008E21E8">
        <w:rPr>
          <w:rStyle w:val="StyleUnderline"/>
          <w:sz w:val="12"/>
          <w:szCs w:val="12"/>
          <w:u w:val="none"/>
        </w:rPr>
        <w:t>, and if human history is any indicator, private homesteading will follow</w:t>
      </w:r>
      <w:r w:rsidRPr="008E21E8">
        <w:rPr>
          <w:sz w:val="12"/>
          <w:szCs w:val="12"/>
        </w:rPr>
        <w:t>, flag or no flag. We Americans know this is how a Wild West starts, where most regulation becomes the impractical pipe</w:t>
      </w:r>
      <w:r w:rsidRPr="0041001C">
        <w:rPr>
          <w:sz w:val="10"/>
        </w:rPr>
        <w:t xml:space="preserv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41001C">
        <w:rPr>
          <w:rStyle w:val="StyleUnderline"/>
          <w:highlight w:val="green"/>
        </w:rPr>
        <w:t>Only a libertarian-type system</w:t>
      </w:r>
      <w:r w:rsidRPr="008F5337">
        <w:rPr>
          <w:rStyle w:val="StyleUnderline"/>
        </w:rPr>
        <w:t xml:space="preserve">, that </w:t>
      </w:r>
      <w:r w:rsidRPr="0041001C">
        <w:rPr>
          <w:rStyle w:val="StyleUnderline"/>
          <w:highlight w:val="green"/>
        </w:rPr>
        <w:t>guarantees basic individual rights to life</w:t>
      </w:r>
      <w:r w:rsidRPr="008F5337">
        <w:rPr>
          <w:rStyle w:val="StyleUnderline"/>
        </w:rPr>
        <w:t xml:space="preserve">, liberty, and the pursuit of happiness </w:t>
      </w:r>
      <w:r w:rsidRPr="0041001C">
        <w:rPr>
          <w:rStyle w:val="StyleUnderline"/>
          <w:highlight w:val="green"/>
        </w:rPr>
        <w:t>could be valued</w:t>
      </w:r>
      <w:r w:rsidRPr="008F5337">
        <w:rPr>
          <w:rStyle w:val="StyleUnderline"/>
        </w:rPr>
        <w:t xml:space="preserve"> and therefore human fidelity </w:t>
      </w:r>
      <w:r w:rsidRPr="0041001C">
        <w:rPr>
          <w:rStyle w:val="StyleUnderline"/>
          <w:highlight w:val="green"/>
        </w:rPr>
        <w:t>to a set of laws made possible</w:t>
      </w:r>
      <w:r w:rsidRPr="008F5337">
        <w:rPr>
          <w:rStyle w:val="StyleUnderline"/>
        </w:rPr>
        <w:t>, in such an existence.</w:t>
      </w:r>
    </w:p>
    <w:sectPr w:rsidR="009E4971" w:rsidRPr="004224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49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3E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6B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E7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97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56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2D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5F6B7"/>
  <w14:defaultImageDpi w14:val="300"/>
  <w15:docId w15:val="{C49E30C0-03AC-DB4A-B445-1FFF9315A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49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49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49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9E49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E49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E49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971"/>
  </w:style>
  <w:style w:type="character" w:customStyle="1" w:styleId="Heading1Char">
    <w:name w:val="Heading 1 Char"/>
    <w:aliases w:val="Pocket Char"/>
    <w:basedOn w:val="DefaultParagraphFont"/>
    <w:link w:val="Heading1"/>
    <w:uiPriority w:val="9"/>
    <w:rsid w:val="009E49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497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9E497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9E49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4971"/>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Intense Emphasis11,Bold Cite Char"/>
    <w:basedOn w:val="DefaultParagraphFont"/>
    <w:uiPriority w:val="1"/>
    <w:qFormat/>
    <w:rsid w:val="009E4971"/>
    <w:rPr>
      <w:b w:val="0"/>
      <w:sz w:val="22"/>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s"/>
    <w:basedOn w:val="DefaultParagraphFont"/>
    <w:link w:val="textbold"/>
    <w:uiPriority w:val="20"/>
    <w:qFormat/>
    <w:rsid w:val="009E497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E497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E4971"/>
    <w:rPr>
      <w:color w:val="auto"/>
      <w:u w:val="none"/>
    </w:rPr>
  </w:style>
  <w:style w:type="paragraph" w:styleId="DocumentMap">
    <w:name w:val="Document Map"/>
    <w:basedOn w:val="Normal"/>
    <w:link w:val="DocumentMapChar"/>
    <w:uiPriority w:val="99"/>
    <w:semiHidden/>
    <w:unhideWhenUsed/>
    <w:rsid w:val="009E49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4971"/>
    <w:rPr>
      <w:rFonts w:ascii="Lucida Grande" w:hAnsi="Lucida Grande" w:cs="Lucida Grand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9E497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s6">
    <w:name w:val="s6"/>
    <w:basedOn w:val="DefaultParagraphFont"/>
    <w:rsid w:val="009E4971"/>
  </w:style>
  <w:style w:type="character" w:customStyle="1" w:styleId="apple-converted-space">
    <w:name w:val="apple-converted-space"/>
    <w:basedOn w:val="DefaultParagraphFont"/>
    <w:rsid w:val="009E4971"/>
  </w:style>
  <w:style w:type="character" w:customStyle="1" w:styleId="s12">
    <w:name w:val="s12"/>
    <w:basedOn w:val="DefaultParagraphFont"/>
    <w:rsid w:val="009E4971"/>
  </w:style>
  <w:style w:type="paragraph" w:customStyle="1" w:styleId="textbold">
    <w:name w:val="text bold"/>
    <w:basedOn w:val="Normal"/>
    <w:link w:val="Emphasis"/>
    <w:uiPriority w:val="20"/>
    <w:qFormat/>
    <w:rsid w:val="009E4971"/>
    <w:pPr>
      <w:ind w:left="720"/>
      <w:jc w:val="both"/>
    </w:pPr>
    <w:rPr>
      <w:b/>
      <w:iCs/>
      <w:u w:val="single"/>
    </w:rPr>
  </w:style>
  <w:style w:type="paragraph" w:styleId="NoSpacing">
    <w:name w:val="No Spacing"/>
    <w:aliases w:val="Card Format,ClearFormatting,Clear,DDI Tag,Tag Title,No Spacing51,CD - Cite,No Spacing7,No Spacing8,Dont u,No Spacing311,Small Text"/>
    <w:basedOn w:val="Heading1"/>
    <w:autoRedefine/>
    <w:uiPriority w:val="99"/>
    <w:qFormat/>
    <w:rsid w:val="00C412D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192003">
      <w:bodyDiv w:val="1"/>
      <w:marLeft w:val="0"/>
      <w:marRight w:val="0"/>
      <w:marTop w:val="0"/>
      <w:marBottom w:val="0"/>
      <w:divBdr>
        <w:top w:val="none" w:sz="0" w:space="0" w:color="auto"/>
        <w:left w:val="none" w:sz="0" w:space="0" w:color="auto"/>
        <w:bottom w:val="none" w:sz="0" w:space="0" w:color="auto"/>
        <w:right w:val="none" w:sz="0" w:space="0" w:color="auto"/>
      </w:divBdr>
    </w:div>
    <w:div w:id="1317303190">
      <w:bodyDiv w:val="1"/>
      <w:marLeft w:val="0"/>
      <w:marRight w:val="0"/>
      <w:marTop w:val="0"/>
      <w:marBottom w:val="0"/>
      <w:divBdr>
        <w:top w:val="none" w:sz="0" w:space="0" w:color="auto"/>
        <w:left w:val="none" w:sz="0" w:space="0" w:color="auto"/>
        <w:bottom w:val="none" w:sz="0" w:space="0" w:color="auto"/>
        <w:right w:val="none" w:sz="0" w:space="0" w:color="auto"/>
      </w:divBdr>
    </w:div>
    <w:div w:id="1493447609">
      <w:bodyDiv w:val="1"/>
      <w:marLeft w:val="0"/>
      <w:marRight w:val="0"/>
      <w:marTop w:val="0"/>
      <w:marBottom w:val="0"/>
      <w:divBdr>
        <w:top w:val="none" w:sz="0" w:space="0" w:color="auto"/>
        <w:left w:val="none" w:sz="0" w:space="0" w:color="auto"/>
        <w:bottom w:val="none" w:sz="0" w:space="0" w:color="auto"/>
        <w:right w:val="none" w:sz="0" w:space="0" w:color="auto"/>
      </w:divBdr>
    </w:div>
    <w:div w:id="18239605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2022-04-24T14:15:00Z</dcterms:created>
  <dcterms:modified xsi:type="dcterms:W3CDTF">2022-04-24T16:59:00Z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