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288DE1" w14:textId="77777777" w:rsidR="002222EE" w:rsidRDefault="002222EE" w:rsidP="002222EE">
      <w:pPr>
        <w:pStyle w:val="Heading1"/>
      </w:pPr>
      <w:r>
        <w:t>Toc 2022 r4 1nc</w:t>
      </w:r>
    </w:p>
    <w:p w14:paraId="07D7BB25" w14:textId="77777777" w:rsidR="002222EE" w:rsidRPr="00E30C17" w:rsidRDefault="002222EE" w:rsidP="002222EE"/>
    <w:p w14:paraId="7A333C13" w14:textId="77777777" w:rsidR="002222EE" w:rsidRPr="00E30C17" w:rsidRDefault="002222EE" w:rsidP="002222EE"/>
    <w:p w14:paraId="1A94A99A" w14:textId="77777777" w:rsidR="002222EE" w:rsidRDefault="002222EE" w:rsidP="002222EE">
      <w:pPr>
        <w:pStyle w:val="Heading2"/>
      </w:pPr>
      <w:r>
        <w:lastRenderedPageBreak/>
        <w:t>1</w:t>
      </w:r>
    </w:p>
    <w:p w14:paraId="543B46CB" w14:textId="77777777" w:rsidR="002222EE" w:rsidRPr="00891931" w:rsidRDefault="002222EE" w:rsidP="002222EE">
      <w:pPr>
        <w:pStyle w:val="Heading4"/>
        <w:rPr>
          <w:rFonts w:cs="Calibri"/>
        </w:rPr>
      </w:pPr>
      <w:r w:rsidRPr="00891931">
        <w:rPr>
          <w:rFonts w:cs="Calibri"/>
          <w:color w:val="000000"/>
        </w:rPr>
        <w:t>Presumption negates 1. B/c infinite ways to disprove a statement false so o/w on probability 2. Met our burden because means we have denied the truth of the</w:t>
      </w:r>
      <w:r w:rsidRPr="00891931">
        <w:rPr>
          <w:rStyle w:val="apple-converted-space"/>
          <w:rFonts w:cs="Calibri"/>
          <w:color w:val="000000"/>
        </w:rPr>
        <w:t> </w:t>
      </w:r>
      <w:r w:rsidRPr="00891931">
        <w:rPr>
          <w:rFonts w:cs="Calibri"/>
          <w:color w:val="000000"/>
        </w:rPr>
        <w:t>aff</w:t>
      </w:r>
      <w:r w:rsidRPr="00891931">
        <w:rPr>
          <w:rStyle w:val="apple-converted-space"/>
          <w:rFonts w:cs="Calibri"/>
          <w:color w:val="000000"/>
        </w:rPr>
        <w:t> </w:t>
      </w:r>
      <w:r w:rsidRPr="00891931">
        <w:rPr>
          <w:rFonts w:cs="Calibri"/>
          <w:color w:val="000000"/>
        </w:rPr>
        <w:t>if it does not make any sense 3. Default assumption is saying something is false that’s why we don’t believe in conspiracy theories.</w:t>
      </w:r>
    </w:p>
    <w:p w14:paraId="0117CF63" w14:textId="77777777" w:rsidR="002222EE" w:rsidRDefault="002222EE" w:rsidP="002222EE">
      <w:pPr>
        <w:pStyle w:val="Heading4"/>
        <w:rPr>
          <w:rFonts w:cs="Calibri"/>
          <w:color w:val="000000"/>
        </w:rPr>
      </w:pPr>
      <w:r w:rsidRPr="00891931">
        <w:rPr>
          <w:rFonts w:cs="Calibri"/>
          <w:color w:val="000000"/>
        </w:rPr>
        <w:t>Permissibilty</w:t>
      </w:r>
      <w:r w:rsidRPr="00891931">
        <w:rPr>
          <w:rStyle w:val="apple-converted-space"/>
          <w:rFonts w:cs="Calibri"/>
          <w:color w:val="000000"/>
        </w:rPr>
        <w:t> </w:t>
      </w:r>
      <w:r w:rsidRPr="00891931">
        <w:rPr>
          <w:rFonts w:cs="Calibri"/>
          <w:color w:val="000000"/>
        </w:rPr>
        <w:t xml:space="preserve">negates because </w:t>
      </w:r>
      <w:r>
        <w:rPr>
          <w:rFonts w:cs="Calibri"/>
          <w:color w:val="000000"/>
        </w:rPr>
        <w:t>the aff has to prove an oblgiation and the permissibility denies the existence of an obligation.</w:t>
      </w:r>
    </w:p>
    <w:p w14:paraId="097BC330" w14:textId="77777777" w:rsidR="002222EE" w:rsidRPr="00891931" w:rsidRDefault="002222EE" w:rsidP="002222EE"/>
    <w:p w14:paraId="6BFBC115" w14:textId="77777777" w:rsidR="002222EE" w:rsidRDefault="002222EE" w:rsidP="002222EE">
      <w:pPr>
        <w:pStyle w:val="Heading4"/>
      </w:pPr>
      <w:r>
        <w:t>Ethics must be derived from practical reason:</w:t>
      </w:r>
    </w:p>
    <w:p w14:paraId="342B3442" w14:textId="77777777" w:rsidR="002222EE" w:rsidRDefault="002222EE" w:rsidP="002222EE">
      <w:pPr>
        <w:pStyle w:val="Heading4"/>
      </w:pPr>
      <w:r>
        <w:t>[1] To question why one should reason concedes its authority since it is an act of reasoning itself which proves it’s binding and inescapable</w:t>
      </w:r>
    </w:p>
    <w:p w14:paraId="7880A050" w14:textId="77777777" w:rsidR="002222EE" w:rsidRPr="00167C03" w:rsidRDefault="002222EE" w:rsidP="002222EE">
      <w:pPr>
        <w:pStyle w:val="Heading4"/>
      </w:pPr>
      <w:r>
        <w:t xml:space="preserve">[2] </w:t>
      </w:r>
      <w:r w:rsidRPr="00167C03">
        <w:t>Is/Ought Gap – experience just describes how the world is but doesn’t indicate how it ought to be which means there must be an a priori conception of good</w:t>
      </w:r>
    </w:p>
    <w:p w14:paraId="7993232E" w14:textId="77777777" w:rsidR="002222EE" w:rsidRDefault="002222EE" w:rsidP="002222EE">
      <w:pPr>
        <w:pStyle w:val="Heading4"/>
      </w:pPr>
    </w:p>
    <w:p w14:paraId="1CB9A150" w14:textId="77777777" w:rsidR="002222EE" w:rsidRDefault="002222EE" w:rsidP="002222EE">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Willing a maxim that violates freedom is a contradiction in conception – you cannot violate someone’s freedom without having your own freedom to do so.</w:t>
      </w:r>
    </w:p>
    <w:p w14:paraId="186E2872" w14:textId="77777777" w:rsidR="002222EE" w:rsidRDefault="002222EE" w:rsidP="002222EE"/>
    <w:p w14:paraId="55126199" w14:textId="77777777" w:rsidR="002222EE" w:rsidRDefault="002222EE" w:rsidP="002222EE">
      <w:pPr>
        <w:pStyle w:val="Heading4"/>
      </w:pPr>
      <w:r w:rsidRPr="00E30C17">
        <w:t>Thus, counter-methodology: Vote negative to engage in a liberation strategy of universal reason. This entails a starting point where we abstract from individual perspectives to understand the universal, and use this starting point to apply it to empirical institutions and agents. No perms: Uniquely non-sensical in a method debate: a] It assumes a notion of fiat that doesn’t make sense without a plan. The 1AC role of the ballot forefronts the performative and methodological which a permutation steals away b] </w:t>
      </w:r>
      <w:r>
        <w:t>illogical to perm an nc</w:t>
      </w:r>
    </w:p>
    <w:p w14:paraId="3D370FA9" w14:textId="77777777" w:rsidR="002222EE" w:rsidRPr="00E30C17" w:rsidRDefault="002222EE" w:rsidP="002222EE"/>
    <w:p w14:paraId="0460A183" w14:textId="77777777" w:rsidR="002222EE" w:rsidRDefault="002222EE" w:rsidP="002222EE">
      <w:pPr>
        <w:pStyle w:val="Heading4"/>
      </w:pPr>
      <w:r>
        <w:lastRenderedPageBreak/>
        <w:t>Prefer additionally:</w:t>
      </w:r>
    </w:p>
    <w:p w14:paraId="0A20CD46" w14:textId="77777777" w:rsidR="002222EE" w:rsidRDefault="002222EE" w:rsidP="002222EE">
      <w:pPr>
        <w:pStyle w:val="Heading4"/>
      </w:pPr>
    </w:p>
    <w:p w14:paraId="276FB020" w14:textId="77777777" w:rsidR="002222EE" w:rsidRDefault="002222EE" w:rsidP="002222EE">
      <w:pPr>
        <w:pStyle w:val="Heading4"/>
      </w:pPr>
      <w:r>
        <w:t>1] The cause of all oppression is willing subjective maxims that serves to benefit a specific group of people – the categorical imperative solves and is the only way to avoid ethical egoism since it’s objective. Farr 02</w:t>
      </w:r>
    </w:p>
    <w:p w14:paraId="02C49039" w14:textId="77777777" w:rsidR="002222EE" w:rsidRDefault="002222EE" w:rsidP="002222EE">
      <w:pPr>
        <w:rPr>
          <w:rFonts w:ascii="Arial" w:eastAsia="Arial" w:hAnsi="Arial" w:cs="Arial"/>
        </w:rPr>
      </w:pPr>
      <w:r>
        <w:rPr>
          <w:rFonts w:ascii="Arial" w:eastAsia="Arial" w:hAnsi="Arial" w:cs="Arial"/>
        </w:rPr>
        <w:t>Arnold Farr. [Arnold Farr is a Philosophy professor at the University of Kentucky. His research interests are German idealism, Marxism, critical theory, philosophy of race, postmodernism, psychoanalysis, and liberation philosophy. He has published numorous articles and book chapters on all of these subjects], “Can a Philosophy of Race Afford to Abandon the Kantian Categorical Imperative?”, 2002, blog.ufba.br/kant/files/2009/12/Can-a-Philosophy-of-Race-Afford-to-Abandon-the.pdf.</w:t>
      </w:r>
    </w:p>
    <w:p w14:paraId="49DD90F4" w14:textId="77777777" w:rsidR="002222EE" w:rsidRDefault="002222EE" w:rsidP="002222EE">
      <w: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Pr>
          <w:highlight w:val="green"/>
          <w:u w:val="single"/>
        </w:rPr>
        <w:t>human beings have an intelligible and empirical character</w:t>
      </w:r>
      <w:r>
        <w:rPr>
          <w:u w:val="single"/>
        </w:rPr>
        <w:t>.15 It is impossible to understand and do justice to Kant’s moral theory without taking seriously the relation between these two characters. The very concept of morality is impossible without the tension between the two.</w:t>
      </w:r>
      <w:r>
        <w:t xml:space="preserve"> By “empirical character” Kant simply means that we have a sensual nature. </w:t>
      </w:r>
      <w:r>
        <w:rPr>
          <w:u w:val="single"/>
        </w:rPr>
        <w:t xml:space="preserve">We are physical creatures with physical drives or desires. The very fact that </w:t>
      </w:r>
      <w:r>
        <w:rPr>
          <w:highlight w:val="green"/>
          <w:u w:val="single"/>
        </w:rPr>
        <w:t>I cannot</w:t>
      </w:r>
      <w:r>
        <w:rPr>
          <w:u w:val="single"/>
        </w:rPr>
        <w:t xml:space="preserve"> simply </w:t>
      </w:r>
      <w:r>
        <w:rPr>
          <w:highlight w:val="green"/>
          <w:u w:val="single"/>
        </w:rPr>
        <w:t>satisfy</w:t>
      </w:r>
      <w:r>
        <w:rPr>
          <w:u w:val="single"/>
        </w:rPr>
        <w:t xml:space="preserve"> my </w:t>
      </w:r>
      <w:r>
        <w:rPr>
          <w:highlight w:val="green"/>
          <w:u w:val="single"/>
        </w:rPr>
        <w:t>desires without considering the rightness or wrongness of my actions</w:t>
      </w:r>
      <w:r>
        <w:rPr>
          <w:u w:val="single"/>
        </w:rPr>
        <w:t xml:space="preserve"> suggests that my empirical character must be held in check by something</w:t>
      </w:r>
      <w:r>
        <w:t xml:space="preserve">, or else I behave like a Freudian id. </w:t>
      </w:r>
      <w:r>
        <w:rPr>
          <w:highlight w:val="green"/>
          <w:u w:val="single"/>
        </w:rPr>
        <w:t>My empirical character must be held in check by my intelligible character, which is the</w:t>
      </w:r>
      <w:r>
        <w:rPr>
          <w:u w:val="single"/>
        </w:rPr>
        <w:t xml:space="preserve"> legislative </w:t>
      </w:r>
      <w:r>
        <w:rPr>
          <w:highlight w:val="green"/>
          <w:u w:val="single"/>
        </w:rPr>
        <w:t>activity of practical reason</w:t>
      </w:r>
      <w:r>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w:t>
      </w:r>
      <w:r>
        <w:rPr>
          <w:u w:val="single"/>
        </w:rPr>
        <w:t xml:space="preserve">The reason why a </w:t>
      </w:r>
      <w:r>
        <w:rPr>
          <w:highlight w:val="green"/>
          <w:u w:val="single"/>
        </w:rPr>
        <w:t>universilizability</w:t>
      </w:r>
      <w:r>
        <w:rPr>
          <w:u w:val="single"/>
        </w:rPr>
        <w:t xml:space="preserve"> criterion is morally significant is that it </w:t>
      </w:r>
      <w:r>
        <w:rPr>
          <w:highlight w:val="green"/>
          <w:u w:val="single"/>
        </w:rPr>
        <w:t>makes our own case no special exception</w:t>
      </w:r>
      <w:r>
        <w:t xml:space="preserve"> (G, IV, 404). </w:t>
      </w:r>
      <w:r>
        <w:rPr>
          <w:u w:val="single"/>
        </w:rPr>
        <w:t xml:space="preserve">In accepting the Categorical Imperative we accept the moral reality of other selves, and hence the possibility (not, note, the reality) of a moral community. </w:t>
      </w:r>
      <w: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Pr>
          <w:highlight w:val="green"/>
          <w:u w:val="single"/>
        </w:rPr>
        <w:t>The individual is not allowed to exclude others as</w:t>
      </w:r>
      <w:r>
        <w:rPr>
          <w:u w:val="single"/>
        </w:rPr>
        <w:t xml:space="preserve"> rational moral </w:t>
      </w:r>
      <w:r>
        <w:rPr>
          <w:highlight w:val="green"/>
          <w:u w:val="single"/>
        </w:rPr>
        <w:t>agents</w:t>
      </w:r>
      <w:r>
        <w:rPr>
          <w:u w:val="single"/>
        </w:rPr>
        <w:t xml:space="preserve"> who </w:t>
      </w:r>
      <w:r>
        <w:rPr>
          <w:highlight w:val="green"/>
          <w:u w:val="single"/>
        </w:rPr>
        <w:t>have the right to act as he acts in a given situation</w:t>
      </w:r>
      <w:r>
        <w:rPr>
          <w:u w:val="single"/>
        </w:rPr>
        <w:t xml:space="preserve">. For example, if I decide to use another person merely as a means for my own end I must recognize the other person’s right </w:t>
      </w:r>
      <w:r>
        <w:rPr>
          <w:u w:val="single"/>
        </w:rPr>
        <w:lastRenderedPageBreak/>
        <w:t>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t>.</w:t>
      </w:r>
    </w:p>
    <w:p w14:paraId="540ECDF6" w14:textId="77777777" w:rsidR="002222EE" w:rsidRDefault="002222EE" w:rsidP="002222EE">
      <w:pPr>
        <w:pStyle w:val="Heading4"/>
      </w:pPr>
    </w:p>
    <w:p w14:paraId="570047BC" w14:textId="77777777" w:rsidR="002222EE" w:rsidRPr="00FE4417" w:rsidRDefault="002222EE" w:rsidP="002222EE">
      <w:pPr>
        <w:pStyle w:val="Heading4"/>
      </w:pPr>
      <w:r>
        <w:t>2</w:t>
      </w:r>
      <w:r w:rsidRPr="00FE4417">
        <w:t>] Performativity – arguing against my framework presupposes freedom because without freedom to reason you would not be able to make arguments and try to win – this means that contesting any of my arguments proves my framework true.</w:t>
      </w:r>
    </w:p>
    <w:p w14:paraId="40CCCA51" w14:textId="77777777" w:rsidR="002222EE" w:rsidRDefault="002222EE" w:rsidP="002222EE">
      <w:pPr>
        <w:pStyle w:val="Heading4"/>
      </w:pPr>
      <w:r w:rsidRPr="00FE4417">
        <w:t> </w:t>
      </w:r>
    </w:p>
    <w:p w14:paraId="126392C5" w14:textId="77777777" w:rsidR="002222EE" w:rsidRDefault="002222EE" w:rsidP="002222EE">
      <w:pPr>
        <w:pStyle w:val="s11"/>
        <w:spacing w:before="0" w:beforeAutospacing="0" w:after="120" w:afterAutospacing="0"/>
        <w:rPr>
          <w:rFonts w:ascii="-webkit-standard" w:hAnsi="-webkit-standard"/>
          <w:color w:val="000000"/>
          <w:sz w:val="23"/>
          <w:szCs w:val="23"/>
        </w:rPr>
      </w:pPr>
      <w:r>
        <w:rPr>
          <w:rFonts w:ascii="-webkit-standard" w:hAnsi="-webkit-standard"/>
          <w:color w:val="000000"/>
          <w:sz w:val="23"/>
          <w:szCs w:val="23"/>
        </w:rPr>
        <w:t> </w:t>
      </w:r>
    </w:p>
    <w:p w14:paraId="11025DDF" w14:textId="77777777" w:rsidR="002222EE" w:rsidRDefault="002222EE" w:rsidP="002222EE">
      <w:pPr>
        <w:pStyle w:val="Heading4"/>
      </w:pPr>
      <w:r>
        <w:t xml:space="preserve">Negate: </w:t>
      </w:r>
    </w:p>
    <w:p w14:paraId="22D7E05F" w14:textId="77777777" w:rsidR="002222EE" w:rsidRDefault="002222EE" w:rsidP="002222EE">
      <w:pPr>
        <w:pStyle w:val="Heading4"/>
      </w:pPr>
      <w:r>
        <w:t xml:space="preserve">1] Categorical imperative – Not debating the topic, which is “Resolved: The appropriation of outer space by private entities is unjust” according to the TOC committee, would cause a contradiction in conception, because if we universalized all debaters not debating the topic, then the concept of a topic would be incoherent and not exist as nobody debated it, causing us to not be able to take the original action to begin with. </w:t>
      </w:r>
    </w:p>
    <w:p w14:paraId="4EC7645E" w14:textId="77777777" w:rsidR="002222EE" w:rsidRDefault="002222EE" w:rsidP="002222EE">
      <w:pPr>
        <w:pStyle w:val="Heading4"/>
        <w:rPr>
          <w:rFonts w:eastAsia="Times New Roman"/>
        </w:rPr>
      </w:pPr>
      <w:r>
        <w:rPr>
          <w:rFonts w:eastAsia="Times New Roman"/>
        </w:rPr>
        <w:t>2] The aff has a deontological obligation to be topical. Nebel 15</w:t>
      </w:r>
    </w:p>
    <w:p w14:paraId="52624B68" w14:textId="77777777" w:rsidR="002222EE" w:rsidRDefault="002222EE" w:rsidP="002222EE">
      <w:pPr>
        <w:rPr>
          <w:rFonts w:eastAsia="Times New Roman"/>
          <w:sz w:val="16"/>
          <w:szCs w:val="16"/>
        </w:rPr>
      </w:pPr>
      <w:r>
        <w:rPr>
          <w:rFonts w:eastAsia="Times New Roman"/>
          <w:sz w:val="16"/>
          <w:szCs w:val="16"/>
        </w:rPr>
        <w:t xml:space="preserve">Jake Nebel,"The Priority of Resolutional Semantics by Jake Nebel," Briefly, </w:t>
      </w:r>
      <w:hyperlink r:id="rId11" w:history="1">
        <w:r w:rsidRPr="0045400F">
          <w:rPr>
            <w:rStyle w:val="Hyperlink"/>
            <w:rFonts w:eastAsia="Times New Roman"/>
            <w:sz w:val="16"/>
            <w:szCs w:val="16"/>
          </w:rPr>
          <w:t>https://www.vbriefly.com/2015/02/20/the-priority-of-resolutional-semantics-by-jake-nebel/</w:t>
        </w:r>
      </w:hyperlink>
    </w:p>
    <w:p w14:paraId="1FF3A5C8" w14:textId="77777777" w:rsidR="002222EE" w:rsidRDefault="002222EE" w:rsidP="002222EE">
      <w:pPr>
        <w:rPr>
          <w:rStyle w:val="Emphasis"/>
        </w:rPr>
      </w:pPr>
      <w:r w:rsidRPr="00E85319">
        <w:rPr>
          <w:rFonts w:eastAsia="Times New Roman"/>
          <w:sz w:val="16"/>
          <w:szCs w:val="16"/>
        </w:rPr>
        <w:t xml:space="preserve">A second strategy denies that such pragmatic benefits are relevant. </w:t>
      </w:r>
      <w:r w:rsidRPr="00977195">
        <w:rPr>
          <w:rStyle w:val="Emphasis"/>
          <w:highlight w:val="yellow"/>
        </w:rPr>
        <w:t>This strategy is</w:t>
      </w:r>
      <w:r w:rsidRPr="00E85319">
        <w:rPr>
          <w:rStyle w:val="Emphasis"/>
        </w:rPr>
        <w:t xml:space="preserve"> more </w:t>
      </w:r>
      <w:r w:rsidRPr="00977195">
        <w:rPr>
          <w:rStyle w:val="Emphasis"/>
          <w:highlight w:val="yellow"/>
        </w:rPr>
        <w:t>deontological.</w:t>
      </w:r>
      <w:r w:rsidRPr="00E85319">
        <w:rPr>
          <w:rStyle w:val="Emphasis"/>
        </w:rPr>
        <w:t xml:space="preserve"> One version of this strategy app</w:t>
      </w:r>
      <w:r w:rsidRPr="00977195">
        <w:rPr>
          <w:rStyle w:val="Emphasis"/>
        </w:rPr>
        <w:t>e</w:t>
      </w:r>
      <w:r w:rsidRPr="00E85319">
        <w:rPr>
          <w:rStyle w:val="Emphasis"/>
        </w:rPr>
        <w:t xml:space="preserve">als to the importance of consent or agreement. </w:t>
      </w:r>
      <w:r w:rsidRPr="00977195">
        <w:rPr>
          <w:rStyle w:val="Emphasis"/>
          <w:highlight w:val="yellow"/>
        </w:rPr>
        <w:t>Suppose</w:t>
      </w:r>
      <w:r w:rsidRPr="00E85319">
        <w:rPr>
          <w:rStyle w:val="Emphasis"/>
        </w:rPr>
        <w:t xml:space="preserve"> that </w:t>
      </w:r>
      <w:r w:rsidRPr="00977195">
        <w:rPr>
          <w:rStyle w:val="Emphasis"/>
          <w:highlight w:val="yellow"/>
        </w:rPr>
        <w:t>you give your opponent</w:t>
      </w:r>
      <w:r w:rsidRPr="00E85319">
        <w:rPr>
          <w:rStyle w:val="Emphasis"/>
        </w:rPr>
        <w:t xml:space="preserve">s prior </w:t>
      </w:r>
      <w:r w:rsidRPr="00977195">
        <w:rPr>
          <w:rStyle w:val="Emphasis"/>
          <w:highlight w:val="yellow"/>
        </w:rPr>
        <w:t>notice</w:t>
      </w:r>
      <w:r w:rsidRPr="00E85319">
        <w:rPr>
          <w:rStyle w:val="Emphasis"/>
        </w:rPr>
        <w:t xml:space="preserve"> that </w:t>
      </w:r>
      <w:r w:rsidRPr="00977195">
        <w:rPr>
          <w:rStyle w:val="Emphasis"/>
          <w:highlight w:val="yellow"/>
        </w:rPr>
        <w:t>you’ll be affirming the</w:t>
      </w:r>
      <w:r w:rsidRPr="00E85319">
        <w:rPr>
          <w:rStyle w:val="Emphasis"/>
        </w:rPr>
        <w:t xml:space="preserve"> September/October </w:t>
      </w:r>
      <w:r w:rsidRPr="00977195">
        <w:rPr>
          <w:rStyle w:val="Emphasis"/>
          <w:highlight w:val="yellow"/>
        </w:rPr>
        <w:t>2012 resolution instead of the current one.</w:t>
      </w:r>
      <w:r w:rsidRPr="00E85319">
        <w:rPr>
          <w:rStyle w:val="Emphasis"/>
        </w:rPr>
        <w:t xml:space="preserve"> There is a sense in which your affirmation of that resolution is now predictable: your opponents know, or are in a position to know, what you will be defending. And suppose that the older resolution is conducive to better (i.e., more fair and more educational) debate. Still, </w:t>
      </w:r>
      <w:r w:rsidRPr="00977195">
        <w:rPr>
          <w:rStyle w:val="Emphasis"/>
          <w:highlight w:val="yellow"/>
        </w:rPr>
        <w:t>it’s unfair of you to expect your opponents to follow suit.</w:t>
      </w:r>
      <w:r w:rsidRPr="00E85319">
        <w:rPr>
          <w:rStyle w:val="Emphasis"/>
        </w:rPr>
        <w:t xml:space="preserve"> Why? </w:t>
      </w:r>
      <w:r w:rsidRPr="00977195">
        <w:rPr>
          <w:rStyle w:val="Emphasis"/>
          <w:highlight w:val="yellow"/>
        </w:rPr>
        <w:t>Because they didn’t agree to debate that topic. They registered for a tournament whose invitation specified the current resolution</w:t>
      </w:r>
      <w:r w:rsidRPr="00E85319">
        <w:rPr>
          <w:rStyle w:val="Emphasis"/>
        </w:rPr>
        <w:t xml:space="preserve">, not the Sept/Oct 2012 resolution or a free-for-all. The “social contract” argument for topicality holds that </w:t>
      </w:r>
      <w:r w:rsidRPr="00977195">
        <w:rPr>
          <w:rStyle w:val="Emphasis"/>
          <w:highlight w:val="yellow"/>
        </w:rPr>
        <w:t>accepting a tournament invitation constitutes implicit consent to debate the specified topic.</w:t>
      </w:r>
      <w:r w:rsidRPr="00E85319">
        <w:rPr>
          <w:rStyle w:val="Emphasis"/>
        </w:rPr>
        <w:t xml:space="preserve"> </w:t>
      </w:r>
      <w:r w:rsidRPr="00E85319">
        <w:rPr>
          <w:rFonts w:eastAsia="Times New Roman"/>
          <w:sz w:val="16"/>
          <w:szCs w:val="16"/>
        </w:rPr>
        <w:t>This claim might be contested, depending on what constitutes implicit consent. What is less contestable is this: given that </w:t>
      </w:r>
      <w:r w:rsidRPr="00E85319">
        <w:rPr>
          <w:rFonts w:eastAsia="Times New Roman"/>
          <w:i/>
          <w:iCs/>
          <w:sz w:val="16"/>
          <w:szCs w:val="16"/>
        </w:rPr>
        <w:t>some</w:t>
      </w:r>
      <w:r w:rsidRPr="00E85319">
        <w:rPr>
          <w:rFonts w:eastAsia="Times New Roman"/>
          <w:sz w:val="16"/>
          <w:szCs w:val="16"/>
        </w:rPr>
        <w:t xml:space="preserve"> proposition must be debated in each round and that the tournament has specified a resolution, no one can reasonably reject a principle that requires everyone to debate the announced resolution as worded. This appeals to Scanlon’s contractualism. </w:t>
      </w:r>
      <w:r w:rsidRPr="00E85319">
        <w:rPr>
          <w:rStyle w:val="Emphasis"/>
        </w:rPr>
        <w:t>Someone who wishes to debate only the announced resolution has a strong claim against changing the topic, and no one has a stronger claim against debating the announced resolution</w:t>
      </w:r>
      <w:r w:rsidRPr="00E85319">
        <w:rPr>
          <w:rFonts w:eastAsia="Times New Roman"/>
          <w:sz w:val="16"/>
          <w:szCs w:val="16"/>
        </w:rPr>
        <w:t xml:space="preserve"> (ignoring, for now, some possible exceptions to be discussed in the next subsection). </w:t>
      </w:r>
      <w:r w:rsidRPr="00E85319">
        <w:rPr>
          <w:rStyle w:val="Emphasis"/>
        </w:rPr>
        <w:t>So it is unfair to expect your opponent to debate anything other than the announced resolution. This unfairness is a constraint on the pursuit of education or other goods: it wrongs and is unjustifiable to your opponent.</w:t>
      </w:r>
    </w:p>
    <w:p w14:paraId="31804582" w14:textId="77777777" w:rsidR="00E42E4C" w:rsidRPr="002222EE" w:rsidRDefault="00E42E4C" w:rsidP="002222EE"/>
    <w:sectPr w:rsidR="00E42E4C" w:rsidRPr="002222E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847C31" w14:textId="77777777" w:rsidR="00014F4F" w:rsidRDefault="00014F4F" w:rsidP="00AA64BF">
      <w:pPr>
        <w:spacing w:after="0" w:line="240" w:lineRule="auto"/>
      </w:pPr>
      <w:r>
        <w:separator/>
      </w:r>
    </w:p>
  </w:endnote>
  <w:endnote w:type="continuationSeparator" w:id="0">
    <w:p w14:paraId="693AB5BB" w14:textId="77777777" w:rsidR="00014F4F" w:rsidRDefault="00014F4F"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529AC0" w14:textId="77777777" w:rsidR="00014F4F" w:rsidRDefault="00014F4F" w:rsidP="00AA64BF">
      <w:pPr>
        <w:spacing w:after="0" w:line="240" w:lineRule="auto"/>
      </w:pPr>
      <w:r>
        <w:separator/>
      </w:r>
    </w:p>
  </w:footnote>
  <w:footnote w:type="continuationSeparator" w:id="0">
    <w:p w14:paraId="4137EAB5" w14:textId="77777777" w:rsidR="00014F4F" w:rsidRDefault="00014F4F"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42CA"/>
    <w:rsid w:val="000066CA"/>
    <w:rsid w:val="00007264"/>
    <w:rsid w:val="000076A9"/>
    <w:rsid w:val="00012422"/>
    <w:rsid w:val="00014F4F"/>
    <w:rsid w:val="00014FAD"/>
    <w:rsid w:val="00015D2A"/>
    <w:rsid w:val="0002490B"/>
    <w:rsid w:val="00026465"/>
    <w:rsid w:val="00030204"/>
    <w:rsid w:val="000312A0"/>
    <w:rsid w:val="0003396C"/>
    <w:rsid w:val="00035337"/>
    <w:rsid w:val="000457D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22EE"/>
    <w:rsid w:val="0022589F"/>
    <w:rsid w:val="00233BD0"/>
    <w:rsid w:val="002343FE"/>
    <w:rsid w:val="00235F7B"/>
    <w:rsid w:val="002502CF"/>
    <w:rsid w:val="0025589B"/>
    <w:rsid w:val="00267EBB"/>
    <w:rsid w:val="0027023B"/>
    <w:rsid w:val="00272F3F"/>
    <w:rsid w:val="00274EDB"/>
    <w:rsid w:val="00275DE2"/>
    <w:rsid w:val="0027729E"/>
    <w:rsid w:val="002843B2"/>
    <w:rsid w:val="00284ED6"/>
    <w:rsid w:val="00290C5A"/>
    <w:rsid w:val="00290C92"/>
    <w:rsid w:val="0029647A"/>
    <w:rsid w:val="00296504"/>
    <w:rsid w:val="002A4D0E"/>
    <w:rsid w:val="002B4208"/>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402"/>
    <w:rsid w:val="00371B27"/>
    <w:rsid w:val="003726C3"/>
    <w:rsid w:val="00375D2E"/>
    <w:rsid w:val="00383071"/>
    <w:rsid w:val="00383B19"/>
    <w:rsid w:val="003848E9"/>
    <w:rsid w:val="00384CBC"/>
    <w:rsid w:val="00391B89"/>
    <w:rsid w:val="003933F9"/>
    <w:rsid w:val="00395864"/>
    <w:rsid w:val="00396557"/>
    <w:rsid w:val="00397316"/>
    <w:rsid w:val="003A248F"/>
    <w:rsid w:val="003A4D9C"/>
    <w:rsid w:val="003B1668"/>
    <w:rsid w:val="003B73A6"/>
    <w:rsid w:val="003C5F4C"/>
    <w:rsid w:val="003D5EA8"/>
    <w:rsid w:val="003D7B28"/>
    <w:rsid w:val="003E2C5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3D08"/>
    <w:rsid w:val="00577C12"/>
    <w:rsid w:val="00580BFC"/>
    <w:rsid w:val="00581048"/>
    <w:rsid w:val="00581203"/>
    <w:rsid w:val="0058349C"/>
    <w:rsid w:val="00585FBE"/>
    <w:rsid w:val="005870E8"/>
    <w:rsid w:val="0058789C"/>
    <w:rsid w:val="005A446F"/>
    <w:rsid w:val="005A4D4E"/>
    <w:rsid w:val="005A7237"/>
    <w:rsid w:val="005B21FA"/>
    <w:rsid w:val="005B3244"/>
    <w:rsid w:val="005B654A"/>
    <w:rsid w:val="005B6EE8"/>
    <w:rsid w:val="005B7731"/>
    <w:rsid w:val="005C1542"/>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46C7E"/>
    <w:rsid w:val="006529B9"/>
    <w:rsid w:val="00654695"/>
    <w:rsid w:val="0065500A"/>
    <w:rsid w:val="00655217"/>
    <w:rsid w:val="0065727C"/>
    <w:rsid w:val="00674A78"/>
    <w:rsid w:val="00691E76"/>
    <w:rsid w:val="006946D9"/>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1841"/>
    <w:rsid w:val="007374A1"/>
    <w:rsid w:val="00752712"/>
    <w:rsid w:val="00753A84"/>
    <w:rsid w:val="007611F5"/>
    <w:rsid w:val="007619E4"/>
    <w:rsid w:val="00761E75"/>
    <w:rsid w:val="0076495E"/>
    <w:rsid w:val="00765FC8"/>
    <w:rsid w:val="00775694"/>
    <w:rsid w:val="0078335D"/>
    <w:rsid w:val="00793F46"/>
    <w:rsid w:val="007A1325"/>
    <w:rsid w:val="007A1A18"/>
    <w:rsid w:val="007A2090"/>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32"/>
    <w:rsid w:val="0087459D"/>
    <w:rsid w:val="0087680F"/>
    <w:rsid w:val="00876D81"/>
    <w:rsid w:val="00881D86"/>
    <w:rsid w:val="00883306"/>
    <w:rsid w:val="008904F9"/>
    <w:rsid w:val="00890E4C"/>
    <w:rsid w:val="00890E74"/>
    <w:rsid w:val="00891347"/>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0950"/>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556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327"/>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4F5"/>
    <w:rsid w:val="00C56DCC"/>
    <w:rsid w:val="00C57075"/>
    <w:rsid w:val="00C72AFE"/>
    <w:rsid w:val="00C81619"/>
    <w:rsid w:val="00C90590"/>
    <w:rsid w:val="00CA013C"/>
    <w:rsid w:val="00CA6CF3"/>
    <w:rsid w:val="00CA6D6D"/>
    <w:rsid w:val="00CB2531"/>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E5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6A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EC"/>
    <w:rsid w:val="00F50C55"/>
    <w:rsid w:val="00F57FFB"/>
    <w:rsid w:val="00F601E6"/>
    <w:rsid w:val="00F662BE"/>
    <w:rsid w:val="00F73954"/>
    <w:rsid w:val="00F81841"/>
    <w:rsid w:val="00F94060"/>
    <w:rsid w:val="00FA4BF9"/>
    <w:rsid w:val="00FA56F6"/>
    <w:rsid w:val="00FB329D"/>
    <w:rsid w:val="00FC27E3"/>
    <w:rsid w:val="00FC74C7"/>
    <w:rsid w:val="00FD451D"/>
    <w:rsid w:val="00FD5B22"/>
    <w:rsid w:val="00FE1B01"/>
    <w:rsid w:val="00FE7F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22E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222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22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22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2222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22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22EE"/>
  </w:style>
  <w:style w:type="character" w:customStyle="1" w:styleId="Heading1Char">
    <w:name w:val="Heading 1 Char"/>
    <w:aliases w:val="Pocket Char"/>
    <w:basedOn w:val="DefaultParagraphFont"/>
    <w:link w:val="Heading1"/>
    <w:uiPriority w:val="9"/>
    <w:rsid w:val="002222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22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222E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2222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22E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2222EE"/>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2222E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222E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2222EE"/>
    <w:rPr>
      <w:color w:val="auto"/>
      <w:u w:val="none"/>
    </w:rPr>
  </w:style>
  <w:style w:type="paragraph" w:styleId="DocumentMap">
    <w:name w:val="Document Map"/>
    <w:basedOn w:val="Normal"/>
    <w:link w:val="DocumentMapChar"/>
    <w:uiPriority w:val="99"/>
    <w:semiHidden/>
    <w:unhideWhenUsed/>
    <w:rsid w:val="002222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22EE"/>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aliases w:val="6 font"/>
    <w:basedOn w:val="Normal"/>
    <w:uiPriority w:val="99"/>
    <w:qFormat/>
    <w:rsid w:val="00B277C5"/>
    <w:pPr>
      <w:ind w:left="720"/>
      <w:contextualSpacing/>
    </w:pPr>
  </w:style>
  <w:style w:type="paragraph" w:styleId="NoSpacing">
    <w:name w:val="No Spacing"/>
    <w:aliases w:val="Card Format,ClearFormatting,Clear,DDI Tag,Tag Title,CD - Cite,No Spacing7,No Spacing8,Dont u,No Spacing311,No Spacing51,Small Text,ca"/>
    <w:uiPriority w:val="99"/>
    <w:qFormat/>
    <w:rsid w:val="00B277C5"/>
    <w:rPr>
      <w:rFonts w:ascii="Calibri" w:hAnsi="Calibri"/>
      <w:sz w:val="22"/>
    </w:rPr>
  </w:style>
  <w:style w:type="paragraph" w:styleId="FootnoteText">
    <w:name w:val="footnote text"/>
    <w:basedOn w:val="Normal"/>
    <w:link w:val="FootnoteTextChar"/>
    <w:unhideWhenUsed/>
    <w:qFormat/>
    <w:rsid w:val="00DF3430"/>
    <w:rPr>
      <w:sz w:val="20"/>
      <w:szCs w:val="20"/>
    </w:rPr>
  </w:style>
  <w:style w:type="character" w:customStyle="1" w:styleId="FootnoteTextChar">
    <w:name w:val="Footnote Text Char"/>
    <w:basedOn w:val="DefaultParagraphFont"/>
    <w:link w:val="FootnoteText"/>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briefly.com/2015/02/20/the-priority-of-resolutional-semantics-by-jake-nebe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5</Pages>
  <Words>1295</Words>
  <Characters>7386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49</cp:revision>
  <dcterms:created xsi:type="dcterms:W3CDTF">2021-09-04T20:57:00Z</dcterms:created>
  <dcterms:modified xsi:type="dcterms:W3CDTF">2022-04-24T13:49:00Z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