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A33C1" w14:textId="77777777" w:rsidR="000D1A2C" w:rsidRDefault="000D1A2C" w:rsidP="000D1A2C">
      <w:pPr>
        <w:pStyle w:val="Heading1"/>
      </w:pPr>
      <w:r>
        <w:t>Loyola dubs 1nc</w:t>
      </w:r>
    </w:p>
    <w:p w14:paraId="70F03E30" w14:textId="77777777" w:rsidR="000D1A2C" w:rsidRDefault="000D1A2C" w:rsidP="000D1A2C"/>
    <w:p w14:paraId="4B8EB7CA" w14:textId="77777777" w:rsidR="000D1A2C" w:rsidRDefault="000D1A2C" w:rsidP="000D1A2C"/>
    <w:p w14:paraId="3D2DA011" w14:textId="77777777" w:rsidR="000D1A2C" w:rsidRDefault="000D1A2C" w:rsidP="000D1A2C"/>
    <w:p w14:paraId="1A62844B" w14:textId="77777777" w:rsidR="000D1A2C" w:rsidRDefault="000D1A2C" w:rsidP="000D1A2C">
      <w:pPr>
        <w:pStyle w:val="Heading2"/>
      </w:pPr>
      <w:r>
        <w:lastRenderedPageBreak/>
        <w:t>1</w:t>
      </w:r>
    </w:p>
    <w:p w14:paraId="5079FC19" w14:textId="77777777" w:rsidR="000D1A2C" w:rsidRPr="009C44F6" w:rsidRDefault="000D1A2C" w:rsidP="000D1A2C">
      <w:pPr>
        <w:pStyle w:val="Heading4"/>
        <w:rPr>
          <w:rFonts w:cs="Calibri"/>
        </w:rPr>
      </w:pPr>
    </w:p>
    <w:p w14:paraId="72C93687" w14:textId="77777777" w:rsidR="000D1A2C" w:rsidRDefault="000D1A2C" w:rsidP="000D1A2C">
      <w:pPr>
        <w:pStyle w:val="Heading4"/>
      </w:pPr>
      <w:r w:rsidRPr="00FF7E5F">
        <w:t xml:space="preserve">Interpretation: debaters may not read multiple reasons to substantively auto affirm the the resolution. To clarify apriori bad </w:t>
      </w:r>
    </w:p>
    <w:p w14:paraId="2C3DC504" w14:textId="77777777" w:rsidR="000D1A2C" w:rsidRDefault="000D1A2C" w:rsidP="000D1A2C">
      <w:pPr>
        <w:pStyle w:val="Heading4"/>
      </w:pPr>
      <w:r w:rsidRPr="00FF7E5F">
        <w:t xml:space="preserve">Reciprocity: mutltiple aprirois put the neg at least at a 3-1 skew if not infinite skew which severely skews rhe neg time. Reciprocity key to fairness cuz it key to balanced burdens </w:t>
      </w:r>
    </w:p>
    <w:p w14:paraId="58BBFA8D" w14:textId="77777777" w:rsidR="000D1A2C" w:rsidRPr="00FF7E5F" w:rsidRDefault="000D1A2C" w:rsidP="000D1A2C">
      <w:pPr>
        <w:pStyle w:val="Heading4"/>
      </w:pPr>
      <w:r w:rsidRPr="00FF7E5F">
        <w:t xml:space="preserve">Ableism: multiple aprioris are ableist cuz it forces debaters to minesweep find small game over issues while also trying to answer a full aff fwk anf theory args. They creates an epistemic skew on everything the aff says cuz it’s only true cuz I couldn’t minesweep it in time and also key to fairness ensuring th equity of all people in debate </w:t>
      </w:r>
    </w:p>
    <w:p w14:paraId="3E87D3BB" w14:textId="77777777" w:rsidR="000D1A2C" w:rsidRDefault="000D1A2C" w:rsidP="000D1A2C">
      <w:pPr>
        <w:pStyle w:val="Heading4"/>
      </w:pPr>
    </w:p>
    <w:p w14:paraId="7BD284F9" w14:textId="77777777" w:rsidR="000D1A2C" w:rsidRDefault="000D1A2C" w:rsidP="000D1A2C">
      <w:pPr>
        <w:pStyle w:val="Heading4"/>
      </w:pPr>
    </w:p>
    <w:p w14:paraId="56442EB4" w14:textId="77777777" w:rsidR="000D1A2C" w:rsidRDefault="000D1A2C" w:rsidP="000D1A2C">
      <w:pPr>
        <w:pStyle w:val="Heading4"/>
      </w:pPr>
      <w:r w:rsidRPr="00E232A7">
        <w:t>Fairness</w:t>
      </w:r>
      <w:r>
        <w:t xml:space="preserve"> first</w:t>
      </w:r>
      <w:r w:rsidRPr="00E232A7">
        <w:t xml:space="preserve"> – </w:t>
      </w:r>
    </w:p>
    <w:p w14:paraId="10C09F1D" w14:textId="77777777" w:rsidR="000D1A2C" w:rsidRPr="00946D7E" w:rsidRDefault="000D1A2C" w:rsidP="000D1A2C">
      <w:pPr>
        <w:pStyle w:val="Heading4"/>
        <w:rPr>
          <w:rFonts w:ascii="-webkit-standard" w:hAnsi="-webkit-standard" w:cs="Times New Roman"/>
        </w:rPr>
      </w:pPr>
      <w:r w:rsidRPr="00946D7E">
        <w:rPr>
          <w:rStyle w:val="s5"/>
          <w:rFonts w:cs="Calibri"/>
          <w:color w:val="000000"/>
        </w:rPr>
        <w:t>A]</w:t>
      </w:r>
      <w:r w:rsidRPr="00946D7E">
        <w:rPr>
          <w:rStyle w:val="apple-converted-space"/>
          <w:rFonts w:cs="Calibri"/>
          <w:color w:val="000000"/>
        </w:rPr>
        <w:t> </w:t>
      </w:r>
      <w:r w:rsidRPr="00946D7E">
        <w:rPr>
          <w:rStyle w:val="s5"/>
          <w:rFonts w:cs="Calibri"/>
          <w:color w:val="000000"/>
        </w:rPr>
        <w:t>Inescapable – all arguments presuppose fair evaluation because otherwise the judge could just hack for the other side.</w:t>
      </w:r>
    </w:p>
    <w:p w14:paraId="48A4C858" w14:textId="77777777" w:rsidR="000D1A2C" w:rsidRPr="00946D7E" w:rsidRDefault="000D1A2C" w:rsidP="000D1A2C">
      <w:pPr>
        <w:pStyle w:val="Heading4"/>
        <w:rPr>
          <w:rFonts w:ascii="-webkit-standard" w:hAnsi="-webkit-standard"/>
        </w:rPr>
      </w:pPr>
      <w:r w:rsidRPr="00946D7E">
        <w:rPr>
          <w:rStyle w:val="s5"/>
          <w:rFonts w:cs="Calibri"/>
          <w:color w:val="000000"/>
        </w:rPr>
        <w:t>B]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74A6A345" w14:textId="77777777" w:rsidR="000D1A2C" w:rsidRPr="00E232A7" w:rsidRDefault="000D1A2C" w:rsidP="000D1A2C">
      <w:pPr>
        <w:pStyle w:val="Heading4"/>
      </w:pPr>
    </w:p>
    <w:p w14:paraId="37D27CF6" w14:textId="77777777" w:rsidR="000D1A2C" w:rsidRPr="00E232A7" w:rsidRDefault="000D1A2C" w:rsidP="000D1A2C">
      <w:pPr>
        <w:pStyle w:val="Heading4"/>
      </w:pPr>
      <w:r w:rsidRPr="00E232A7">
        <w:t>DTD – </w:t>
      </w:r>
    </w:p>
    <w:p w14:paraId="2110BC9D" w14:textId="77777777" w:rsidR="000D1A2C" w:rsidRPr="00E232A7" w:rsidRDefault="000D1A2C" w:rsidP="000D1A2C">
      <w:pPr>
        <w:pStyle w:val="Heading4"/>
      </w:pPr>
      <w:r w:rsidRPr="00E232A7">
        <w:t>a) Deters future abuse</w:t>
      </w:r>
    </w:p>
    <w:p w14:paraId="1A20A54F" w14:textId="77777777" w:rsidR="000D1A2C" w:rsidRPr="009C44F6" w:rsidRDefault="000D1A2C" w:rsidP="000D1A2C">
      <w:pPr>
        <w:rPr>
          <w:b/>
          <w:bCs/>
          <w:sz w:val="26"/>
          <w:szCs w:val="26"/>
        </w:rPr>
      </w:pPr>
      <w:r>
        <w:rPr>
          <w:b/>
          <w:bCs/>
          <w:sz w:val="26"/>
          <w:szCs w:val="26"/>
        </w:rPr>
        <w:t>b</w:t>
      </w:r>
      <w:r w:rsidRPr="009C44F6">
        <w:rPr>
          <w:b/>
          <w:bCs/>
          <w:sz w:val="26"/>
          <w:szCs w:val="26"/>
        </w:rPr>
        <w:t>) I had to invest time on theory which skews the round irreparably so dtd is the only recourse</w:t>
      </w:r>
    </w:p>
    <w:p w14:paraId="71728C1B" w14:textId="77777777" w:rsidR="000D1A2C" w:rsidRPr="00E232A7" w:rsidRDefault="000D1A2C" w:rsidP="000D1A2C">
      <w:pPr>
        <w:pStyle w:val="Heading4"/>
      </w:pPr>
      <w:r w:rsidRPr="00E232A7">
        <w:lastRenderedPageBreak/>
        <w:t> </w:t>
      </w:r>
    </w:p>
    <w:p w14:paraId="5275E1CB" w14:textId="77777777" w:rsidR="000D1A2C" w:rsidRPr="00E232A7" w:rsidRDefault="000D1A2C" w:rsidP="000D1A2C">
      <w:pPr>
        <w:pStyle w:val="Heading4"/>
      </w:pPr>
      <w:r w:rsidRPr="00E232A7">
        <w:t xml:space="preserve">CI – a) It fosters the best norms through encouraging the fairest rule b) Reasonability collapses </w:t>
      </w:r>
      <w:r>
        <w:t xml:space="preserve">to an offense defense paradigm </w:t>
      </w:r>
      <w:r w:rsidRPr="00E232A7">
        <w:t>by debating the brightline </w:t>
      </w:r>
      <w:r>
        <w:t>c) reasonability is arbitrary and invites judge intervention since there’s never a clear brightline</w:t>
      </w:r>
    </w:p>
    <w:p w14:paraId="0F63F780" w14:textId="77777777" w:rsidR="000D1A2C" w:rsidRPr="00E232A7" w:rsidRDefault="000D1A2C" w:rsidP="000D1A2C">
      <w:pPr>
        <w:pStyle w:val="Heading4"/>
      </w:pPr>
      <w:r w:rsidRPr="00E232A7">
        <w:t> </w:t>
      </w:r>
    </w:p>
    <w:p w14:paraId="091A994F" w14:textId="77777777" w:rsidR="000D1A2C" w:rsidRPr="00E232A7" w:rsidRDefault="000D1A2C" w:rsidP="000D1A2C">
      <w:pPr>
        <w:pStyle w:val="Heading4"/>
      </w:pPr>
      <w:r w:rsidRPr="00E232A7">
        <w:t>No RVI – 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5C781AD4" w14:textId="77777777" w:rsidR="000D1A2C" w:rsidRPr="009C44F6" w:rsidRDefault="000D1A2C" w:rsidP="000D1A2C">
      <w:pPr>
        <w:pStyle w:val="Heading4"/>
      </w:pPr>
      <w:r w:rsidRPr="009C44F6">
        <w:t> </w:t>
      </w:r>
    </w:p>
    <w:p w14:paraId="06AA1A86" w14:textId="77777777" w:rsidR="000D1A2C" w:rsidRPr="009C44F6" w:rsidRDefault="000D1A2C" w:rsidP="000D1A2C">
      <w:pPr>
        <w:pStyle w:val="Heading4"/>
      </w:pPr>
    </w:p>
    <w:p w14:paraId="4530B1D1" w14:textId="77777777" w:rsidR="000D1A2C" w:rsidRDefault="000D1A2C" w:rsidP="000D1A2C"/>
    <w:p w14:paraId="782274B7" w14:textId="77777777" w:rsidR="000D1A2C" w:rsidRDefault="000D1A2C" w:rsidP="000D1A2C">
      <w:pPr>
        <w:pStyle w:val="Heading2"/>
      </w:pPr>
      <w:r>
        <w:lastRenderedPageBreak/>
        <w:t>2</w:t>
      </w:r>
    </w:p>
    <w:p w14:paraId="5CE48FDB" w14:textId="77777777" w:rsidR="000D1A2C" w:rsidRPr="00946D7E" w:rsidRDefault="000D1A2C" w:rsidP="000D1A2C">
      <w:pPr>
        <w:pStyle w:val="Heading4"/>
        <w:rPr>
          <w:rFonts w:ascii="Times New Roman" w:hAnsi="Times New Roman"/>
        </w:rPr>
      </w:pPr>
      <w:r w:rsidRPr="00946D7E">
        <w:t>Permissibility and presumption negate – a.  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 C. we don’t presume everything true, that’s why we don’t believe in conspiracy theories</w:t>
      </w:r>
    </w:p>
    <w:p w14:paraId="476FBCAB" w14:textId="77777777" w:rsidR="000D1A2C" w:rsidRDefault="000D1A2C" w:rsidP="000D1A2C">
      <w:pPr>
        <w:pStyle w:val="Heading4"/>
      </w:pPr>
    </w:p>
    <w:p w14:paraId="24A5CC7B" w14:textId="77777777" w:rsidR="000D1A2C" w:rsidRDefault="000D1A2C" w:rsidP="000D1A2C">
      <w:pPr>
        <w:pStyle w:val="Heading4"/>
      </w:pPr>
      <w:r>
        <w:t>I defend the squo. Moral internalism is true:</w:t>
      </w:r>
    </w:p>
    <w:p w14:paraId="07A254CB" w14:textId="77777777" w:rsidR="000D1A2C" w:rsidRDefault="000D1A2C" w:rsidP="000D1A2C">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799B9582" w14:textId="77777777" w:rsidR="000D1A2C" w:rsidRDefault="000D1A2C" w:rsidP="000D1A2C">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60C38B0B" w14:textId="77777777" w:rsidR="000D1A2C" w:rsidRPr="004C56AF" w:rsidRDefault="000D1A2C" w:rsidP="000D1A2C">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48BA17B6" w14:textId="77777777" w:rsidR="000D1A2C" w:rsidRDefault="000D1A2C" w:rsidP="000D1A2C"/>
    <w:p w14:paraId="262C7E7B" w14:textId="77777777" w:rsidR="000D1A2C" w:rsidRPr="005842EE" w:rsidRDefault="000D1A2C" w:rsidP="000D1A2C">
      <w:pPr>
        <w:pStyle w:val="Heading4"/>
      </w:pPr>
      <w:r>
        <w:lastRenderedPageBreak/>
        <w:t>Next, every agent takes their ability to act on their ethical system as instrumentally valuable. Only self interest bridges relativism to provide a universal principle.</w:t>
      </w:r>
    </w:p>
    <w:p w14:paraId="13FCF49A" w14:textId="77777777" w:rsidR="000D1A2C" w:rsidRPr="00D1235A" w:rsidRDefault="000D1A2C" w:rsidP="000D1A2C">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 /BHHS AK recut</w:t>
      </w:r>
    </w:p>
    <w:p w14:paraId="6A406919" w14:textId="77777777" w:rsidR="000D1A2C" w:rsidRPr="00D1235A" w:rsidRDefault="000D1A2C" w:rsidP="000D1A2C">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440CC3EA" w14:textId="77777777" w:rsidR="000D1A2C" w:rsidRPr="0004616F" w:rsidRDefault="000D1A2C" w:rsidP="000D1A2C">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38C4CE10" w14:textId="77777777" w:rsidR="000D1A2C" w:rsidRPr="0058668A" w:rsidRDefault="000D1A2C" w:rsidP="000D1A2C">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7121FE6C" w14:textId="77777777" w:rsidR="000D1A2C" w:rsidRPr="0058668A" w:rsidRDefault="000D1A2C" w:rsidP="000D1A2C">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 xml:space="preserve">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t>
      </w:r>
      <w:r w:rsidRPr="0058668A">
        <w:rPr>
          <w:sz w:val="14"/>
        </w:rPr>
        <w:lastRenderedPageBreak/>
        <w:t>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402A616E" w14:textId="77777777" w:rsidR="000D1A2C" w:rsidRDefault="000D1A2C" w:rsidP="000D1A2C">
      <w:pPr>
        <w:pStyle w:val="Heading4"/>
      </w:pPr>
    </w:p>
    <w:p w14:paraId="34E89DE4" w14:textId="77777777" w:rsidR="000D1A2C" w:rsidRDefault="000D1A2C" w:rsidP="000D1A2C">
      <w:pPr>
        <w:pStyle w:val="Heading4"/>
      </w:pPr>
    </w:p>
    <w:p w14:paraId="5AFE0101" w14:textId="77777777" w:rsidR="000D1A2C" w:rsidRPr="00946D7E" w:rsidRDefault="000D1A2C" w:rsidP="000D1A2C">
      <w:pPr>
        <w:pStyle w:val="Heading4"/>
      </w:pPr>
      <w:r>
        <w:t>Thus, the standard is consistency with contractarianism.</w:t>
      </w:r>
    </w:p>
    <w:p w14:paraId="5D7960A6" w14:textId="77777777" w:rsidR="000D1A2C" w:rsidRDefault="000D1A2C" w:rsidP="000D1A2C"/>
    <w:p w14:paraId="147D9F9E" w14:textId="77777777" w:rsidR="000D1A2C" w:rsidRDefault="000D1A2C" w:rsidP="000D1A2C">
      <w:pPr>
        <w:pStyle w:val="Heading4"/>
      </w:pPr>
      <w:r>
        <w:t xml:space="preserve">Negate: </w:t>
      </w:r>
    </w:p>
    <w:p w14:paraId="326125AC" w14:textId="77777777" w:rsidR="000D1A2C" w:rsidRPr="005904B7" w:rsidRDefault="000D1A2C" w:rsidP="000D1A2C"/>
    <w:p w14:paraId="53EF16F1" w14:textId="77777777" w:rsidR="000D1A2C" w:rsidRDefault="000D1A2C" w:rsidP="000D1A2C">
      <w:pPr>
        <w:pStyle w:val="Heading4"/>
      </w:pPr>
      <w:r>
        <w:t>[1] IP rights are included in multiple international contracts – the aff violates that.</w:t>
      </w:r>
    </w:p>
    <w:p w14:paraId="16500521" w14:textId="77777777" w:rsidR="000D1A2C" w:rsidRPr="00F56AB5" w:rsidRDefault="000D1A2C" w:rsidP="000D1A2C">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16E173D8" w14:textId="77777777" w:rsidR="000D1A2C" w:rsidRPr="00727921" w:rsidRDefault="000D1A2C" w:rsidP="000D1A2C">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Civii'and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6225E96D" w14:textId="77777777" w:rsidR="000D1A2C" w:rsidRDefault="000D1A2C" w:rsidP="000D1A2C">
      <w:pPr>
        <w:pStyle w:val="Heading4"/>
      </w:pPr>
      <w:r>
        <w:lastRenderedPageBreak/>
        <w:t>[2] Consent – the aff disregards the consent of medicine producers and allows it to be violated by removing patents - negates because violating a party’s consent is an act of violating a hypothetical contract since their side of the contract isn’t accounted for</w:t>
      </w:r>
    </w:p>
    <w:p w14:paraId="5558FA02" w14:textId="77777777" w:rsidR="000D1A2C" w:rsidRDefault="000D1A2C" w:rsidP="000D1A2C"/>
    <w:p w14:paraId="41423BDB" w14:textId="77777777" w:rsidR="000D1A2C" w:rsidRDefault="000D1A2C" w:rsidP="000D1A2C"/>
    <w:p w14:paraId="24FF0917" w14:textId="77777777" w:rsidR="000D1A2C" w:rsidRPr="009C44F6" w:rsidRDefault="000D1A2C" w:rsidP="000D1A2C"/>
    <w:p w14:paraId="31804582" w14:textId="77777777" w:rsidR="00E42E4C" w:rsidRPr="000D1A2C" w:rsidRDefault="00E42E4C" w:rsidP="000D1A2C"/>
    <w:sectPr w:rsidR="00E42E4C" w:rsidRPr="000D1A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A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1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A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1A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D1A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A2C"/>
  </w:style>
  <w:style w:type="character" w:customStyle="1" w:styleId="Heading1Char">
    <w:name w:val="Heading 1 Char"/>
    <w:aliases w:val="Pocket Char"/>
    <w:basedOn w:val="DefaultParagraphFont"/>
    <w:link w:val="Heading1"/>
    <w:uiPriority w:val="9"/>
    <w:rsid w:val="000D1A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A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1A2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D1A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1A2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0D1A2C"/>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0D1A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1A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0D1A2C"/>
    <w:rPr>
      <w:color w:val="auto"/>
      <w:u w:val="none"/>
    </w:rPr>
  </w:style>
  <w:style w:type="paragraph" w:styleId="DocumentMap">
    <w:name w:val="Document Map"/>
    <w:basedOn w:val="Normal"/>
    <w:link w:val="DocumentMapChar"/>
    <w:uiPriority w:val="99"/>
    <w:semiHidden/>
    <w:unhideWhenUsed/>
    <w:rsid w:val="000D1A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A2C"/>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7</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6</cp:revision>
  <dcterms:created xsi:type="dcterms:W3CDTF">2021-09-04T20:57:00Z</dcterms:created>
  <dcterms:modified xsi:type="dcterms:W3CDTF">2021-09-07T15:17:00Z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