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6084A" w14:textId="77777777" w:rsidR="00371402" w:rsidRDefault="00371402" w:rsidP="00371402">
      <w:pPr>
        <w:pStyle w:val="Heading1"/>
      </w:pPr>
      <w:r>
        <w:t>Lex r6 1nc</w:t>
      </w:r>
    </w:p>
    <w:p w14:paraId="18E8D607" w14:textId="77777777" w:rsidR="00371402" w:rsidRDefault="00371402" w:rsidP="00371402"/>
    <w:p w14:paraId="37678789" w14:textId="77777777" w:rsidR="00371402" w:rsidRDefault="00371402" w:rsidP="00371402"/>
    <w:p w14:paraId="19C76711" w14:textId="77777777" w:rsidR="00371402" w:rsidRDefault="00371402" w:rsidP="00371402">
      <w:pPr>
        <w:pStyle w:val="Heading2"/>
      </w:pPr>
      <w:r>
        <w:lastRenderedPageBreak/>
        <w:t>1</w:t>
      </w:r>
    </w:p>
    <w:p w14:paraId="11C9B7EB" w14:textId="77777777" w:rsidR="00371402" w:rsidRDefault="00371402" w:rsidP="00371402"/>
    <w:p w14:paraId="02A16374" w14:textId="77777777" w:rsidR="00371402" w:rsidRPr="00115615" w:rsidRDefault="00371402" w:rsidP="00371402">
      <w:pPr>
        <w:pStyle w:val="Heading4"/>
      </w:pPr>
      <w:r w:rsidRPr="00115615">
        <w:t>Permissibility and presumption negate:</w:t>
      </w:r>
    </w:p>
    <w:p w14:paraId="04710BA5" w14:textId="77777777" w:rsidR="00371402" w:rsidRPr="00115615" w:rsidRDefault="00371402" w:rsidP="00371402">
      <w:pPr>
        <w:pStyle w:val="Heading4"/>
      </w:pPr>
      <w:r w:rsidRPr="00115615">
        <w:t>[1] Resolution indicates the affirmative has to prove a proactive obligation, and permissibility would deny the existence of an obligation</w:t>
      </w:r>
    </w:p>
    <w:p w14:paraId="7FD87CC0" w14:textId="77777777" w:rsidR="00371402" w:rsidRPr="00115615" w:rsidRDefault="00371402" w:rsidP="00371402">
      <w:pPr>
        <w:pStyle w:val="Heading4"/>
      </w:pPr>
      <w:r w:rsidRPr="00115615">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2F36D158" w14:textId="77777777" w:rsidR="00371402" w:rsidRPr="00115615" w:rsidRDefault="00371402" w:rsidP="00371402">
      <w:pPr>
        <w:pStyle w:val="Heading4"/>
      </w:pPr>
      <w:r w:rsidRPr="00115615">
        <w:t>[3] Statements are more often false than true because any part can be false. This means you negate if there is no offense because the resolution is probably false.</w:t>
      </w:r>
    </w:p>
    <w:p w14:paraId="6509F468" w14:textId="77777777" w:rsidR="00371402" w:rsidRPr="00115615" w:rsidRDefault="00371402" w:rsidP="00371402"/>
    <w:p w14:paraId="49F23902" w14:textId="77777777" w:rsidR="00371402" w:rsidRDefault="00371402" w:rsidP="00371402">
      <w:pPr>
        <w:pStyle w:val="Heading4"/>
        <w:rPr>
          <w:b w:val="0"/>
          <w:bCs w:val="0"/>
        </w:rPr>
      </w:pPr>
      <w:r>
        <w:t xml:space="preserve">Determinism is true and negates: A. </w:t>
      </w:r>
      <w:r>
        <w:rPr>
          <w:b w:val="0"/>
          <w:bCs w:val="0"/>
        </w:rPr>
        <w:t xml:space="preserve">The aff says the appropriation of outer space is unjust, but the action of appropriating space is predetermined making statements that prescribe one incoherent. </w:t>
      </w:r>
      <w:r>
        <w:t xml:space="preserve">B. </w:t>
      </w:r>
      <w:r w:rsidRPr="00F34AE9">
        <w:rPr>
          <w:b w:val="0"/>
          <w:bCs w:val="0"/>
        </w:rPr>
        <w:t>Determinism</w:t>
      </w:r>
      <w:r>
        <w:t xml:space="preserve"> </w:t>
      </w:r>
      <w:r w:rsidRPr="00F34AE9">
        <w:rPr>
          <w:b w:val="0"/>
          <w:bCs w:val="0"/>
        </w:rPr>
        <w:t xml:space="preserve">denies the </w:t>
      </w:r>
      <w:r>
        <w:rPr>
          <w:b w:val="0"/>
          <w:bCs w:val="0"/>
        </w:rPr>
        <w:t xml:space="preserve">existence of free will which makes willing a moral obligation impossible. </w:t>
      </w:r>
      <w:r>
        <w:t>Norwitz quotes Inwagen who doesn’t agree with the terminal conclusion of the NC.</w:t>
      </w:r>
    </w:p>
    <w:p w14:paraId="6C81EBE6" w14:textId="77777777" w:rsidR="00371402" w:rsidRDefault="00371402" w:rsidP="00371402">
      <w:r>
        <w:t>[</w:t>
      </w:r>
      <w:r w:rsidRPr="00396575">
        <w:t>Michael Norwitz, “Free Will and Determinism,” Philosophy Now, 1991.</w:t>
      </w:r>
      <w:r>
        <w:t>] SHS ZS</w:t>
      </w:r>
    </w:p>
    <w:p w14:paraId="4F43BF27" w14:textId="77777777" w:rsidR="00371402" w:rsidRPr="00757F5A" w:rsidRDefault="00371402" w:rsidP="00371402">
      <w:r w:rsidRPr="00DA1AC9">
        <w:rPr>
          <w:sz w:val="12"/>
        </w:rPr>
        <w:t xml:space="preserve">Inwagen presents three premises in his main argument: that </w:t>
      </w:r>
      <w:r w:rsidRPr="005D4294">
        <w:rPr>
          <w:b/>
          <w:bCs/>
          <w:highlight w:val="green"/>
          <w:u w:val="single"/>
        </w:rPr>
        <w:t>free will is</w:t>
      </w:r>
      <w:r w:rsidRPr="00DA1AC9">
        <w:rPr>
          <w:sz w:val="12"/>
        </w:rPr>
        <w:t xml:space="preserve"> in fact </w:t>
      </w:r>
      <w:r w:rsidRPr="005D4294">
        <w:rPr>
          <w:b/>
          <w:bCs/>
          <w:highlight w:val="green"/>
          <w:u w:val="single"/>
        </w:rPr>
        <w:t>incompatible with</w:t>
      </w:r>
      <w:r w:rsidRPr="00166B1C">
        <w:rPr>
          <w:b/>
          <w:bCs/>
          <w:u w:val="single"/>
        </w:rPr>
        <w:t xml:space="preserve"> </w:t>
      </w:r>
      <w:r w:rsidRPr="005D4294">
        <w:rPr>
          <w:b/>
          <w:bCs/>
          <w:highlight w:val="green"/>
          <w:u w:val="single"/>
        </w:rPr>
        <w:t>determinism</w:t>
      </w:r>
      <w:r w:rsidRPr="00DA1AC9">
        <w:rPr>
          <w:sz w:val="12"/>
        </w:rPr>
        <w:t xml:space="preserve">, that </w:t>
      </w:r>
      <w:r w:rsidRPr="00166B1C">
        <w:rPr>
          <w:b/>
          <w:bCs/>
          <w:u w:val="single"/>
        </w:rPr>
        <w:t>moral responsibility is incompatible with</w:t>
      </w:r>
      <w:r w:rsidRPr="00DA1AC9">
        <w:rPr>
          <w:sz w:val="12"/>
        </w:rPr>
        <w:t xml:space="preserve"> </w:t>
      </w:r>
      <w:r w:rsidRPr="00166B1C">
        <w:rPr>
          <w:b/>
          <w:bCs/>
          <w:u w:val="single"/>
        </w:rPr>
        <w:t>determinism</w:t>
      </w:r>
      <w:r w:rsidRPr="00DA1AC9">
        <w:rPr>
          <w:sz w:val="12"/>
        </w:rPr>
        <w:t>, and that (since we have moral responsibility) determinism is false. Hence, he concludes, we have free will. The argument for the first premise runs as follows [p.56]: “</w:t>
      </w:r>
      <w:r w:rsidRPr="005D4294">
        <w:rPr>
          <w:b/>
          <w:bCs/>
          <w:highlight w:val="green"/>
          <w:u w:val="single"/>
        </w:rPr>
        <w:t>If determinism is true</w:t>
      </w:r>
      <w:r w:rsidRPr="00DA1AC9">
        <w:rPr>
          <w:sz w:val="12"/>
        </w:rPr>
        <w:t xml:space="preserve">, then </w:t>
      </w:r>
      <w:r w:rsidRPr="005D4294">
        <w:rPr>
          <w:b/>
          <w:bCs/>
          <w:highlight w:val="green"/>
          <w:u w:val="single"/>
        </w:rPr>
        <w:t>our acts are the consequences</w:t>
      </w:r>
      <w:r w:rsidRPr="00C87622">
        <w:rPr>
          <w:b/>
          <w:bCs/>
          <w:u w:val="single"/>
        </w:rPr>
        <w:t xml:space="preserve"> </w:t>
      </w:r>
      <w:r w:rsidRPr="005D4294">
        <w:rPr>
          <w:b/>
          <w:bCs/>
          <w:highlight w:val="green"/>
          <w:u w:val="single"/>
        </w:rPr>
        <w:t>of the laws of nature</w:t>
      </w:r>
      <w:r w:rsidRPr="00DA1AC9">
        <w:rPr>
          <w:sz w:val="12"/>
        </w:rPr>
        <w:t xml:space="preserve"> and events in the remote past. But </w:t>
      </w:r>
      <w:r w:rsidRPr="005D4294">
        <w:rPr>
          <w:b/>
          <w:bCs/>
          <w:highlight w:val="green"/>
          <w:u w:val="single"/>
        </w:rPr>
        <w:t>it is not up to us</w:t>
      </w:r>
      <w:r w:rsidRPr="00C87622">
        <w:rPr>
          <w:b/>
          <w:bCs/>
          <w:u w:val="single"/>
        </w:rPr>
        <w:t xml:space="preserve"> what went on before we were born</w:t>
      </w:r>
      <w:r w:rsidRPr="00DA1AC9">
        <w:rPr>
          <w:sz w:val="12"/>
        </w:rPr>
        <w:t xml:space="preserve">, and neither is it up to us what the laws of nature are. </w:t>
      </w:r>
      <w:r w:rsidRPr="005D4294">
        <w:rPr>
          <w:b/>
          <w:bCs/>
          <w:highlight w:val="green"/>
          <w:u w:val="single"/>
        </w:rPr>
        <w:t>Therefore the</w:t>
      </w:r>
      <w:r w:rsidRPr="00C87622">
        <w:rPr>
          <w:b/>
          <w:bCs/>
          <w:u w:val="single"/>
        </w:rPr>
        <w:t xml:space="preserve"> </w:t>
      </w:r>
      <w:r w:rsidRPr="005D4294">
        <w:rPr>
          <w:b/>
          <w:bCs/>
          <w:highlight w:val="green"/>
          <w:u w:val="single"/>
        </w:rPr>
        <w:t>consequences</w:t>
      </w:r>
      <w:r w:rsidRPr="00C87622">
        <w:rPr>
          <w:b/>
          <w:bCs/>
          <w:u w:val="single"/>
        </w:rPr>
        <w:t xml:space="preserve"> of these things</w:t>
      </w:r>
      <w:r w:rsidRPr="00DA1AC9">
        <w:rPr>
          <w:sz w:val="12"/>
        </w:rPr>
        <w:t xml:space="preserve"> (including our present acts) </w:t>
      </w:r>
      <w:r w:rsidRPr="005D4294">
        <w:rPr>
          <w:b/>
          <w:bCs/>
          <w:highlight w:val="green"/>
          <w:u w:val="single"/>
        </w:rPr>
        <w:t>are not up to us</w:t>
      </w:r>
      <w:r w:rsidRPr="00DA1AC9">
        <w:rPr>
          <w:sz w:val="12"/>
        </w:rPr>
        <w:t>.” The argument for the second premise [p. 181]: “</w:t>
      </w:r>
      <w:r w:rsidRPr="005D4294">
        <w:rPr>
          <w:b/>
          <w:bCs/>
          <w:highlight w:val="green"/>
          <w:u w:val="single"/>
        </w:rPr>
        <w:t>If</w:t>
      </w:r>
      <w:r w:rsidRPr="00DA1AC9">
        <w:rPr>
          <w:sz w:val="12"/>
        </w:rPr>
        <w:t xml:space="preserve"> (i) </w:t>
      </w:r>
      <w:r w:rsidRPr="00C87622">
        <w:rPr>
          <w:b/>
          <w:bCs/>
          <w:u w:val="single"/>
        </w:rPr>
        <w:t>no one is morally responsible for having failed to perform any act</w:t>
      </w:r>
      <w:r w:rsidRPr="00DA1AC9">
        <w:rPr>
          <w:sz w:val="12"/>
        </w:rPr>
        <w:t xml:space="preserve">, </w:t>
      </w:r>
      <w:r w:rsidRPr="00C87622">
        <w:rPr>
          <w:b/>
          <w:bCs/>
          <w:u w:val="single"/>
        </w:rPr>
        <w:t>and</w:t>
      </w:r>
      <w:r w:rsidRPr="00DA1AC9">
        <w:rPr>
          <w:sz w:val="12"/>
        </w:rPr>
        <w:t xml:space="preserve"> (ii) </w:t>
      </w:r>
      <w:r w:rsidRPr="005D4294">
        <w:rPr>
          <w:b/>
          <w:bCs/>
          <w:highlight w:val="green"/>
          <w:u w:val="single"/>
        </w:rPr>
        <w:t>no one is morally responsible for any event</w:t>
      </w:r>
      <w:r w:rsidRPr="00DA1AC9">
        <w:rPr>
          <w:sz w:val="12"/>
        </w:rPr>
        <w:t xml:space="preserve">, </w:t>
      </w:r>
      <w:r w:rsidRPr="005D4294">
        <w:rPr>
          <w:b/>
          <w:bCs/>
          <w:highlight w:val="green"/>
          <w:u w:val="single"/>
        </w:rPr>
        <w:t>and</w:t>
      </w:r>
      <w:r w:rsidRPr="00DA1AC9">
        <w:rPr>
          <w:sz w:val="12"/>
        </w:rPr>
        <w:t xml:space="preserve"> (iii) </w:t>
      </w:r>
      <w:r w:rsidRPr="00C87622">
        <w:rPr>
          <w:b/>
          <w:bCs/>
          <w:u w:val="single"/>
        </w:rPr>
        <w:t xml:space="preserve">no one is morally responsible for any </w:t>
      </w:r>
      <w:r w:rsidRPr="005D4294">
        <w:rPr>
          <w:b/>
          <w:bCs/>
          <w:highlight w:val="green"/>
          <w:u w:val="single"/>
        </w:rPr>
        <w:t>state of affairs, then there is no</w:t>
      </w:r>
      <w:r w:rsidRPr="00C87622">
        <w:rPr>
          <w:b/>
          <w:bCs/>
          <w:u w:val="single"/>
        </w:rPr>
        <w:t xml:space="preserve"> </w:t>
      </w:r>
      <w:r w:rsidRPr="005D4294">
        <w:rPr>
          <w:b/>
          <w:bCs/>
          <w:highlight w:val="green"/>
          <w:u w:val="single"/>
        </w:rPr>
        <w:t>such thing as moral responsibility</w:t>
      </w:r>
      <w:r w:rsidRPr="00DA1AC9">
        <w:rPr>
          <w:sz w:val="12"/>
        </w:rPr>
        <w:t>.” For the third premise van Inwagen does not present a concise summary of his line of argument. He takes it as being self-evident that we have moral responsibility, as we do, after all, continue to hold people morally responsible for their actions.</w:t>
      </w:r>
    </w:p>
    <w:p w14:paraId="75092AE2" w14:textId="77777777" w:rsidR="00371402" w:rsidRDefault="00371402" w:rsidP="00371402">
      <w:pPr>
        <w:pStyle w:val="Heading4"/>
      </w:pPr>
      <w:r>
        <w:t>This negates irrespective of permissibility because it proves that agents cannot have moral obligations. Since “unjust” in the resolution implies moral obligations, without a moral obligation, the resolution is false.</w:t>
      </w:r>
    </w:p>
    <w:p w14:paraId="7BBF19A2" w14:textId="77777777" w:rsidR="00371402" w:rsidRDefault="00371402" w:rsidP="00371402"/>
    <w:p w14:paraId="6D474DAA" w14:textId="77777777" w:rsidR="00371402" w:rsidRDefault="00371402" w:rsidP="00371402">
      <w:pPr>
        <w:pStyle w:val="Heading4"/>
        <w:rPr>
          <w:b w:val="0"/>
          <w:bCs w:val="0"/>
        </w:rPr>
      </w:pPr>
      <w:r>
        <w:lastRenderedPageBreak/>
        <w:t xml:space="preserve">[1] Causality: </w:t>
      </w:r>
      <w:r>
        <w:rPr>
          <w:b w:val="0"/>
          <w:bCs w:val="0"/>
        </w:rPr>
        <w:t>The first law of thermodynamics holds that nothing can be created or destroyed</w:t>
      </w:r>
      <w:r>
        <w:rPr>
          <w:rStyle w:val="FootnoteReference"/>
          <w:b w:val="0"/>
          <w:bCs w:val="0"/>
        </w:rPr>
        <w:footnoteReference w:id="1"/>
      </w:r>
      <w:r>
        <w:rPr>
          <w:b w:val="0"/>
          <w:bCs w:val="0"/>
        </w:rPr>
        <w:t xml:space="preserve">, thus everything must have a cause if something cannot come from nothing. </w:t>
      </w:r>
      <w:r w:rsidRPr="00A81888">
        <w:rPr>
          <w:b w:val="0"/>
          <w:bCs w:val="0"/>
        </w:rPr>
        <w:t xml:space="preserve">This means that either </w:t>
      </w:r>
      <w:r w:rsidRPr="00946088">
        <w:t>A.</w:t>
      </w:r>
      <w:r w:rsidRPr="00A81888">
        <w:rPr>
          <w:b w:val="0"/>
          <w:bCs w:val="0"/>
        </w:rPr>
        <w:t xml:space="preserve"> </w:t>
      </w:r>
      <w:r>
        <w:rPr>
          <w:b w:val="0"/>
          <w:bCs w:val="0"/>
        </w:rPr>
        <w:t>F</w:t>
      </w:r>
      <w:r w:rsidRPr="00A81888">
        <w:rPr>
          <w:b w:val="0"/>
          <w:bCs w:val="0"/>
        </w:rPr>
        <w:t xml:space="preserve">ree will, which definitionally causes itself, is illogical as it does not have one or </w:t>
      </w:r>
      <w:r w:rsidRPr="00946088">
        <w:t>B.</w:t>
      </w:r>
      <w:r w:rsidRPr="00A81888">
        <w:rPr>
          <w:b w:val="0"/>
          <w:bCs w:val="0"/>
        </w:rPr>
        <w:t xml:space="preserve"> </w:t>
      </w:r>
      <w:r>
        <w:rPr>
          <w:b w:val="0"/>
          <w:bCs w:val="0"/>
        </w:rPr>
        <w:t>O</w:t>
      </w:r>
      <w:r w:rsidRPr="00A81888">
        <w:rPr>
          <w:b w:val="0"/>
          <w:bCs w:val="0"/>
        </w:rPr>
        <w:t>ur free will is caused by something which is a contradiction and proves determinism true.</w:t>
      </w:r>
    </w:p>
    <w:p w14:paraId="637B6FA9" w14:textId="77777777" w:rsidR="00371402" w:rsidRDefault="00371402" w:rsidP="00371402"/>
    <w:p w14:paraId="11779ECF" w14:textId="77777777" w:rsidR="00371402" w:rsidRPr="000051B4" w:rsidRDefault="00371402" w:rsidP="00371402">
      <w:pPr>
        <w:pStyle w:val="Heading4"/>
      </w:pPr>
      <w:r>
        <w:t xml:space="preserve">[2] Cognition – </w:t>
      </w:r>
      <w:r w:rsidRPr="00141B1D">
        <w:rPr>
          <w:b w:val="0"/>
          <w:bCs w:val="0"/>
        </w:rPr>
        <w:t>the best neuroscientific, psychological, and medical evidence show free will doesn’t exist</w:t>
      </w:r>
      <w:r>
        <w:t>. Lavazza</w:t>
      </w:r>
    </w:p>
    <w:p w14:paraId="35141AB4" w14:textId="77777777" w:rsidR="00371402" w:rsidRPr="00CA34E3" w:rsidRDefault="00371402" w:rsidP="00371402">
      <w:r>
        <w:t>[</w:t>
      </w:r>
      <w:r w:rsidRPr="00CA34E3">
        <w:t xml:space="preserve">Andrea Lavazza, Neuroethics, Centro Universitario Internazionale, Arezzo, Italy, Free Will and Neuroscience: From Explaining Freedom Away to New Ways of Operationalizing and Measuring It, 2016, </w:t>
      </w:r>
      <w:hyperlink r:id="rId11" w:history="1">
        <w:r w:rsidRPr="00CA34E3">
          <w:rPr>
            <w:rStyle w:val="Hyperlink"/>
          </w:rPr>
          <w:t>https://www.ncbi.nlm.nih.gov/pmc/articles/PMC4887467/</w:t>
        </w:r>
      </w:hyperlink>
      <w:r w:rsidRPr="00CA34E3">
        <w:t xml:space="preserve"> ///AHS PB BRACKETED FOR CLARITY</w:t>
      </w:r>
      <w:r>
        <w:t>] SHS ZS</w:t>
      </w:r>
    </w:p>
    <w:p w14:paraId="5F514B5F" w14:textId="77777777" w:rsidR="00371402" w:rsidRPr="00B509B1" w:rsidRDefault="00371402" w:rsidP="00371402">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r w:rsidRPr="00B509B1">
        <w:rPr>
          <w:sz w:val="12"/>
        </w:rPr>
        <w:t xml:space="preserve">actually </w:t>
      </w:r>
      <w:r w:rsidRPr="002009A7">
        <w:rPr>
          <w:b/>
          <w:bCs/>
          <w:highlight w:val="green"/>
          <w:u w:val="single"/>
        </w:rPr>
        <w:t>causes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Aarts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is controlled by automatic processes that unfold in the comp</w:t>
      </w:r>
      <w:r w:rsidRPr="005358E8">
        <w:rPr>
          <w:b/>
          <w:bCs/>
          <w:u w:val="single"/>
        </w:rPr>
        <w:t xml:space="preserve">lete </w:t>
      </w:r>
      <w:r w:rsidRPr="002009A7">
        <w:rPr>
          <w:b/>
          <w:bCs/>
          <w:highlight w:val="green"/>
          <w:u w:val="single"/>
        </w:rPr>
        <w:t>absence of consciousness</w:t>
      </w:r>
      <w:r w:rsidRPr="00B509B1">
        <w:rPr>
          <w:sz w:val="12"/>
        </w:rPr>
        <w:t>” (Vierkant et al., 2013).</w:t>
      </w:r>
    </w:p>
    <w:p w14:paraId="4CC56F80" w14:textId="77777777" w:rsidR="00371402" w:rsidRDefault="00371402" w:rsidP="00371402"/>
    <w:p w14:paraId="4D53623B" w14:textId="77777777" w:rsidR="00371402" w:rsidRPr="001B10B2" w:rsidRDefault="00371402" w:rsidP="00371402">
      <w:pPr>
        <w:pStyle w:val="Heading2"/>
      </w:pPr>
      <w:r>
        <w:lastRenderedPageBreak/>
        <w:t>2</w:t>
      </w:r>
    </w:p>
    <w:p w14:paraId="12EC5E62" w14:textId="77777777" w:rsidR="00371402" w:rsidRPr="0049109F" w:rsidRDefault="00371402" w:rsidP="00371402">
      <w:pPr>
        <w:pStyle w:val="Heading4"/>
        <w:rPr>
          <w:rFonts w:cs="Calibri"/>
        </w:rPr>
      </w:pPr>
      <w:r w:rsidRPr="006D797E">
        <w:t xml:space="preserve">Interp: Debaters must disclose round reports on the </w:t>
      </w:r>
      <w:r>
        <w:t>2021</w:t>
      </w:r>
      <w:r w:rsidRPr="009A0BAF">
        <w:t>-</w:t>
      </w:r>
      <w:r>
        <w:t>22</w:t>
      </w:r>
      <w:r w:rsidRPr="009A0BAF">
        <w:t xml:space="preserve"> </w:t>
      </w:r>
      <w:r w:rsidRPr="006D797E">
        <w:t xml:space="preserve">NDCA LD wiki for every </w:t>
      </w:r>
      <w:r w:rsidRPr="0049109F">
        <w:rPr>
          <w:rFonts w:cs="Calibri"/>
        </w:rPr>
        <w:t>round they have debated this season. Round reports disclose which positions (AC, NC, K, T, Theory, etc.) were read/gone for in every speech.</w:t>
      </w:r>
      <w:r>
        <w:rPr>
          <w:rFonts w:cs="Calibri"/>
          <w:noProof/>
        </w:rPr>
        <w:drawing>
          <wp:inline distT="0" distB="0" distL="0" distR="0" wp14:anchorId="0E07B9DB" wp14:editId="5971ADBF">
            <wp:extent cx="9508102" cy="4724400"/>
            <wp:effectExtent l="0" t="0" r="4445"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16 at 9.23.45 AM.png"/>
                    <pic:cNvPicPr/>
                  </pic:nvPicPr>
                  <pic:blipFill>
                    <a:blip r:embed="rId12"/>
                    <a:stretch>
                      <a:fillRect/>
                    </a:stretch>
                  </pic:blipFill>
                  <pic:spPr>
                    <a:xfrm>
                      <a:off x="0" y="0"/>
                      <a:ext cx="9513612" cy="4727138"/>
                    </a:xfrm>
                    <a:prstGeom prst="rect">
                      <a:avLst/>
                    </a:prstGeom>
                  </pic:spPr>
                </pic:pic>
              </a:graphicData>
            </a:graphic>
          </wp:inline>
        </w:drawing>
      </w:r>
    </w:p>
    <w:p w14:paraId="10ED8D20" w14:textId="77777777" w:rsidR="00371402" w:rsidRPr="0049109F" w:rsidRDefault="00371402" w:rsidP="00371402">
      <w:pPr>
        <w:pStyle w:val="Heading4"/>
        <w:rPr>
          <w:rFonts w:cs="Calibri"/>
        </w:rPr>
      </w:pPr>
      <w:r w:rsidRPr="0049109F">
        <w:rPr>
          <w:rFonts w:cs="Calibri"/>
        </w:rPr>
        <w:t xml:space="preserve">Violation: screenshot in the doc – </w:t>
      </w:r>
      <w:r>
        <w:rPr>
          <w:rFonts w:cs="Calibri"/>
        </w:rPr>
        <w:t>they have barely any rounds and none from this tournaey</w:t>
      </w:r>
    </w:p>
    <w:p w14:paraId="044BCEF5" w14:textId="77777777" w:rsidR="00371402" w:rsidRPr="0049109F" w:rsidRDefault="00371402" w:rsidP="00371402">
      <w:pPr>
        <w:pStyle w:val="Heading4"/>
        <w:rPr>
          <w:rFonts w:cs="Calibri"/>
        </w:rPr>
      </w:pPr>
      <w:r w:rsidRPr="0049109F">
        <w:rPr>
          <w:rFonts w:cs="Calibri"/>
        </w:rPr>
        <w:t>Standards:</w:t>
      </w:r>
    </w:p>
    <w:p w14:paraId="6B4F47AC" w14:textId="77777777" w:rsidR="00371402" w:rsidRPr="0049109F" w:rsidRDefault="00371402" w:rsidP="00371402">
      <w:pPr>
        <w:pStyle w:val="Heading4"/>
        <w:rPr>
          <w:rFonts w:cs="Calibri"/>
        </w:rPr>
      </w:pPr>
      <w:r w:rsidRPr="0049109F">
        <w:rPr>
          <w:rFonts w:cs="Calibri"/>
        </w:rPr>
        <w:t>1] Level Playing Field – big schools can go around and scout and collect flows but independents are left in the dark so round reports are key to prep- they give you an idea of overall what layers debaters like going for so you can best prepare your strategy when you hit them. Accessibility first and independent voter – it’s an impact multiplier</w:t>
      </w:r>
    </w:p>
    <w:p w14:paraId="5B7D73F0" w14:textId="77777777" w:rsidR="00371402" w:rsidRPr="0049109F" w:rsidRDefault="00371402" w:rsidP="00371402">
      <w:pPr>
        <w:pStyle w:val="Heading4"/>
        <w:rPr>
          <w:rFonts w:cs="Calibri"/>
        </w:rPr>
      </w:pPr>
      <w:r w:rsidRPr="0049109F">
        <w:rPr>
          <w:rFonts w:cs="Calibri"/>
        </w:rPr>
        <w:lastRenderedPageBreak/>
        <w:t xml:space="preserve">2] Strategy Education – round reports help novices understand the context in which positions are read by good debaters and help with brainstorming potential 1NCs vs affs – helps compensate for kids who can’t afford coaches to prep out affs. </w:t>
      </w:r>
    </w:p>
    <w:p w14:paraId="76D5B219" w14:textId="77777777" w:rsidR="00371402" w:rsidRPr="0049109F" w:rsidRDefault="00371402" w:rsidP="00371402">
      <w:pPr>
        <w:pStyle w:val="Heading4"/>
        <w:rPr>
          <w:rFonts w:eastAsia="Times New Roman" w:cs="Calibri"/>
        </w:rPr>
      </w:pPr>
      <w:r w:rsidRPr="0049109F">
        <w:rPr>
          <w:rFonts w:eastAsia="Times New Roman" w:cs="Calibri"/>
          <w:color w:val="000000"/>
        </w:rPr>
        <w:t>3] Pre-round prep –1ARs gives especially give an idea of what type of debater someone is – they could go for 1AR theory every round– otherwise I enter every round unknowing whereas you have an idea of what you want to go for from the start.</w:t>
      </w:r>
    </w:p>
    <w:p w14:paraId="7F1E6935" w14:textId="77777777" w:rsidR="00371402" w:rsidRDefault="00371402" w:rsidP="00371402"/>
    <w:p w14:paraId="775A66C0" w14:textId="3DBCB93D" w:rsidR="00371402" w:rsidRDefault="00371402" w:rsidP="00371402">
      <w:r>
        <w:t>Voters</w:t>
      </w:r>
    </w:p>
    <w:p w14:paraId="6224BEE5" w14:textId="77777777" w:rsidR="00371402" w:rsidRDefault="00371402" w:rsidP="00371402">
      <w:pPr>
        <w:pStyle w:val="Heading2"/>
      </w:pPr>
      <w:r>
        <w:lastRenderedPageBreak/>
        <w:t>3</w:t>
      </w:r>
    </w:p>
    <w:p w14:paraId="36BC4DCE" w14:textId="77777777" w:rsidR="00371402" w:rsidRPr="0054014E" w:rsidRDefault="00371402" w:rsidP="00371402">
      <w:pPr>
        <w:pStyle w:val="Heading4"/>
        <w:rPr>
          <w:rFonts w:ascii="-webkit-standard" w:hAnsi="-webkit-standard" w:cs="Times New Roman" w:hint="eastAsia"/>
        </w:rPr>
      </w:pPr>
      <w:r w:rsidRPr="0054014E">
        <w:rPr>
          <w:rStyle w:val="s7"/>
          <w:rFonts w:cs="Calibri"/>
          <w:color w:val="000000"/>
        </w:rPr>
        <w:t>A: Interp –</w:t>
      </w:r>
      <w:r w:rsidRPr="0054014E">
        <w:rPr>
          <w:rStyle w:val="apple-converted-space"/>
          <w:rFonts w:cs="Calibri"/>
          <w:color w:val="000000"/>
        </w:rPr>
        <w:t> </w:t>
      </w:r>
      <w:r w:rsidRPr="0054014E">
        <w:rPr>
          <w:rStyle w:val="s7"/>
          <w:rFonts w:cs="Calibri"/>
          <w:color w:val="000000"/>
        </w:rPr>
        <w:t>The affirmative must read all</w:t>
      </w:r>
      <w:r w:rsidRPr="0054014E">
        <w:rPr>
          <w:rStyle w:val="apple-converted-space"/>
          <w:rFonts w:cs="Calibri"/>
          <w:color w:val="000000"/>
        </w:rPr>
        <w:t> </w:t>
      </w:r>
      <w:r w:rsidRPr="0054014E">
        <w:rPr>
          <w:rStyle w:val="s7"/>
          <w:rFonts w:cs="Calibri"/>
          <w:color w:val="000000"/>
        </w:rPr>
        <w:t>arguments concerning fairness or education first in the affirmative speech. To clarify, theory arguments must be read at the top of the affirmative case before all substantive arguments. Evaluate the spirit of my interp to disincentive blippy i-meets.</w:t>
      </w:r>
    </w:p>
    <w:p w14:paraId="71019FEA" w14:textId="77777777" w:rsidR="00371402" w:rsidRPr="0054014E" w:rsidRDefault="00371402" w:rsidP="00371402">
      <w:pPr>
        <w:pStyle w:val="Heading4"/>
        <w:rPr>
          <w:rFonts w:ascii="-webkit-standard" w:hAnsi="-webkit-standard" w:hint="eastAsia"/>
        </w:rPr>
      </w:pPr>
      <w:r w:rsidRPr="0054014E">
        <w:rPr>
          <w:rStyle w:val="s7"/>
          <w:rFonts w:cs="Calibri"/>
          <w:color w:val="000000"/>
        </w:rPr>
        <w:t>B: Violation – Spikes on bottom</w:t>
      </w:r>
    </w:p>
    <w:p w14:paraId="6660CA2B" w14:textId="77777777" w:rsidR="00371402" w:rsidRPr="0054014E" w:rsidRDefault="00371402" w:rsidP="00371402">
      <w:pPr>
        <w:pStyle w:val="Heading4"/>
        <w:rPr>
          <w:rFonts w:ascii="-webkit-standard" w:hAnsi="-webkit-standard" w:hint="eastAsia"/>
        </w:rPr>
      </w:pPr>
      <w:r w:rsidRPr="0054014E">
        <w:rPr>
          <w:rStyle w:val="s7"/>
          <w:rFonts w:cs="Calibri"/>
          <w:color w:val="000000"/>
        </w:rPr>
        <w:t>C. Standards –</w:t>
      </w:r>
      <w:r w:rsidRPr="0054014E">
        <w:rPr>
          <w:rStyle w:val="apple-converted-space"/>
          <w:rFonts w:cs="Calibri"/>
          <w:color w:val="000000"/>
        </w:rPr>
        <w:t> </w:t>
      </w:r>
    </w:p>
    <w:p w14:paraId="2A38BEB2" w14:textId="77777777" w:rsidR="00371402" w:rsidRPr="0054014E" w:rsidRDefault="00371402" w:rsidP="00371402">
      <w:pPr>
        <w:pStyle w:val="Heading4"/>
        <w:rPr>
          <w:rFonts w:ascii="-webkit-standard" w:hAnsi="-webkit-standard" w:hint="eastAsia"/>
        </w:rPr>
      </w:pPr>
      <w:r w:rsidRPr="0054014E">
        <w:rPr>
          <w:rStyle w:val="s7"/>
          <w:rFonts w:cs="Calibri"/>
          <w:color w:val="000000"/>
        </w:rPr>
        <w:t>1. Strat skew – Absent spikes on top, I don’t know what I have to do until after I formulate a strategy which means I will always violate at least one of your spikes. Two impacts a) infinite abuse since ill always violate a norm and b) kills time tradeoff since I’m forced to spend all my prep restarting my strategy. My interp solves and is always net beneficial since I can understand what makes the round fair before I violate which is better for your strategy.</w:t>
      </w:r>
      <w:r w:rsidRPr="0054014E">
        <w:rPr>
          <w:rStyle w:val="apple-converted-space"/>
          <w:rFonts w:cs="Calibri"/>
          <w:color w:val="000000"/>
        </w:rPr>
        <w:t> </w:t>
      </w:r>
    </w:p>
    <w:p w14:paraId="5DF87BCB" w14:textId="77777777" w:rsidR="00371402" w:rsidRPr="0054014E" w:rsidRDefault="00371402" w:rsidP="00371402">
      <w:pPr>
        <w:pStyle w:val="Heading4"/>
        <w:rPr>
          <w:rFonts w:ascii="-webkit-standard" w:hAnsi="-webkit-standard" w:hint="eastAsia"/>
        </w:rPr>
      </w:pPr>
      <w:r w:rsidRPr="0054014E">
        <w:rPr>
          <w:rStyle w:val="s7"/>
          <w:rFonts w:cs="Calibri"/>
          <w:color w:val="000000"/>
        </w:rPr>
        <w:t>2. Substantive engagement – I have to be able to understand the parameters for a fair strategy in order to engage in that strategy. This also allows for a better debate on the substantive layer that you want since I can spend more time thinking about a substantive strategy rather than thinking about a shell I can read on you before I get hit with 8 different spikes.</w:t>
      </w:r>
    </w:p>
    <w:p w14:paraId="20B1FF61" w14:textId="77777777" w:rsidR="00371402" w:rsidRPr="0054014E" w:rsidRDefault="00371402" w:rsidP="00371402"/>
    <w:p w14:paraId="679EDD8A" w14:textId="77777777" w:rsidR="00371402" w:rsidRDefault="00371402" w:rsidP="00371402">
      <w:r>
        <w:t>Xapply voters</w:t>
      </w:r>
    </w:p>
    <w:p w14:paraId="54A5E4E7" w14:textId="77777777" w:rsidR="00371402" w:rsidRDefault="00371402" w:rsidP="00371402"/>
    <w:p w14:paraId="133E7C4C" w14:textId="77777777" w:rsidR="00371402" w:rsidRDefault="00371402" w:rsidP="00371402"/>
    <w:p w14:paraId="5F332E79" w14:textId="77777777" w:rsidR="00371402" w:rsidRPr="00701B3E" w:rsidRDefault="00371402" w:rsidP="00371402"/>
    <w:p w14:paraId="498AC102" w14:textId="77777777" w:rsidR="00371402" w:rsidRDefault="00371402" w:rsidP="00371402"/>
    <w:p w14:paraId="6B1B3687" w14:textId="77777777" w:rsidR="00371402" w:rsidRPr="00722F59" w:rsidRDefault="00371402" w:rsidP="00371402"/>
    <w:p w14:paraId="31804582" w14:textId="77777777" w:rsidR="00E42E4C" w:rsidRPr="00371402" w:rsidRDefault="00E42E4C" w:rsidP="00371402"/>
    <w:sectPr w:rsidR="00E42E4C" w:rsidRPr="0037140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A579A" w14:textId="77777777" w:rsidR="00CB2531" w:rsidRDefault="00CB2531" w:rsidP="00AA64BF">
      <w:pPr>
        <w:spacing w:after="0" w:line="240" w:lineRule="auto"/>
      </w:pPr>
      <w:r>
        <w:separator/>
      </w:r>
    </w:p>
  </w:endnote>
  <w:endnote w:type="continuationSeparator" w:id="0">
    <w:p w14:paraId="477474CC" w14:textId="77777777" w:rsidR="00CB2531" w:rsidRDefault="00CB2531"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182EF" w14:textId="77777777" w:rsidR="00CB2531" w:rsidRDefault="00CB2531" w:rsidP="00AA64BF">
      <w:pPr>
        <w:spacing w:after="0" w:line="240" w:lineRule="auto"/>
      </w:pPr>
      <w:r>
        <w:separator/>
      </w:r>
    </w:p>
  </w:footnote>
  <w:footnote w:type="continuationSeparator" w:id="0">
    <w:p w14:paraId="08740BFB" w14:textId="77777777" w:rsidR="00CB2531" w:rsidRDefault="00CB2531" w:rsidP="00AA64BF">
      <w:pPr>
        <w:spacing w:after="0" w:line="240" w:lineRule="auto"/>
      </w:pPr>
      <w:r>
        <w:continuationSeparator/>
      </w:r>
    </w:p>
  </w:footnote>
  <w:footnote w:id="1">
    <w:p w14:paraId="79235226" w14:textId="77777777" w:rsidR="00371402" w:rsidRDefault="00371402" w:rsidP="00371402">
      <w:pPr>
        <w:pStyle w:val="FootnoteText"/>
      </w:pPr>
      <w:r>
        <w:rPr>
          <w:rStyle w:val="FootnoteReference"/>
        </w:rPr>
        <w:footnoteRef/>
      </w:r>
      <w:r>
        <w:t xml:space="preserve"> </w:t>
      </w:r>
      <w:r w:rsidRPr="00E12C6F">
        <w:t>https://www.grc.nasa.gov/www/k-12/airplane/thermo1.html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833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14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14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14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14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714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14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402"/>
  </w:style>
  <w:style w:type="character" w:customStyle="1" w:styleId="Heading1Char">
    <w:name w:val="Heading 1 Char"/>
    <w:aliases w:val="Pocket Char"/>
    <w:basedOn w:val="DefaultParagraphFont"/>
    <w:link w:val="Heading1"/>
    <w:uiPriority w:val="9"/>
    <w:rsid w:val="003714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14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140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3714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7140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7140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7140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714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71402"/>
    <w:rPr>
      <w:color w:val="auto"/>
      <w:u w:val="none"/>
    </w:rPr>
  </w:style>
  <w:style w:type="paragraph" w:styleId="DocumentMap">
    <w:name w:val="Document Map"/>
    <w:basedOn w:val="Normal"/>
    <w:link w:val="DocumentMapChar"/>
    <w:uiPriority w:val="99"/>
    <w:semiHidden/>
    <w:unhideWhenUsed/>
    <w:rsid w:val="003714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140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88746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6</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40</cp:revision>
  <dcterms:created xsi:type="dcterms:W3CDTF">2021-09-04T20:57:00Z</dcterms:created>
  <dcterms:modified xsi:type="dcterms:W3CDTF">2022-01-16T15:57:00Z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