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D33FC6" w14:textId="77777777" w:rsidR="00A55615" w:rsidRDefault="00A55615" w:rsidP="00A55615">
      <w:pPr>
        <w:pStyle w:val="Heading1"/>
      </w:pPr>
      <w:r>
        <w:t>Blake semis 1nc</w:t>
      </w:r>
    </w:p>
    <w:p w14:paraId="12424DDF" w14:textId="77777777" w:rsidR="00A55615" w:rsidRDefault="00A55615" w:rsidP="00A55615"/>
    <w:p w14:paraId="14B22DAB" w14:textId="77777777" w:rsidR="00A55615" w:rsidRDefault="00A55615" w:rsidP="00A55615"/>
    <w:p w14:paraId="128EC1CE" w14:textId="77777777" w:rsidR="00A55615" w:rsidRDefault="00A55615" w:rsidP="00A55615">
      <w:pPr>
        <w:pStyle w:val="Heading2"/>
      </w:pPr>
      <w:r>
        <w:lastRenderedPageBreak/>
        <w:t>1</w:t>
      </w:r>
    </w:p>
    <w:p w14:paraId="09ADB6A9" w14:textId="77777777" w:rsidR="00A55615" w:rsidRPr="006948C8" w:rsidRDefault="00A55615" w:rsidP="00A55615">
      <w:pPr>
        <w:pStyle w:val="Heading4"/>
        <w:rPr>
          <w:rFonts w:cs="Calibri"/>
          <w:color w:val="000000" w:themeColor="text1"/>
        </w:rPr>
      </w:pPr>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6845150F" w14:textId="77777777" w:rsidR="00A55615" w:rsidRPr="006948C8" w:rsidRDefault="00A55615" w:rsidP="00A55615">
      <w:pPr>
        <w:spacing w:after="0" w:line="240" w:lineRule="auto"/>
        <w:rPr>
          <w:color w:val="000000" w:themeColor="text1"/>
          <w:sz w:val="16"/>
          <w:szCs w:val="16"/>
        </w:rPr>
      </w:pPr>
      <w:r w:rsidRPr="006948C8">
        <w:rPr>
          <w:b/>
          <w:bCs/>
          <w:color w:val="000000" w:themeColor="text1"/>
          <w:sz w:val="26"/>
          <w:szCs w:val="26"/>
        </w:rPr>
        <w:t>Mollow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1"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14:paraId="3D45CBF9" w14:textId="77777777" w:rsidR="00A55615" w:rsidRPr="006948C8" w:rsidRDefault="00A55615" w:rsidP="00A55615">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 xml:space="preserve">“primary narcissism” to the perfect autoerotic pleasure in which the child luxuriates. This pleasure takes place in the absence of a stable self, as the child does not yet conceive of itself </w:t>
      </w:r>
      <w:r w:rsidRPr="006948C8">
        <w:rPr>
          <w:rStyle w:val="Emphasis"/>
          <w:color w:val="000000" w:themeColor="text1"/>
        </w:rPr>
        <w:lastRenderedPageBreak/>
        <w:t>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Siebers’s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lastRenderedPageBreak/>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w:t>
      </w:r>
      <w:r w:rsidRPr="006948C8">
        <w:rPr>
          <w:color w:val="000000" w:themeColor="text1"/>
          <w:sz w:val="14"/>
        </w:rPr>
        <w:lastRenderedPageBreak/>
        <w:t xml:space="preserve">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14:paraId="39AEDC09" w14:textId="77777777" w:rsidR="00A55615" w:rsidRPr="006948C8" w:rsidRDefault="00A55615" w:rsidP="00A55615">
      <w:pPr>
        <w:pStyle w:val="Heading4"/>
        <w:rPr>
          <w:rFonts w:cs="Calibri"/>
          <w:color w:val="000000" w:themeColor="text1"/>
        </w:rPr>
      </w:pPr>
      <w:r w:rsidRPr="006948C8">
        <w:rPr>
          <w:rFonts w:cs="Calibri"/>
          <w:color w:val="000000" w:themeColor="text1"/>
        </w:rPr>
        <w:t>The affirmative’s politics are tied to a rehabilitative futurism where the signifier of the fantasmatic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14:paraId="043C112D" w14:textId="77777777" w:rsidR="00A55615" w:rsidRPr="006948C8" w:rsidRDefault="00A55615" w:rsidP="00A55615">
      <w:pPr>
        <w:spacing w:after="0" w:line="240" w:lineRule="auto"/>
        <w:rPr>
          <w:color w:val="000000" w:themeColor="text1"/>
          <w:sz w:val="16"/>
          <w:szCs w:val="16"/>
        </w:rPr>
      </w:pPr>
      <w:r w:rsidRPr="006948C8">
        <w:rPr>
          <w:b/>
          <w:bCs/>
          <w:color w:val="000000" w:themeColor="text1"/>
          <w:sz w:val="26"/>
          <w:szCs w:val="26"/>
        </w:rPr>
        <w:t>Mollow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2"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14:paraId="0F6B9EE7" w14:textId="77777777" w:rsidR="00A55615" w:rsidRDefault="00A55615" w:rsidP="00A55615">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t>
      </w:r>
      <w:r w:rsidRPr="006948C8">
        <w:rPr>
          <w:color w:val="000000" w:themeColor="text1"/>
          <w:sz w:val="14"/>
        </w:rPr>
        <w:lastRenderedPageBreak/>
        <w:t xml:space="preserve">“Who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a fantasmatic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2EBBB632" w14:textId="77777777" w:rsidR="00A55615" w:rsidRPr="006948C8" w:rsidRDefault="00A55615" w:rsidP="00A55615">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7249716E" w14:textId="77777777" w:rsidR="00A55615" w:rsidRPr="006948C8" w:rsidRDefault="00A55615" w:rsidP="00A55615">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 SJCP//JG</w:t>
      </w:r>
    </w:p>
    <w:p w14:paraId="06917DEE" w14:textId="77777777" w:rsidR="00A55615" w:rsidRPr="006948C8" w:rsidRDefault="00A55615" w:rsidP="00A55615">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liveability.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ablebodiedness is implicated in the very foundations of social theory, therapeutic jurisprudence, advocacy, medicine and law; or in the mappings of human anatomy. Summarised by Campbell (2001, 44) </w:t>
      </w:r>
      <w:r w:rsidRPr="006948C8">
        <w:rPr>
          <w:rStyle w:val="Emphasis"/>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xml:space="preserve">. This in turn enacts bodily Otherness rendered sometimes as the ‘disabled’, </w:t>
      </w:r>
      <w:r w:rsidRPr="006948C8">
        <w:rPr>
          <w:sz w:val="14"/>
        </w:rPr>
        <w:lastRenderedPageBreak/>
        <w:t>‘perverted’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1698B568" w14:textId="77777777" w:rsidR="00A55615" w:rsidRPr="006948C8" w:rsidRDefault="00A55615" w:rsidP="00A55615">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14:paraId="7B74151E" w14:textId="77777777" w:rsidR="00A55615" w:rsidRPr="006948C8" w:rsidRDefault="00A55615" w:rsidP="00A55615">
      <w:r w:rsidRPr="006948C8">
        <w:rPr>
          <w:rFonts w:eastAsiaTheme="majorEastAsia"/>
          <w:b/>
          <w:bCs/>
          <w:sz w:val="26"/>
          <w:szCs w:val="26"/>
        </w:rPr>
        <w:t>Selck 16</w:t>
      </w:r>
      <w:r w:rsidRPr="006948C8">
        <w:t xml:space="preserve"> </w:t>
      </w:r>
      <w:r w:rsidRPr="006948C8">
        <w:rPr>
          <w:sz w:val="16"/>
          <w:szCs w:val="16"/>
        </w:rPr>
        <w:t>Michael (2016): Crip Pessimism: The Language of Dis/ability and the Culture that Isn't, Southern Illinois University Carbondale, SJCP//JG</w:t>
      </w:r>
    </w:p>
    <w:p w14:paraId="2F5B24E6" w14:textId="77777777" w:rsidR="00A55615" w:rsidRPr="006948C8" w:rsidRDefault="00A55615" w:rsidP="00A55615">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w:t>
      </w:r>
      <w:r w:rsidRPr="006948C8">
        <w:rPr>
          <w:sz w:val="14"/>
        </w:rPr>
        <w:lastRenderedPageBreak/>
        <w:t xml:space="preserve">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 xml:space="preserve">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w:t>
      </w:r>
      <w:r w:rsidRPr="006948C8">
        <w:rPr>
          <w:rStyle w:val="Emphasis"/>
        </w:rPr>
        <w:lastRenderedPageBreak/>
        <w:t>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14:paraId="56A34EEA" w14:textId="77777777" w:rsidR="00A55615" w:rsidRPr="006948C8" w:rsidRDefault="00A55615" w:rsidP="00A55615">
      <w:pPr>
        <w:pStyle w:val="Heading4"/>
        <w:rPr>
          <w:rFonts w:cs="Calibri"/>
        </w:rPr>
      </w:pPr>
      <w:r w:rsidRPr="006948C8">
        <w:rPr>
          <w:rFonts w:cs="Calibri"/>
        </w:rPr>
        <w:t>Psychoanalysis is both falsifiable and accurate – studies prove.</w:t>
      </w:r>
    </w:p>
    <w:p w14:paraId="52174C29" w14:textId="77777777" w:rsidR="00A55615" w:rsidRPr="006948C8" w:rsidRDefault="00A55615" w:rsidP="00A55615">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62D1A2F9" w14:textId="77777777" w:rsidR="00A55615" w:rsidRDefault="00A55615" w:rsidP="00A55615">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14:paraId="5151D0C5" w14:textId="77777777" w:rsidR="00A55615" w:rsidRDefault="00A55615" w:rsidP="00A55615">
      <w:pPr>
        <w:rPr>
          <w:rFonts w:eastAsiaTheme="majorEastAsia" w:cstheme="majorBidi"/>
          <w:b/>
          <w:bCs/>
          <w:sz w:val="44"/>
          <w:szCs w:val="44"/>
          <w:u w:val="double"/>
        </w:rPr>
      </w:pPr>
    </w:p>
    <w:p w14:paraId="4AC304C2" w14:textId="77777777" w:rsidR="00A55615" w:rsidRDefault="00A55615" w:rsidP="00A55615">
      <w:pPr>
        <w:pStyle w:val="Heading2"/>
      </w:pPr>
      <w:r>
        <w:lastRenderedPageBreak/>
        <w:t>2</w:t>
      </w:r>
    </w:p>
    <w:p w14:paraId="369A7599" w14:textId="77777777" w:rsidR="00A55615" w:rsidRDefault="00A55615" w:rsidP="00A55615">
      <w:pPr>
        <w:pStyle w:val="Heading4"/>
      </w:pPr>
      <w:r>
        <w:t xml:space="preserve">Interp: The affirmative must define “private entities” in a delimited text in the 1AC.  </w:t>
      </w:r>
    </w:p>
    <w:p w14:paraId="5E9E305E" w14:textId="77777777" w:rsidR="00A55615" w:rsidRPr="000B1628" w:rsidRDefault="00A55615" w:rsidP="00A55615">
      <w:pPr>
        <w:pStyle w:val="Heading4"/>
        <w:rPr>
          <w:rFonts w:cs="Calibri"/>
        </w:rPr>
      </w:pPr>
      <w:r w:rsidRPr="00831D2B">
        <w:rPr>
          <w:rFonts w:cs="Calibri"/>
        </w:rPr>
        <w:t>“</w:t>
      </w:r>
      <w:r>
        <w:rPr>
          <w:rFonts w:cs="Calibri"/>
        </w:rPr>
        <w:t>Private Entities</w:t>
      </w:r>
      <w:r w:rsidRPr="00831D2B">
        <w:rPr>
          <w:rFonts w:cs="Calibri"/>
        </w:rPr>
        <w:t xml:space="preserve">” </w:t>
      </w:r>
      <w:r>
        <w:rPr>
          <w:rFonts w:cs="Calibri"/>
        </w:rPr>
        <w:t xml:space="preserve">are </w:t>
      </w:r>
      <w:r w:rsidRPr="00831D2B">
        <w:rPr>
          <w:rFonts w:cs="Calibri"/>
        </w:rPr>
        <w:t xml:space="preserve">flexible </w:t>
      </w:r>
      <w:r>
        <w:rPr>
          <w:rFonts w:cs="Calibri"/>
        </w:rPr>
        <w:t>and has</w:t>
      </w:r>
      <w:r w:rsidRPr="00831D2B">
        <w:rPr>
          <w:rFonts w:cs="Calibri"/>
        </w:rPr>
        <w:t xml:space="preserve"> too many interps</w:t>
      </w:r>
      <w:r>
        <w:rPr>
          <w:rFonts w:cs="Calibri"/>
        </w:rPr>
        <w:t xml:space="preserve"> </w:t>
      </w:r>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w:t>
      </w:r>
    </w:p>
    <w:p w14:paraId="75B2726B" w14:textId="77777777" w:rsidR="00A55615" w:rsidRDefault="00A55615" w:rsidP="00A55615">
      <w:r w:rsidRPr="007B0AB4">
        <w:rPr>
          <w:rStyle w:val="Style13ptBold"/>
        </w:rPr>
        <w:t>UpCounsel ND</w:t>
      </w:r>
      <w:r>
        <w:t xml:space="preserve"> [“</w:t>
      </w:r>
      <w:r w:rsidRPr="002A14C0">
        <w:t>Private Entity: Everything You Need to Know</w:t>
      </w:r>
      <w:r>
        <w:t xml:space="preserve">”. </w:t>
      </w:r>
      <w:r w:rsidRPr="002A14C0">
        <w:t xml:space="preserve">UpCounsel </w:t>
      </w:r>
      <w:r>
        <w:t>(</w:t>
      </w:r>
      <w:r w:rsidRPr="002A14C0">
        <w:t>interactive online service that makes it faster and easier for businesses to find and hire legal help</w:t>
      </w:r>
      <w:r>
        <w:t xml:space="preserve">). No Date. Accessed 12/17/21. </w:t>
      </w:r>
      <w:hyperlink r:id="rId13" w:history="1">
        <w:r w:rsidRPr="00474713">
          <w:rPr>
            <w:rStyle w:val="Hyperlink"/>
          </w:rPr>
          <w:t>https://www.upcounsel.com/private-entity</w:t>
        </w:r>
      </w:hyperlink>
      <w:r>
        <w:t xml:space="preserve"> //Xu]</w:t>
      </w:r>
    </w:p>
    <w:p w14:paraId="59DC5EC4" w14:textId="77777777" w:rsidR="00A55615" w:rsidRDefault="00A55615" w:rsidP="00A55615">
      <w:r w:rsidRPr="00500A80">
        <w:rPr>
          <w:rStyle w:val="Emphasis"/>
        </w:rPr>
        <w:t xml:space="preserve">A </w:t>
      </w:r>
      <w:r w:rsidRPr="003437FA">
        <w:rPr>
          <w:rStyle w:val="Emphasis"/>
          <w:highlight w:val="green"/>
        </w:rPr>
        <w:t>private entity can be</w:t>
      </w:r>
      <w:r w:rsidRPr="00500A80">
        <w:rPr>
          <w:rStyle w:val="Emphasis"/>
        </w:rPr>
        <w:t xml:space="preserve"> a </w:t>
      </w:r>
      <w:r w:rsidRPr="003437FA">
        <w:rPr>
          <w:rStyle w:val="Emphasis"/>
          <w:highlight w:val="green"/>
        </w:rPr>
        <w:t>partnership</w:t>
      </w:r>
      <w:r w:rsidRPr="00500A80">
        <w:rPr>
          <w:rStyle w:val="Emphasis"/>
        </w:rPr>
        <w:t xml:space="preserve">, </w:t>
      </w:r>
      <w:r w:rsidRPr="003437FA">
        <w:rPr>
          <w:rStyle w:val="Emphasis"/>
          <w:highlight w:val="green"/>
        </w:rPr>
        <w:t>corporation</w:t>
      </w:r>
      <w:r w:rsidRPr="00500A80">
        <w:rPr>
          <w:rStyle w:val="Emphasis"/>
        </w:rPr>
        <w:t xml:space="preserve">, </w:t>
      </w:r>
      <w:r w:rsidRPr="003437FA">
        <w:rPr>
          <w:rStyle w:val="Emphasis"/>
          <w:highlight w:val="green"/>
        </w:rPr>
        <w:t>individual</w:t>
      </w:r>
      <w:r w:rsidRPr="00500A80">
        <w:rPr>
          <w:rStyle w:val="Emphasis"/>
        </w:rPr>
        <w:t xml:space="preserve">, </w:t>
      </w:r>
      <w:r w:rsidRPr="003437FA">
        <w:rPr>
          <w:rStyle w:val="Emphasis"/>
          <w:highlight w:val="green"/>
        </w:rPr>
        <w:t>nonprofit</w:t>
      </w:r>
      <w:r w:rsidRPr="00500A80">
        <w:rPr>
          <w:rStyle w:val="Emphasis"/>
        </w:rPr>
        <w:t xml:space="preserve"> organization, </w:t>
      </w:r>
      <w:r w:rsidRPr="003437FA">
        <w:rPr>
          <w:rStyle w:val="Emphasis"/>
          <w:highlight w:val="green"/>
        </w:rPr>
        <w:t>company</w:t>
      </w:r>
      <w:r w:rsidRPr="00500A80">
        <w:rPr>
          <w:rStyle w:val="Emphasis"/>
        </w:rPr>
        <w:t>, or any other organized group that is not government-affiliated.</w:t>
      </w:r>
      <w:r>
        <w:t xml:space="preserve"> Indian tribes and foreign public entities are not considered private entities.</w:t>
      </w:r>
    </w:p>
    <w:p w14:paraId="762C749E" w14:textId="77777777" w:rsidR="00A55615" w:rsidRDefault="00A55615" w:rsidP="00A55615">
      <w:r>
        <w:t>Unlike publicly traded companies, private companies do not have public stock offerings on Nasdaq, American Stock Exchange, or the New York Stock Exchange. Instead, they offer shares privately to interested investors, who may trade among themselves.</w:t>
      </w:r>
    </w:p>
    <w:p w14:paraId="2282D56D" w14:textId="77777777" w:rsidR="00A55615" w:rsidRDefault="00A55615" w:rsidP="00A55615">
      <w:r>
        <w:t>Private Company vs. Private Entity</w:t>
      </w:r>
    </w:p>
    <w:p w14:paraId="10426C2D" w14:textId="77777777" w:rsidR="00A55615" w:rsidRDefault="00A55615" w:rsidP="00A55615">
      <w:r>
        <w:t>The Companies Act of 2013 governs the registration of private companies.</w:t>
      </w:r>
    </w:p>
    <w:p w14:paraId="5F3CA8F4" w14:textId="77777777" w:rsidR="00A55615" w:rsidRDefault="00A55615" w:rsidP="00A55615">
      <w:r>
        <w:t>This type of company is formed by following the steps laid out by this law.</w:t>
      </w:r>
    </w:p>
    <w:p w14:paraId="352A71BB" w14:textId="77777777" w:rsidR="00A55615" w:rsidRDefault="00A55615" w:rsidP="00A55615">
      <w:r>
        <w:t>Private entities are determined not by this law but by ownership and holding. For example, sole proprietorships and partnerships are designed as private entities.</w:t>
      </w:r>
    </w:p>
    <w:p w14:paraId="3859EBA6" w14:textId="77777777" w:rsidR="00A55615" w:rsidRDefault="00A55615" w:rsidP="00A55615">
      <w:r>
        <w:t>A private entity is not necessarily a private company, but all private companies are private entities.</w:t>
      </w:r>
    </w:p>
    <w:p w14:paraId="6CB21B8A" w14:textId="77777777" w:rsidR="00A55615" w:rsidRDefault="00A55615" w:rsidP="00A55615">
      <w:r>
        <w:t>How Private Entities Work</w:t>
      </w:r>
    </w:p>
    <w:p w14:paraId="07D76DFB" w14:textId="77777777" w:rsidR="00A55615" w:rsidRDefault="00A55615" w:rsidP="00A55615">
      <w:pPr>
        <w:rPr>
          <w:rStyle w:val="Emphasis"/>
        </w:rPr>
      </w:pPr>
      <w:r>
        <w:t xml:space="preserve">Although private companies can be of any size, they often include a small group of chosen investors who may include employees, colleagues, friends and family, and other interested parties. If this type of company needs funding to grow, it may seek it from venture capital firms or from large institutional investors. </w:t>
      </w:r>
      <w:r w:rsidRPr="003437FA">
        <w:rPr>
          <w:rStyle w:val="Emphasis"/>
          <w:highlight w:val="green"/>
        </w:rPr>
        <w:t>Some</w:t>
      </w:r>
      <w:r w:rsidRPr="00500A80">
        <w:rPr>
          <w:rStyle w:val="Emphasis"/>
        </w:rPr>
        <w:t xml:space="preserve"> private companies eventually decide to </w:t>
      </w:r>
      <w:r w:rsidRPr="003437FA">
        <w:rPr>
          <w:rStyle w:val="Emphasis"/>
          <w:highlight w:val="green"/>
        </w:rPr>
        <w:t>go public with</w:t>
      </w:r>
      <w:r w:rsidRPr="00500A80">
        <w:rPr>
          <w:rStyle w:val="Emphasis"/>
        </w:rPr>
        <w:t xml:space="preserve"> an initial public offering (</w:t>
      </w:r>
      <w:r w:rsidRPr="003437FA">
        <w:rPr>
          <w:rStyle w:val="Emphasis"/>
          <w:highlight w:val="green"/>
        </w:rPr>
        <w:t>IPO</w:t>
      </w:r>
      <w:r w:rsidRPr="00500A80">
        <w:rPr>
          <w:rStyle w:val="Emphasis"/>
        </w:rPr>
        <w:t xml:space="preserve">) of stock shares on a public exchange. </w:t>
      </w:r>
      <w:r w:rsidRPr="003437FA">
        <w:rPr>
          <w:rStyle w:val="Emphasis"/>
          <w:highlight w:val="green"/>
        </w:rPr>
        <w:t>Some</w:t>
      </w:r>
      <w:r w:rsidRPr="00500A80">
        <w:rPr>
          <w:rStyle w:val="Emphasis"/>
        </w:rPr>
        <w:t xml:space="preserve">times, public companies </w:t>
      </w:r>
      <w:r w:rsidRPr="003437FA">
        <w:rPr>
          <w:rStyle w:val="Emphasis"/>
          <w:highlight w:val="green"/>
        </w:rPr>
        <w:t>go private</w:t>
      </w:r>
      <w:r w:rsidRPr="00500A80">
        <w:rPr>
          <w:rStyle w:val="Emphasis"/>
        </w:rPr>
        <w:t xml:space="preserve"> </w:t>
      </w:r>
      <w:r w:rsidRPr="003437FA">
        <w:rPr>
          <w:rStyle w:val="Emphasis"/>
          <w:highlight w:val="green"/>
        </w:rPr>
        <w:t>when</w:t>
      </w:r>
      <w:r w:rsidRPr="00500A80">
        <w:rPr>
          <w:rStyle w:val="Emphasis"/>
        </w:rPr>
        <w:t xml:space="preserve"> a </w:t>
      </w:r>
      <w:r w:rsidRPr="003437FA">
        <w:rPr>
          <w:rStyle w:val="Emphasis"/>
          <w:highlight w:val="green"/>
        </w:rPr>
        <w:t>large investor</w:t>
      </w:r>
      <w:r w:rsidRPr="00500A80">
        <w:rPr>
          <w:rStyle w:val="Emphasis"/>
        </w:rPr>
        <w:t xml:space="preserve"> buys a bulk of the outstanding stock shares and plans to remove them from public exchanges.</w:t>
      </w:r>
    </w:p>
    <w:p w14:paraId="6EA2D893" w14:textId="77777777" w:rsidR="00A55615" w:rsidRDefault="00A55615" w:rsidP="00A55615">
      <w:r>
        <w:t>How FOIA Affects Private Entities</w:t>
      </w:r>
    </w:p>
    <w:p w14:paraId="785B678D" w14:textId="77777777" w:rsidR="00A55615" w:rsidRDefault="00A55615" w:rsidP="00A55615">
      <w:r>
        <w:t>The Freedom of Information Act (FOIA) is a federal law that requires certain agencies to provide certain types of records to any person who asks. Major government bodies such as federal courts and Congress are exempt from FOIA. Some state agencies are also exempt depending on state laws governing public records. In general, FOIA applies to:</w:t>
      </w:r>
    </w:p>
    <w:p w14:paraId="65A078A4" w14:textId="77777777" w:rsidR="00A55615" w:rsidRDefault="00A55615" w:rsidP="00A55615">
      <w:r>
        <w:lastRenderedPageBreak/>
        <w:t>Federal, state, and local government agencies, such as the Federal Communications Commission.</w:t>
      </w:r>
    </w:p>
    <w:p w14:paraId="5841257C" w14:textId="77777777" w:rsidR="00A55615" w:rsidRDefault="00A55615" w:rsidP="00A55615">
      <w:r>
        <w:t>Certain state legislatures depending on the laws in those states.</w:t>
      </w:r>
    </w:p>
    <w:p w14:paraId="5647F431" w14:textId="77777777" w:rsidR="00A55615" w:rsidRDefault="00A55615" w:rsidP="00A55615">
      <w:r w:rsidRPr="003437FA">
        <w:rPr>
          <w:rStyle w:val="Emphasis"/>
          <w:highlight w:val="green"/>
        </w:rPr>
        <w:t>Most</w:t>
      </w:r>
      <w:r w:rsidRPr="004E2AD3">
        <w:rPr>
          <w:rStyle w:val="Emphasis"/>
        </w:rPr>
        <w:t xml:space="preserve"> private entities </w:t>
      </w:r>
      <w:r w:rsidRPr="003437FA">
        <w:rPr>
          <w:rStyle w:val="Emphasis"/>
          <w:highlight w:val="green"/>
        </w:rPr>
        <w:t>are not bound by</w:t>
      </w:r>
      <w:r w:rsidRPr="004E2AD3">
        <w:rPr>
          <w:rStyle w:val="Emphasis"/>
        </w:rPr>
        <w:t xml:space="preserve"> federal </w:t>
      </w:r>
      <w:r w:rsidRPr="003437FA">
        <w:rPr>
          <w:rStyle w:val="Emphasis"/>
          <w:highlight w:val="green"/>
        </w:rPr>
        <w:t>FOIA laws</w:t>
      </w:r>
      <w:r w:rsidRPr="004E2AD3">
        <w:rPr>
          <w:rStyle w:val="Emphasis"/>
        </w:rPr>
        <w:t xml:space="preserve">. </w:t>
      </w:r>
      <w:r w:rsidRPr="003437FA">
        <w:rPr>
          <w:rStyle w:val="Emphasis"/>
          <w:highlight w:val="green"/>
        </w:rPr>
        <w:t>However</w:t>
      </w:r>
      <w:r w:rsidRPr="004E2AD3">
        <w:rPr>
          <w:rStyle w:val="Emphasis"/>
        </w:rPr>
        <w:t xml:space="preserve">, these laws </w:t>
      </w:r>
      <w:r w:rsidRPr="003437FA">
        <w:rPr>
          <w:rStyle w:val="Emphasis"/>
          <w:highlight w:val="green"/>
        </w:rPr>
        <w:t>may apply to</w:t>
      </w:r>
      <w:r w:rsidRPr="004E2AD3">
        <w:rPr>
          <w:rStyle w:val="Emphasis"/>
        </w:rPr>
        <w:t xml:space="preserve"> private </w:t>
      </w:r>
      <w:r w:rsidRPr="003437FA">
        <w:rPr>
          <w:rStyle w:val="Emphasis"/>
          <w:highlight w:val="green"/>
        </w:rPr>
        <w:t>entities involved in government business</w:t>
      </w:r>
      <w:r w:rsidRPr="004E2AD3">
        <w:rPr>
          <w:rStyle w:val="Emphasis"/>
        </w:rPr>
        <w:t>.</w:t>
      </w:r>
      <w:r>
        <w:t xml:space="preserve"> This situation occurred in Colorado in 2000, when a nonprofit corporation was required by the state's Court of Appeals to share documents related to a project it was working on with the city of Denver.</w:t>
      </w:r>
    </w:p>
    <w:p w14:paraId="216FD617" w14:textId="77777777" w:rsidR="00A55615" w:rsidRDefault="00A55615" w:rsidP="00A55615">
      <w:pPr>
        <w:pStyle w:val="Heading4"/>
      </w:pPr>
      <w:r w:rsidRPr="00831D2B">
        <w:rPr>
          <w:rFonts w:cs="Calibri"/>
        </w:rPr>
        <w:t>Violation – you don’t.</w:t>
      </w:r>
    </w:p>
    <w:p w14:paraId="5A750579" w14:textId="77777777" w:rsidR="00A55615" w:rsidRPr="00831D2B" w:rsidRDefault="00A55615" w:rsidP="00A55615">
      <w:pPr>
        <w:pStyle w:val="Heading4"/>
        <w:spacing w:line="240" w:lineRule="auto"/>
        <w:rPr>
          <w:rFonts w:cs="Calibri"/>
        </w:rPr>
      </w:pPr>
      <w:r>
        <w:rPr>
          <w:rFonts w:cs="Calibri"/>
        </w:rPr>
        <w:t xml:space="preserve">Prefer – </w:t>
      </w:r>
    </w:p>
    <w:p w14:paraId="565FD9FB" w14:textId="77777777" w:rsidR="00A55615" w:rsidRPr="002B6529" w:rsidRDefault="00A55615" w:rsidP="00A55615">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 xml:space="preserve">kills high-quality engagement. </w:t>
      </w:r>
      <w:r>
        <w:t>We lose access to Tech Race DA’s, Asteroid DA’s, basic case turns, and core process counter plans that have different definitions and 1NC pre-round prep.</w:t>
      </w:r>
    </w:p>
    <w:p w14:paraId="363A6905" w14:textId="77777777" w:rsidR="00A55615" w:rsidRDefault="00A55615" w:rsidP="00A55615">
      <w:pPr>
        <w:pStyle w:val="Heading4"/>
        <w:spacing w:line="240" w:lineRule="auto"/>
      </w:pPr>
      <w:r>
        <w:rPr>
          <w:rFonts w:eastAsia="SimSun" w:cs="Times New Roman"/>
        </w:rPr>
        <w:t xml:space="preserve">2] </w:t>
      </w:r>
      <w:r w:rsidRPr="00551866">
        <w:rPr>
          <w:u w:val="single"/>
        </w:rPr>
        <w:t>Real World</w:t>
      </w:r>
      <w:r>
        <w:t xml:space="preserve"> – Policy makers will always define the entity that they are recognizing. It also means zero solvency, absent spec, private entities can circumvent since there is no delineated way to enforce the aff and means their solvency can’t actualize. </w:t>
      </w:r>
    </w:p>
    <w:p w14:paraId="79DBC1CD" w14:textId="77777777" w:rsidR="00A55615" w:rsidRDefault="00A55615" w:rsidP="00A55615"/>
    <w:p w14:paraId="7EA6BF45" w14:textId="77777777" w:rsidR="00A55615" w:rsidRPr="004B4633" w:rsidRDefault="00A55615" w:rsidP="00A55615">
      <w:pPr>
        <w:pStyle w:val="Heading4"/>
        <w:rPr>
          <w:rFonts w:ascii="Times New Roman" w:hAnsi="Times New Roman" w:cs="Times New Roman"/>
          <w:sz w:val="24"/>
        </w:rPr>
      </w:pPr>
      <w:r w:rsidRPr="004B4633">
        <w:t>Fairness –Skews ability to evaluate substance – if one debater had ten minutes to speak and the other had three there would be incongruence that alters ability to judge the winner</w:t>
      </w:r>
    </w:p>
    <w:p w14:paraId="5E04A630" w14:textId="77777777" w:rsidR="00A55615" w:rsidRPr="0049109F" w:rsidRDefault="00A55615" w:rsidP="00A55615">
      <w:pPr>
        <w:spacing w:before="30" w:after="0"/>
        <w:rPr>
          <w:color w:val="000000"/>
          <w:sz w:val="26"/>
          <w:szCs w:val="26"/>
        </w:rPr>
      </w:pPr>
    </w:p>
    <w:p w14:paraId="73685D78" w14:textId="77777777" w:rsidR="00A55615" w:rsidRDefault="00A55615" w:rsidP="00A55615">
      <w:pPr>
        <w:spacing w:before="30" w:after="0"/>
        <w:rPr>
          <w:rStyle w:val="s7"/>
          <w:rFonts w:eastAsiaTheme="majorEastAsia"/>
          <w:b/>
          <w:bCs/>
          <w:color w:val="000000"/>
          <w:sz w:val="26"/>
          <w:szCs w:val="26"/>
        </w:rPr>
      </w:pPr>
      <w:r w:rsidRPr="0049109F">
        <w:rPr>
          <w:rStyle w:val="s7"/>
          <w:rFonts w:eastAsiaTheme="majorEastAsia"/>
          <w:b/>
          <w:bCs/>
          <w:color w:val="000000"/>
          <w:sz w:val="26"/>
          <w:szCs w:val="26"/>
        </w:rPr>
        <w:t>Education – it’s the only portable skill in debate</w:t>
      </w:r>
    </w:p>
    <w:p w14:paraId="05D6C33A" w14:textId="77777777" w:rsidR="00A55615" w:rsidRPr="0049109F" w:rsidRDefault="00A55615" w:rsidP="00A55615">
      <w:pPr>
        <w:spacing w:before="30" w:after="0"/>
        <w:rPr>
          <w:color w:val="000000"/>
          <w:sz w:val="26"/>
          <w:szCs w:val="26"/>
        </w:rPr>
      </w:pPr>
    </w:p>
    <w:p w14:paraId="1B0C3AA6" w14:textId="77777777" w:rsidR="00A55615" w:rsidRPr="0049109F" w:rsidRDefault="00A55615" w:rsidP="00A55615">
      <w:pPr>
        <w:spacing w:before="30" w:after="0"/>
        <w:rPr>
          <w:color w:val="000000"/>
          <w:sz w:val="26"/>
          <w:szCs w:val="26"/>
        </w:rPr>
      </w:pPr>
      <w:r w:rsidRPr="0049109F">
        <w:rPr>
          <w:rStyle w:val="s7"/>
          <w:rFonts w:eastAsiaTheme="majorEastAsia"/>
          <w:b/>
          <w:bCs/>
          <w:color w:val="000000"/>
          <w:sz w:val="26"/>
          <w:szCs w:val="26"/>
        </w:rPr>
        <w:t>DTD – </w:t>
      </w:r>
    </w:p>
    <w:p w14:paraId="3F32BD15" w14:textId="77777777" w:rsidR="00A55615" w:rsidRPr="0049109F" w:rsidRDefault="00A55615" w:rsidP="00A55615">
      <w:pPr>
        <w:spacing w:before="30" w:after="0"/>
        <w:rPr>
          <w:color w:val="000000"/>
          <w:sz w:val="26"/>
          <w:szCs w:val="26"/>
        </w:rPr>
      </w:pPr>
      <w:r w:rsidRPr="0049109F">
        <w:rPr>
          <w:rStyle w:val="s7"/>
          <w:rFonts w:eastAsiaTheme="majorEastAsia"/>
          <w:b/>
          <w:bCs/>
          <w:color w:val="000000"/>
          <w:sz w:val="26"/>
          <w:szCs w:val="26"/>
        </w:rPr>
        <w:t>a) Deters future abuse</w:t>
      </w:r>
    </w:p>
    <w:p w14:paraId="188CB31C" w14:textId="77777777" w:rsidR="00A55615" w:rsidRPr="0049109F" w:rsidRDefault="00A55615" w:rsidP="00A55615">
      <w:pPr>
        <w:spacing w:before="30" w:after="0"/>
        <w:rPr>
          <w:color w:val="000000"/>
          <w:sz w:val="26"/>
          <w:szCs w:val="26"/>
        </w:rPr>
      </w:pPr>
      <w:r w:rsidRPr="0049109F">
        <w:rPr>
          <w:rStyle w:val="s7"/>
          <w:rFonts w:eastAsiaTheme="majorEastAsia"/>
          <w:b/>
          <w:bCs/>
          <w:color w:val="000000"/>
          <w:sz w:val="26"/>
          <w:szCs w:val="26"/>
        </w:rPr>
        <w:t>b) Rectifies time loss</w:t>
      </w:r>
    </w:p>
    <w:p w14:paraId="68C002E6" w14:textId="77777777" w:rsidR="00A55615" w:rsidRPr="0049109F" w:rsidRDefault="00A55615" w:rsidP="00A55615">
      <w:pPr>
        <w:spacing w:before="30" w:after="0"/>
        <w:rPr>
          <w:color w:val="000000"/>
          <w:sz w:val="26"/>
          <w:szCs w:val="26"/>
        </w:rPr>
      </w:pPr>
      <w:r w:rsidRPr="0049109F">
        <w:rPr>
          <w:rStyle w:val="s7"/>
          <w:rFonts w:eastAsiaTheme="majorEastAsia"/>
          <w:b/>
          <w:bCs/>
          <w:color w:val="000000"/>
          <w:sz w:val="26"/>
          <w:szCs w:val="26"/>
        </w:rPr>
        <w:t>c) DTA encourages baiting – Debaters could fill their cases w/ abusive args, baiting theory and then just drop the argument in the next speech and go for undercovered substance</w:t>
      </w:r>
    </w:p>
    <w:p w14:paraId="41B11B8D" w14:textId="77777777" w:rsidR="00A55615" w:rsidRDefault="00A55615" w:rsidP="00A55615"/>
    <w:p w14:paraId="0D8D00DD" w14:textId="77777777" w:rsidR="00A55615" w:rsidRDefault="00A55615" w:rsidP="00A55615"/>
    <w:p w14:paraId="57E05BDB" w14:textId="77777777" w:rsidR="00A55615" w:rsidRPr="004E10F2" w:rsidRDefault="00A55615" w:rsidP="00A55615"/>
    <w:p w14:paraId="31804582" w14:textId="77777777" w:rsidR="00E42E4C" w:rsidRPr="00A55615" w:rsidRDefault="00E42E4C" w:rsidP="00A55615"/>
    <w:sectPr w:rsidR="00E42E4C" w:rsidRPr="00A5561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5FF143" w14:textId="77777777" w:rsidR="002B4208" w:rsidRDefault="002B4208" w:rsidP="00AA64BF">
      <w:pPr>
        <w:spacing w:after="0" w:line="240" w:lineRule="auto"/>
      </w:pPr>
      <w:r>
        <w:separator/>
      </w:r>
    </w:p>
  </w:endnote>
  <w:endnote w:type="continuationSeparator" w:id="0">
    <w:p w14:paraId="5FFF1D90" w14:textId="77777777" w:rsidR="002B4208" w:rsidRDefault="002B4208"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CE2B08" w14:textId="77777777" w:rsidR="002B4208" w:rsidRDefault="002B4208" w:rsidP="00AA64BF">
      <w:pPr>
        <w:spacing w:after="0" w:line="240" w:lineRule="auto"/>
      </w:pPr>
      <w:r>
        <w:separator/>
      </w:r>
    </w:p>
  </w:footnote>
  <w:footnote w:type="continuationSeparator" w:id="0">
    <w:p w14:paraId="69423B29" w14:textId="77777777" w:rsidR="002B4208" w:rsidRDefault="002B4208" w:rsidP="00AA6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630EBD"/>
    <w:multiLevelType w:val="hybridMultilevel"/>
    <w:tmpl w:val="98D6CF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F6F"/>
    <w:rsid w:val="00065FEE"/>
    <w:rsid w:val="00066E3C"/>
    <w:rsid w:val="00072718"/>
    <w:rsid w:val="0007381E"/>
    <w:rsid w:val="00076094"/>
    <w:rsid w:val="0008785F"/>
    <w:rsid w:val="00090CBE"/>
    <w:rsid w:val="00094DEC"/>
    <w:rsid w:val="000A2D8A"/>
    <w:rsid w:val="000C373D"/>
    <w:rsid w:val="000D1A2C"/>
    <w:rsid w:val="000D26A6"/>
    <w:rsid w:val="000D2B90"/>
    <w:rsid w:val="000D6ED8"/>
    <w:rsid w:val="000D717B"/>
    <w:rsid w:val="00100B28"/>
    <w:rsid w:val="00117316"/>
    <w:rsid w:val="001209B4"/>
    <w:rsid w:val="0013622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5589B"/>
    <w:rsid w:val="00267EBB"/>
    <w:rsid w:val="0027023B"/>
    <w:rsid w:val="00272F3F"/>
    <w:rsid w:val="00274EDB"/>
    <w:rsid w:val="00275DE2"/>
    <w:rsid w:val="0027729E"/>
    <w:rsid w:val="002843B2"/>
    <w:rsid w:val="00284ED6"/>
    <w:rsid w:val="00290C5A"/>
    <w:rsid w:val="00290C92"/>
    <w:rsid w:val="0029647A"/>
    <w:rsid w:val="00296504"/>
    <w:rsid w:val="002A4D0E"/>
    <w:rsid w:val="002B4208"/>
    <w:rsid w:val="002B5511"/>
    <w:rsid w:val="002B7ACF"/>
    <w:rsid w:val="002E0643"/>
    <w:rsid w:val="002E392E"/>
    <w:rsid w:val="002E6BBC"/>
    <w:rsid w:val="002F1BA9"/>
    <w:rsid w:val="002F6E74"/>
    <w:rsid w:val="003067E5"/>
    <w:rsid w:val="003106B3"/>
    <w:rsid w:val="0031385D"/>
    <w:rsid w:val="003171AB"/>
    <w:rsid w:val="003223B2"/>
    <w:rsid w:val="00322A67"/>
    <w:rsid w:val="00324F30"/>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208A"/>
    <w:rsid w:val="00533F1C"/>
    <w:rsid w:val="00535D18"/>
    <w:rsid w:val="00536D8B"/>
    <w:rsid w:val="005379C3"/>
    <w:rsid w:val="005463C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6F"/>
    <w:rsid w:val="005A4D4E"/>
    <w:rsid w:val="005A7237"/>
    <w:rsid w:val="005B21FA"/>
    <w:rsid w:val="005B3244"/>
    <w:rsid w:val="005B654A"/>
    <w:rsid w:val="005B6EE8"/>
    <w:rsid w:val="005B7731"/>
    <w:rsid w:val="005C4515"/>
    <w:rsid w:val="005C5602"/>
    <w:rsid w:val="005C66B1"/>
    <w:rsid w:val="005C74A6"/>
    <w:rsid w:val="005D3B4D"/>
    <w:rsid w:val="005D615C"/>
    <w:rsid w:val="005E1860"/>
    <w:rsid w:val="005E2199"/>
    <w:rsid w:val="005F063B"/>
    <w:rsid w:val="005F192D"/>
    <w:rsid w:val="005F24C8"/>
    <w:rsid w:val="005F26AF"/>
    <w:rsid w:val="005F3E0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E76"/>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8335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0B8"/>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91B"/>
    <w:rsid w:val="00981F23"/>
    <w:rsid w:val="00990634"/>
    <w:rsid w:val="00991733"/>
    <w:rsid w:val="00992078"/>
    <w:rsid w:val="00992BE3"/>
    <w:rsid w:val="009A1467"/>
    <w:rsid w:val="009A6464"/>
    <w:rsid w:val="009B69F5"/>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55615"/>
    <w:rsid w:val="00A60FBC"/>
    <w:rsid w:val="00A624D1"/>
    <w:rsid w:val="00A65C0B"/>
    <w:rsid w:val="00A776BA"/>
    <w:rsid w:val="00A77732"/>
    <w:rsid w:val="00A81FD2"/>
    <w:rsid w:val="00A8441A"/>
    <w:rsid w:val="00A8674A"/>
    <w:rsid w:val="00A930A8"/>
    <w:rsid w:val="00A96E24"/>
    <w:rsid w:val="00AA64BF"/>
    <w:rsid w:val="00AA6F6E"/>
    <w:rsid w:val="00AB122B"/>
    <w:rsid w:val="00AB21B0"/>
    <w:rsid w:val="00AB48D3"/>
    <w:rsid w:val="00AE0243"/>
    <w:rsid w:val="00AE1BAD"/>
    <w:rsid w:val="00AE2124"/>
    <w:rsid w:val="00AE2327"/>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590"/>
    <w:rsid w:val="00CA013C"/>
    <w:rsid w:val="00CA6CF3"/>
    <w:rsid w:val="00CA6D6D"/>
    <w:rsid w:val="00CC7A4E"/>
    <w:rsid w:val="00CD00D1"/>
    <w:rsid w:val="00CD1359"/>
    <w:rsid w:val="00CD4C83"/>
    <w:rsid w:val="00CE123E"/>
    <w:rsid w:val="00D01EDC"/>
    <w:rsid w:val="00D078AA"/>
    <w:rsid w:val="00D10058"/>
    <w:rsid w:val="00D11978"/>
    <w:rsid w:val="00D12DF1"/>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07497"/>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2BE"/>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5561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75D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5D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75D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275D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5D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5DE2"/>
  </w:style>
  <w:style w:type="character" w:customStyle="1" w:styleId="Heading1Char">
    <w:name w:val="Heading 1 Char"/>
    <w:aliases w:val="Pocket Char"/>
    <w:basedOn w:val="DefaultParagraphFont"/>
    <w:link w:val="Heading1"/>
    <w:uiPriority w:val="9"/>
    <w:rsid w:val="00275D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5DE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75DE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275D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75DE2"/>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275DE2"/>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275DE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75DE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275DE2"/>
    <w:rPr>
      <w:color w:val="auto"/>
      <w:u w:val="none"/>
    </w:rPr>
  </w:style>
  <w:style w:type="paragraph" w:styleId="DocumentMap">
    <w:name w:val="Document Map"/>
    <w:basedOn w:val="Normal"/>
    <w:link w:val="DocumentMapChar"/>
    <w:uiPriority w:val="99"/>
    <w:semiHidden/>
    <w:unhideWhenUsed/>
    <w:rsid w:val="00275D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5DE2"/>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Tag and Ci"/>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basedOn w:val="Normal"/>
    <w:uiPriority w:val="34"/>
    <w:qFormat/>
    <w:rsid w:val="00B277C5"/>
    <w:pPr>
      <w:ind w:left="720"/>
      <w:contextualSpacing/>
    </w:pPr>
  </w:style>
  <w:style w:type="paragraph" w:styleId="NoSpacing">
    <w:name w:val="No Spacing"/>
    <w:aliases w:val="Card Format,ClearFormatting,Clear,DDI Tag,Tag Title,CD - Cite,No Spacing7,No Spacing8,Dont u,No Spacing311,No Spacing51,Small Text,ca"/>
    <w:uiPriority w:val="99"/>
    <w:qFormat/>
    <w:rsid w:val="00B277C5"/>
    <w:rPr>
      <w:rFonts w:ascii="Calibri" w:hAnsi="Calibri"/>
      <w:sz w:val="22"/>
    </w:rPr>
  </w:style>
  <w:style w:type="paragraph" w:styleId="FootnoteText">
    <w:name w:val="footnote text"/>
    <w:basedOn w:val="Normal"/>
    <w:link w:val="FootnoteTextChar"/>
    <w:uiPriority w:val="99"/>
    <w:unhideWhenUsed/>
    <w:qFormat/>
    <w:rsid w:val="00DF3430"/>
    <w:rPr>
      <w:sz w:val="20"/>
      <w:szCs w:val="20"/>
    </w:rPr>
  </w:style>
  <w:style w:type="character" w:customStyle="1" w:styleId="FootnoteTextChar">
    <w:name w:val="Footnote Text Char"/>
    <w:basedOn w:val="DefaultParagraphFont"/>
    <w:link w:val="FootnoteText"/>
    <w:uiPriority w:val="99"/>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 w:type="character" w:customStyle="1" w:styleId="s28">
    <w:name w:val="s28"/>
    <w:basedOn w:val="DefaultParagraphFont"/>
    <w:rsid w:val="005F3E08"/>
  </w:style>
  <w:style w:type="character" w:customStyle="1" w:styleId="s30">
    <w:name w:val="s30"/>
    <w:basedOn w:val="DefaultParagraphFont"/>
    <w:rsid w:val="005F3E08"/>
  </w:style>
  <w:style w:type="character" w:customStyle="1" w:styleId="s27">
    <w:name w:val="s27"/>
    <w:basedOn w:val="DefaultParagraphFont"/>
    <w:rsid w:val="00A77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16838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pcounsel.com/private-entit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assets.lib.berkeley.edu/etd/ucb/text/Mollow_berkeley_0028E_1518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assets.lib.berkeley.edu/etd/ucb/text/Mollow_berkeley_0028E_15181.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11</Pages>
  <Words>7615</Words>
  <Characters>43409</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36</cp:revision>
  <dcterms:created xsi:type="dcterms:W3CDTF">2021-09-04T20:57:00Z</dcterms:created>
  <dcterms:modified xsi:type="dcterms:W3CDTF">2022-01-15T13:48:00Z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