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EAF61" w14:textId="77777777" w:rsidR="0098191B" w:rsidRDefault="0098191B" w:rsidP="0098191B">
      <w:pPr>
        <w:pStyle w:val="Heading1"/>
      </w:pPr>
      <w:r>
        <w:t>Blake r1</w:t>
      </w:r>
    </w:p>
    <w:p w14:paraId="49FAE751" w14:textId="77777777" w:rsidR="0098191B" w:rsidRPr="00BF45B1" w:rsidRDefault="0098191B" w:rsidP="0098191B"/>
    <w:p w14:paraId="3988E86A" w14:textId="77777777" w:rsidR="0098191B" w:rsidRDefault="0098191B" w:rsidP="0098191B">
      <w:pPr>
        <w:rPr>
          <w:rFonts w:eastAsiaTheme="majorEastAsia" w:cstheme="majorBidi"/>
          <w:b/>
          <w:bCs/>
          <w:sz w:val="52"/>
          <w:szCs w:val="32"/>
        </w:rPr>
      </w:pPr>
    </w:p>
    <w:p w14:paraId="54490A1E" w14:textId="77777777" w:rsidR="0098191B" w:rsidRDefault="0098191B" w:rsidP="0098191B">
      <w:pPr>
        <w:pStyle w:val="Heading2"/>
      </w:pPr>
      <w:r>
        <w:t>1</w:t>
      </w:r>
    </w:p>
    <w:p w14:paraId="1115F20D" w14:textId="77777777" w:rsidR="0098191B" w:rsidRPr="006256E3" w:rsidRDefault="0098191B" w:rsidP="0098191B">
      <w:pPr>
        <w:rPr>
          <w:sz w:val="26"/>
          <w:szCs w:val="26"/>
        </w:rPr>
      </w:pPr>
      <w:r w:rsidRPr="006256E3">
        <w:rPr>
          <w:b/>
          <w:bCs/>
          <w:sz w:val="26"/>
          <w:szCs w:val="26"/>
        </w:rPr>
        <w:t>Permissibility and presumption negate:</w:t>
      </w:r>
    </w:p>
    <w:p w14:paraId="11F38556" w14:textId="77777777" w:rsidR="0098191B" w:rsidRPr="006256E3" w:rsidRDefault="0098191B" w:rsidP="0098191B">
      <w:pPr>
        <w:rPr>
          <w:sz w:val="26"/>
          <w:szCs w:val="26"/>
        </w:rPr>
      </w:pPr>
      <w:r w:rsidRPr="006256E3">
        <w:rPr>
          <w:b/>
          <w:bCs/>
          <w:sz w:val="26"/>
          <w:szCs w:val="26"/>
        </w:rPr>
        <w:t>[1] Resolution indicates the affirmative has to prove a proactive obligation, and permissibility would deny the existence of an obligation</w:t>
      </w:r>
    </w:p>
    <w:p w14:paraId="464EF8F4" w14:textId="77777777" w:rsidR="0098191B" w:rsidRPr="006256E3" w:rsidRDefault="0098191B" w:rsidP="0098191B">
      <w:pPr>
        <w:rPr>
          <w:sz w:val="26"/>
          <w:szCs w:val="26"/>
        </w:rPr>
      </w:pPr>
      <w:r w:rsidRPr="006256E3">
        <w:rPr>
          <w:b/>
          <w:bCs/>
          <w:sz w:val="26"/>
          <w:szCs w:val="26"/>
        </w:rPr>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5EB171C5" w14:textId="77777777" w:rsidR="0098191B" w:rsidRPr="006256E3" w:rsidRDefault="0098191B" w:rsidP="0098191B">
      <w:pPr>
        <w:rPr>
          <w:sz w:val="26"/>
          <w:szCs w:val="26"/>
        </w:rPr>
      </w:pPr>
      <w:r w:rsidRPr="006256E3">
        <w:rPr>
          <w:b/>
          <w:bCs/>
          <w:sz w:val="26"/>
          <w:szCs w:val="26"/>
        </w:rPr>
        <w:t>[3] Statements are more often false than true because any part can be false. This means you negate if there is no offense because the resolution is probably false.</w:t>
      </w:r>
    </w:p>
    <w:p w14:paraId="58667732" w14:textId="77777777" w:rsidR="0098191B" w:rsidRDefault="0098191B" w:rsidP="0098191B"/>
    <w:p w14:paraId="6DF790D4" w14:textId="77777777" w:rsidR="0098191B" w:rsidRDefault="0098191B" w:rsidP="0098191B">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4D7C02C9" w14:textId="77777777" w:rsidR="0098191B" w:rsidRDefault="0098191B" w:rsidP="0098191B">
      <w:pPr>
        <w:pStyle w:val="Heading4"/>
      </w:pPr>
      <w:r>
        <w:t>Constitutivism solves – it allows for universal obligations among all agents but they are binding and cannot be opted out of.</w:t>
      </w:r>
    </w:p>
    <w:p w14:paraId="2983B6E8" w14:textId="77777777" w:rsidR="0098191B" w:rsidRPr="007A71B9" w:rsidRDefault="0098191B" w:rsidP="0098191B"/>
    <w:p w14:paraId="3D0CAC9C" w14:textId="77777777" w:rsidR="0098191B" w:rsidRDefault="0098191B" w:rsidP="0098191B">
      <w:pPr>
        <w:pStyle w:val="Heading4"/>
      </w:pPr>
      <w:r>
        <w:t>Next, only practical reason is constitutive:</w:t>
      </w:r>
    </w:p>
    <w:p w14:paraId="2A46BDB5" w14:textId="77777777" w:rsidR="0098191B" w:rsidRDefault="0098191B" w:rsidP="0098191B">
      <w:pPr>
        <w:pStyle w:val="Heading4"/>
      </w:pPr>
      <w:r>
        <w:t>[1] Regress – to question why one should reason concedes its authority since it is an act of reasoning itself which proves it’s binding and inescapable</w:t>
      </w:r>
    </w:p>
    <w:p w14:paraId="76E884D8" w14:textId="77777777" w:rsidR="0098191B" w:rsidRDefault="0098191B" w:rsidP="0098191B">
      <w:pPr>
        <w:pStyle w:val="Heading4"/>
      </w:pPr>
      <w:r>
        <w:t>[2] Agents can shift between different identities but doing so requires reason - it unifies the subject and is the only enterprise agents cannot escape</w:t>
      </w:r>
    </w:p>
    <w:p w14:paraId="513D463B" w14:textId="77777777" w:rsidR="0098191B" w:rsidRPr="00E63F3E" w:rsidRDefault="0098191B" w:rsidP="0098191B">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36BC37B3" w14:textId="77777777" w:rsidR="0098191B" w:rsidRDefault="0098191B" w:rsidP="0098191B">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6DB1A7F0" w14:textId="77777777" w:rsidR="0098191B" w:rsidRPr="0051320E" w:rsidRDefault="0098191B" w:rsidP="0098191B"/>
    <w:p w14:paraId="5384A131" w14:textId="77777777" w:rsidR="0098191B" w:rsidRDefault="0098191B" w:rsidP="0098191B">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2228AA25" w14:textId="77777777" w:rsidR="0098191B" w:rsidRDefault="0098191B" w:rsidP="0098191B"/>
    <w:p w14:paraId="0D142303" w14:textId="77777777" w:rsidR="0098191B" w:rsidRDefault="0098191B" w:rsidP="0098191B"/>
    <w:p w14:paraId="588FEE33" w14:textId="77777777" w:rsidR="0098191B" w:rsidRPr="00C75194" w:rsidRDefault="0098191B" w:rsidP="0098191B">
      <w:pPr>
        <w:pStyle w:val="Heading4"/>
      </w:pPr>
      <w:r w:rsidRPr="00C75194">
        <w:t xml:space="preserve">Thus, the standard </w:t>
      </w:r>
      <w:r>
        <w:t xml:space="preserve"> and ROB </w:t>
      </w:r>
      <w:r w:rsidRPr="00C75194">
        <w:t>is consistency with a system of equal and outer freedoms. Prefer:</w:t>
      </w:r>
    </w:p>
    <w:p w14:paraId="24B1F8A4" w14:textId="77777777" w:rsidR="0098191B" w:rsidRPr="00C75194" w:rsidRDefault="0098191B" w:rsidP="0098191B">
      <w:pPr>
        <w:pStyle w:val="Heading4"/>
      </w:pPr>
    </w:p>
    <w:p w14:paraId="5A9C6473" w14:textId="77777777" w:rsidR="0098191B" w:rsidRPr="00C75194" w:rsidRDefault="0098191B" w:rsidP="0098191B">
      <w:pPr>
        <w:pStyle w:val="Heading4"/>
        <w:rPr>
          <w:rFonts w:ascii="-webkit-standard" w:hAnsi="-webkit-standard" w:cs="Times New Roman" w:hint="eastAsia"/>
          <w:color w:val="000000"/>
        </w:rPr>
      </w:pPr>
      <w:r w:rsidRPr="00C75194">
        <w:rPr>
          <w:rFonts w:cs="Calibri"/>
          <w:color w:val="000000"/>
        </w:rPr>
        <w:t>1] Performativity – arguing against my framework presupposes freedom because without freedom to reason you would not be able to make arguments and try to win.</w:t>
      </w:r>
      <w:r w:rsidRPr="00C75194">
        <w:rPr>
          <w:rStyle w:val="apple-converted-space"/>
          <w:rFonts w:cs="Calibri"/>
          <w:color w:val="000000"/>
        </w:rPr>
        <w:t> </w:t>
      </w:r>
      <w:r w:rsidRPr="00C75194">
        <w:rPr>
          <w:rStyle w:val="s12"/>
          <w:rFonts w:cs="Calibri"/>
          <w:color w:val="000000"/>
        </w:rPr>
        <w:t>– this means that contesting any of my arguments proves my framework true.</w:t>
      </w:r>
    </w:p>
    <w:p w14:paraId="3CC66472" w14:textId="77777777" w:rsidR="0098191B" w:rsidRPr="00C75194" w:rsidRDefault="0098191B" w:rsidP="0098191B">
      <w:pPr>
        <w:pStyle w:val="Heading4"/>
        <w:rPr>
          <w:rFonts w:ascii="-webkit-standard" w:hAnsi="-webkit-standard" w:hint="eastAsia"/>
          <w:color w:val="000000"/>
        </w:rPr>
      </w:pPr>
      <w:r w:rsidRPr="00C75194">
        <w:rPr>
          <w:rFonts w:ascii="-webkit-standard" w:hAnsi="-webkit-standard"/>
          <w:color w:val="000000"/>
        </w:rPr>
        <w:t> </w:t>
      </w:r>
    </w:p>
    <w:p w14:paraId="22084CFF" w14:textId="77777777" w:rsidR="0098191B" w:rsidRDefault="0098191B" w:rsidP="0098191B">
      <w:pPr>
        <w:pStyle w:val="Heading4"/>
        <w:rPr>
          <w:rFonts w:cs="Calibri"/>
          <w:color w:val="000000"/>
        </w:rPr>
      </w:pPr>
      <w:r w:rsidRPr="00C75194">
        <w:rPr>
          <w:rFonts w:cs="Calibri"/>
          <w:color w:val="000000"/>
        </w:rPr>
        <w:t>2]</w:t>
      </w:r>
      <w:r w:rsidRPr="00C75194">
        <w:rPr>
          <w:rStyle w:val="apple-converted-space"/>
          <w:rFonts w:cs="Calibri"/>
          <w:color w:val="000000"/>
        </w:rPr>
        <w:t> </w:t>
      </w:r>
      <w:r w:rsidRPr="00C75194">
        <w:rPr>
          <w:rFonts w:cs="Calibri"/>
          <w:color w:val="000000"/>
        </w:rPr>
        <w:t>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w:t>
      </w:r>
      <w:r w:rsidRPr="00C75194">
        <w:rPr>
          <w:rStyle w:val="apple-converted-space"/>
          <w:rFonts w:cs="Calibri"/>
          <w:color w:val="000000"/>
        </w:rPr>
        <w:t> </w:t>
      </w:r>
      <w:r w:rsidRPr="00C75194">
        <w:rPr>
          <w:rFonts w:cs="Calibri"/>
          <w:color w:val="000000"/>
        </w:rPr>
        <w:t>cuz</w:t>
      </w:r>
      <w:r w:rsidRPr="00C75194">
        <w:rPr>
          <w:rStyle w:val="apple-converted-space"/>
          <w:rFonts w:cs="Calibri"/>
          <w:color w:val="000000"/>
        </w:rPr>
        <w:t> </w:t>
      </w:r>
      <w:r w:rsidRPr="00C75194">
        <w:rPr>
          <w:rFonts w:cs="Calibri"/>
          <w:color w:val="000000"/>
        </w:rPr>
        <w:t>otherwise the judge can’t make a decision which means it’s a constraint on any</w:t>
      </w:r>
      <w:r w:rsidRPr="00C75194">
        <w:rPr>
          <w:rStyle w:val="apple-converted-space"/>
          <w:rFonts w:cs="Calibri"/>
          <w:color w:val="000000"/>
        </w:rPr>
        <w:t> </w:t>
      </w:r>
      <w:r w:rsidRPr="00C75194">
        <w:rPr>
          <w:rFonts w:cs="Calibri"/>
          <w:color w:val="000000"/>
        </w:rPr>
        <w:t>rotbbecause otherwise the round is impossible</w:t>
      </w:r>
    </w:p>
    <w:p w14:paraId="337E9579" w14:textId="77777777" w:rsidR="0098191B" w:rsidRDefault="0098191B" w:rsidP="0098191B"/>
    <w:p w14:paraId="1A391DB3" w14:textId="77777777" w:rsidR="0098191B" w:rsidRDefault="0098191B" w:rsidP="0098191B">
      <w:pPr>
        <w:pStyle w:val="Heading4"/>
      </w:pPr>
      <w:r>
        <w:t>3] The cause of all oppression is willing subjective maxims that serves to benefit a specific group of people – the categorical imperative solves and is the only way to avoid ethical egoism since it’s objective. Farr 02</w:t>
      </w:r>
    </w:p>
    <w:p w14:paraId="1C350E3B" w14:textId="77777777" w:rsidR="0098191B" w:rsidRDefault="0098191B" w:rsidP="0098191B">
      <w:pPr>
        <w:rPr>
          <w:rFonts w:ascii="Arial" w:eastAsia="Arial" w:hAnsi="Arial" w:cs="Arial"/>
        </w:rPr>
      </w:pPr>
      <w:r>
        <w:rPr>
          <w:rFonts w:ascii="Arial" w:eastAsia="Arial" w:hAnsi="Arial" w:cs="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w:t>
      </w:r>
    </w:p>
    <w:p w14:paraId="3A6FBBBC" w14:textId="77777777" w:rsidR="0098191B" w:rsidRDefault="0098191B" w:rsidP="0098191B">
      <w: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Pr>
          <w:highlight w:val="green"/>
          <w:u w:val="single"/>
        </w:rPr>
        <w:t>human beings have an intelligible and empirical character</w:t>
      </w:r>
      <w:r>
        <w:rPr>
          <w:u w:val="single"/>
        </w:rPr>
        <w:t>.15 It is impossible to understand and do justice to Kant’s moral theory without taking seriously the relation between these two characters. The very concept of morality is impossible without the tension between the two.</w:t>
      </w:r>
      <w:r>
        <w:t xml:space="preserve"> By “empirical character” Kant simply means that we have a sensual nature. </w:t>
      </w:r>
      <w:r>
        <w:rPr>
          <w:u w:val="single"/>
        </w:rPr>
        <w:t xml:space="preserve">We are physical creatures with physical drives or desires. The very fact that </w:t>
      </w:r>
      <w:r>
        <w:rPr>
          <w:highlight w:val="green"/>
          <w:u w:val="single"/>
        </w:rPr>
        <w:t>I cannot</w:t>
      </w:r>
      <w:r>
        <w:rPr>
          <w:u w:val="single"/>
        </w:rPr>
        <w:t xml:space="preserve"> simply </w:t>
      </w:r>
      <w:r>
        <w:rPr>
          <w:highlight w:val="green"/>
          <w:u w:val="single"/>
        </w:rPr>
        <w:t>satisfy</w:t>
      </w:r>
      <w:r>
        <w:rPr>
          <w:u w:val="single"/>
        </w:rPr>
        <w:t xml:space="preserve"> my </w:t>
      </w:r>
      <w:r>
        <w:rPr>
          <w:highlight w:val="green"/>
          <w:u w:val="single"/>
        </w:rPr>
        <w:t>desires without considering the rightness or wrongness of my actions</w:t>
      </w:r>
      <w:r>
        <w:rPr>
          <w:u w:val="single"/>
        </w:rPr>
        <w:t xml:space="preserve"> suggests that my empirical character must be held in check by something</w:t>
      </w:r>
      <w:r>
        <w:t xml:space="preserve">, or else I behave like a Freudian id. </w:t>
      </w:r>
      <w:r>
        <w:rPr>
          <w:highlight w:val="green"/>
          <w:u w:val="single"/>
        </w:rPr>
        <w:t>My empirical character must be held in check by my intelligible character, which is the</w:t>
      </w:r>
      <w:r>
        <w:rPr>
          <w:u w:val="single"/>
        </w:rPr>
        <w:t xml:space="preserve"> legislative </w:t>
      </w:r>
      <w:r>
        <w:rPr>
          <w:highlight w:val="green"/>
          <w:u w:val="single"/>
        </w:rPr>
        <w:t>activity of practical reason</w:t>
      </w:r>
      <w:r>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Pr>
          <w:u w:val="single"/>
        </w:rPr>
        <w:t xml:space="preserve">The reason why a </w:t>
      </w:r>
      <w:r>
        <w:rPr>
          <w:highlight w:val="green"/>
          <w:u w:val="single"/>
        </w:rPr>
        <w:t>universilizability</w:t>
      </w:r>
      <w:r>
        <w:rPr>
          <w:u w:val="single"/>
        </w:rPr>
        <w:t xml:space="preserve"> criterion is morally significant is that it </w:t>
      </w:r>
      <w:r>
        <w:rPr>
          <w:highlight w:val="green"/>
          <w:u w:val="single"/>
        </w:rPr>
        <w:t>makes our own case no special exception</w:t>
      </w:r>
      <w:r>
        <w:t xml:space="preserve"> (G, IV, 404). </w:t>
      </w:r>
      <w:r>
        <w:rPr>
          <w:u w:val="single"/>
        </w:rPr>
        <w:t xml:space="preserve">In accepting the Categorical Imperative we accept the moral reality of other selves, and hence the possibility (not, note, the reality) of a moral community. </w:t>
      </w:r>
      <w: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Pr>
          <w:highlight w:val="green"/>
          <w:u w:val="single"/>
        </w:rPr>
        <w:t>The individual is not allowed to exclude others as</w:t>
      </w:r>
      <w:r>
        <w:rPr>
          <w:u w:val="single"/>
        </w:rPr>
        <w:t xml:space="preserve"> rational moral </w:t>
      </w:r>
      <w:r>
        <w:rPr>
          <w:highlight w:val="green"/>
          <w:u w:val="single"/>
        </w:rPr>
        <w:t>agents</w:t>
      </w:r>
      <w:r>
        <w:rPr>
          <w:u w:val="single"/>
        </w:rPr>
        <w:t xml:space="preserve"> who </w:t>
      </w:r>
      <w:r>
        <w:rPr>
          <w:highlight w:val="green"/>
          <w:u w:val="single"/>
        </w:rPr>
        <w:t>have the right to act as he acts in a given situation</w:t>
      </w:r>
      <w:r>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t>.</w:t>
      </w:r>
    </w:p>
    <w:p w14:paraId="6B81EE04" w14:textId="77777777" w:rsidR="0098191B" w:rsidRDefault="0098191B" w:rsidP="0098191B"/>
    <w:p w14:paraId="7294FDAB" w14:textId="77777777" w:rsidR="0098191B" w:rsidRDefault="0098191B" w:rsidP="0098191B"/>
    <w:p w14:paraId="58D490D1" w14:textId="77777777" w:rsidR="0098191B" w:rsidRDefault="0098191B" w:rsidP="0098191B">
      <w:pPr>
        <w:pStyle w:val="Heading3"/>
      </w:pPr>
      <w:r>
        <w:t>Offense</w:t>
      </w:r>
    </w:p>
    <w:p w14:paraId="6DC479F7" w14:textId="77777777" w:rsidR="0098191B" w:rsidRDefault="0098191B" w:rsidP="0098191B"/>
    <w:p w14:paraId="2587E2FB" w14:textId="77777777" w:rsidR="0098191B" w:rsidRPr="008F5337" w:rsidRDefault="0098191B" w:rsidP="0098191B">
      <w:pPr>
        <w:pStyle w:val="Heading4"/>
      </w:pPr>
      <w:r>
        <w:t>1] A model of freedom</w:t>
      </w:r>
      <w:r w:rsidRPr="008F5337">
        <w:t xml:space="preserve"> mandates a market-oriented approach to space—that negates</w:t>
      </w:r>
    </w:p>
    <w:p w14:paraId="691B8089" w14:textId="77777777" w:rsidR="0098191B" w:rsidRPr="008F5337" w:rsidRDefault="0098191B" w:rsidP="0098191B">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12" w:history="1">
        <w:r w:rsidRPr="008F5337">
          <w:rPr>
            <w:rStyle w:val="Hyperlink"/>
          </w:rPr>
          <w:t>https://abovethelaw.com/2020/01/space-law-can-only-be-libertarian-minded/</w:t>
        </w:r>
      </w:hyperlink>
      <w:r w:rsidRPr="008F5337">
        <w:t>] TDI</w:t>
      </w:r>
    </w:p>
    <w:p w14:paraId="5F1F014D" w14:textId="77777777" w:rsidR="0098191B" w:rsidRPr="0041001C" w:rsidRDefault="0098191B" w:rsidP="0098191B">
      <w:pPr>
        <w:rPr>
          <w:rStyle w:val="StyleUnderline"/>
          <w:sz w:val="10"/>
          <w:u w:val="none"/>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Simberg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StyleUnderline"/>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E21E8">
        <w:rPr>
          <w:rStyle w:val="StyleUnderline"/>
          <w:sz w:val="12"/>
          <w:szCs w:val="12"/>
          <w:u w:val="none"/>
        </w:rPr>
        <w:t>, and if human history is any indicator, private homesteading will follow</w:t>
      </w:r>
      <w:r w:rsidRPr="008E21E8">
        <w:rPr>
          <w:sz w:val="12"/>
          <w:szCs w:val="12"/>
        </w:rPr>
        <w:t>, flag or no flag. We Americans know this is how a Wild West starts, where most regulation becomes the impractical pipe</w:t>
      </w:r>
      <w:r w:rsidRPr="0041001C">
        <w:rPr>
          <w:sz w:val="10"/>
        </w:rPr>
        <w:t xml:space="preserv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p w14:paraId="4381D8A4" w14:textId="77777777" w:rsidR="0098191B" w:rsidRPr="00E357A5" w:rsidRDefault="0098191B" w:rsidP="0098191B"/>
    <w:p w14:paraId="6760D41B" w14:textId="77777777" w:rsidR="0098191B" w:rsidRDefault="0098191B" w:rsidP="0098191B">
      <w:pPr>
        <w:pStyle w:val="Heading4"/>
      </w:pPr>
      <w:r>
        <w:t>2] Private entities utilize their own property and resources to fund and conduct space exploration which means – Prohibition of it is a violation of a) Their ability to use their own property (like their rocketships or fuel) to set their ends in space and b). Their freedom to explore unknown horizons such as space.</w:t>
      </w:r>
    </w:p>
    <w:p w14:paraId="08B6096C" w14:textId="77777777" w:rsidR="0098191B" w:rsidRDefault="0098191B" w:rsidP="0098191B"/>
    <w:p w14:paraId="4A942024" w14:textId="77777777" w:rsidR="0098191B" w:rsidRPr="001075FB" w:rsidRDefault="0098191B" w:rsidP="0098191B">
      <w:pPr>
        <w:pStyle w:val="Heading4"/>
      </w:pPr>
      <w:r>
        <w:t xml:space="preserve">[3] </w:t>
      </w:r>
      <w:r w:rsidRPr="001075FB">
        <w:t>Negs get Contention Choice- It’s key to robust philosophy debates rather than arbitrary contention debates which o/w since phil is unique to LD. It also prevents splitting the debate allowing for in depth clash and 2ar judge psychology spins on the contention level which is key fairness and level playing field</w:t>
      </w:r>
    </w:p>
    <w:p w14:paraId="2FA1EFDA" w14:textId="77777777" w:rsidR="0098191B" w:rsidRDefault="0098191B" w:rsidP="0098191B"/>
    <w:p w14:paraId="727B51D0" w14:textId="77777777" w:rsidR="0098191B" w:rsidRDefault="0098191B" w:rsidP="0098191B"/>
    <w:p w14:paraId="7FFE8DAC" w14:textId="77777777" w:rsidR="0098191B" w:rsidRDefault="0098191B" w:rsidP="0098191B">
      <w:pPr>
        <w:pStyle w:val="Heading2"/>
      </w:pPr>
      <w:r>
        <w:t>2</w:t>
      </w:r>
    </w:p>
    <w:p w14:paraId="638DFC17" w14:textId="77777777" w:rsidR="0098191B" w:rsidRPr="0068428D" w:rsidRDefault="0098191B" w:rsidP="0098191B">
      <w:pPr>
        <w:pStyle w:val="Heading4"/>
      </w:pPr>
      <w:r w:rsidRPr="0068428D">
        <w:t>A: Interpretation – Debaters must must not read impact justified frameworks. To clarify, frameworks that make ethical claims based off a certain impact without a starting justificatory point are bad.</w:t>
      </w:r>
    </w:p>
    <w:p w14:paraId="590CDAE4" w14:textId="77777777" w:rsidR="0098191B" w:rsidRPr="0068428D" w:rsidRDefault="0098191B" w:rsidP="0098191B">
      <w:pPr>
        <w:pStyle w:val="Heading4"/>
      </w:pPr>
      <w:r w:rsidRPr="0068428D">
        <w:t xml:space="preserve">B: Violation – </w:t>
      </w:r>
    </w:p>
    <w:p w14:paraId="5D36432E" w14:textId="77777777" w:rsidR="0098191B" w:rsidRPr="0068428D" w:rsidRDefault="0098191B" w:rsidP="0098191B">
      <w:pPr>
        <w:pStyle w:val="Heading4"/>
      </w:pPr>
      <w:r w:rsidRPr="0068428D">
        <w:t xml:space="preserve"> </w:t>
      </w:r>
    </w:p>
    <w:p w14:paraId="05BC1A33" w14:textId="77777777" w:rsidR="0098191B" w:rsidRPr="0068428D" w:rsidRDefault="0098191B" w:rsidP="0098191B">
      <w:pPr>
        <w:pStyle w:val="Heading4"/>
      </w:pPr>
      <w:r w:rsidRPr="0068428D">
        <w:t xml:space="preserve">C: Standards – </w:t>
      </w:r>
    </w:p>
    <w:p w14:paraId="1C45CBE1" w14:textId="77777777" w:rsidR="0098191B" w:rsidRPr="0068428D" w:rsidRDefault="0098191B" w:rsidP="0098191B">
      <w:pPr>
        <w:pStyle w:val="Heading4"/>
      </w:pPr>
      <w:r w:rsidRPr="0068428D">
        <w:t xml:space="preserve">[1] Strat skew – Reading an impact justified framework destroys my strategy: A) Turn ground – it artificially exclude impacts from a larger framework that would justify your impact being bad which means you can cherry pick any impact that flows one direction </w:t>
      </w:r>
    </w:p>
    <w:p w14:paraId="47E9A8BD" w14:textId="18C244AA" w:rsidR="0098191B" w:rsidRDefault="0098191B" w:rsidP="0098191B">
      <w:pPr>
        <w:pStyle w:val="Heading4"/>
      </w:pPr>
      <w:r w:rsidRPr="0068428D">
        <w:t xml:space="preserve">B) Limits – it makes it impossible for me to answer your framework because you can choose any impact that is always bad like racism which leaves me no ground and grants you an infinite number of impacts to defend that aren’t justified by a broader philosophy. </w:t>
      </w:r>
    </w:p>
    <w:p w14:paraId="6FD0E128" w14:textId="77777777" w:rsidR="0098191B" w:rsidRPr="0098191B" w:rsidRDefault="0098191B" w:rsidP="0098191B"/>
    <w:p w14:paraId="69FB3C97" w14:textId="77777777" w:rsidR="0098191B" w:rsidRDefault="0098191B" w:rsidP="0098191B">
      <w:pPr>
        <w:pStyle w:val="Heading4"/>
      </w:pPr>
      <w:r w:rsidRPr="0068428D">
        <w:t xml:space="preserve">Fairness comes before the AC – </w:t>
      </w:r>
    </w:p>
    <w:p w14:paraId="66505634" w14:textId="77777777" w:rsidR="0098191B" w:rsidRDefault="0098191B" w:rsidP="0098191B">
      <w:pPr>
        <w:pStyle w:val="Heading4"/>
      </w:pPr>
      <w:r w:rsidRPr="0068428D">
        <w:t>A] Inescapable – every argument you make concedes the authority of fairness: i.e. that the judge will evaluate your arguments fairly so if they say fairness doesn’t matter you can just vote neg because that’s unfair so who cards</w:t>
      </w:r>
    </w:p>
    <w:p w14:paraId="3307F191" w14:textId="77777777" w:rsidR="0098191B" w:rsidRDefault="0098191B" w:rsidP="0098191B">
      <w:pPr>
        <w:pStyle w:val="Heading4"/>
        <w:rPr>
          <w:color w:val="000000" w:themeColor="text1"/>
        </w:rPr>
      </w:pPr>
      <w:r w:rsidRPr="0068428D">
        <w:t xml:space="preserve"> B] Skews ability to evaluate substance – if</w:t>
      </w:r>
      <w:r w:rsidRPr="0068428D">
        <w:rPr>
          <w:color w:val="000000" w:themeColor="text1"/>
        </w:rPr>
        <w:t xml:space="preserve"> one debater had ten minutes to speak and the other had three there would be incongruence that alters ability to judge the winner </w:t>
      </w:r>
    </w:p>
    <w:p w14:paraId="52CB1800" w14:textId="77777777" w:rsidR="0098191B" w:rsidRPr="0068428D" w:rsidRDefault="0098191B" w:rsidP="0098191B">
      <w:pPr>
        <w:pStyle w:val="Heading4"/>
        <w:rPr>
          <w:rFonts w:ascii="Times New Roman" w:eastAsia="Times New Roman" w:hAnsi="Times New Roman" w:cs="Times New Roman"/>
        </w:rPr>
      </w:pPr>
      <w:r w:rsidRPr="0068428D">
        <w:rPr>
          <w:rFonts w:eastAsia="Times New Roman"/>
          <w:color w:val="000000"/>
        </w:rPr>
        <w:t>C]</w:t>
      </w:r>
      <w:r>
        <w:rPr>
          <w:rFonts w:eastAsia="Times New Roman"/>
          <w:color w:val="000000"/>
        </w:rPr>
        <w:t xml:space="preserve"> It’s a necessary and constituve aspect of a comeptitive activity like debate</w:t>
      </w:r>
      <w:r w:rsidRPr="0068428D">
        <w:rPr>
          <w:rFonts w:eastAsia="Times New Roman"/>
          <w:color w:val="000000"/>
        </w:rPr>
        <w:t> </w:t>
      </w:r>
    </w:p>
    <w:p w14:paraId="5464870C" w14:textId="77777777" w:rsidR="0098191B" w:rsidRPr="0068428D" w:rsidRDefault="0098191B" w:rsidP="0098191B">
      <w:pPr>
        <w:pStyle w:val="Heading4"/>
      </w:pPr>
    </w:p>
    <w:p w14:paraId="2F9DC967" w14:textId="77777777" w:rsidR="0098191B" w:rsidRPr="0068428D" w:rsidRDefault="0098191B" w:rsidP="0098191B">
      <w:pPr>
        <w:pStyle w:val="Heading4"/>
        <w:rPr>
          <w:rFonts w:cs="Calibri"/>
        </w:rPr>
      </w:pPr>
      <w:r w:rsidRPr="0068428D">
        <w:rPr>
          <w:rFonts w:cs="Calibri"/>
        </w:rPr>
        <w:t xml:space="preserve">Use competing interps – </w:t>
      </w:r>
    </w:p>
    <w:p w14:paraId="5344396D" w14:textId="77777777" w:rsidR="0098191B" w:rsidRPr="0068428D" w:rsidRDefault="0098191B" w:rsidP="0098191B">
      <w:pPr>
        <w:pStyle w:val="Heading4"/>
        <w:rPr>
          <w:rFonts w:eastAsia="Times New Roman" w:cs="Calibri"/>
          <w:color w:val="000000"/>
        </w:rPr>
      </w:pPr>
      <w:r w:rsidRPr="0068428D">
        <w:rPr>
          <w:rFonts w:eastAsia="Times New Roman" w:cs="Calibri"/>
          <w:color w:val="000000"/>
        </w:rPr>
        <w:t>A] Reasonability collapses because you have to weigh the abuse standards against the brightline</w:t>
      </w:r>
    </w:p>
    <w:p w14:paraId="7B5BEF99" w14:textId="77777777" w:rsidR="0098191B" w:rsidRDefault="0098191B" w:rsidP="0098191B">
      <w:pPr>
        <w:pStyle w:val="Heading4"/>
        <w:rPr>
          <w:rFonts w:eastAsia="Times New Roman" w:cs="Calibri"/>
          <w:color w:val="000000"/>
        </w:rPr>
      </w:pPr>
      <w:r w:rsidRPr="0068428D">
        <w:rPr>
          <w:rFonts w:eastAsia="Times New Roman" w:cs="Calibri"/>
          <w:color w:val="000000"/>
        </w:rPr>
        <w:t>B] Reasonability creates a race to the bottom where debaters will be abusive right up to the brightline</w:t>
      </w:r>
    </w:p>
    <w:p w14:paraId="1103BB18" w14:textId="77777777" w:rsidR="0098191B" w:rsidRPr="00BC08F4" w:rsidRDefault="0098191B" w:rsidP="0098191B">
      <w:r>
        <w:t>C] arbitrary judge intervention</w:t>
      </w:r>
    </w:p>
    <w:p w14:paraId="572D3A98" w14:textId="77777777" w:rsidR="0098191B" w:rsidRPr="0068428D" w:rsidRDefault="0098191B" w:rsidP="0098191B">
      <w:pPr>
        <w:pStyle w:val="Heading4"/>
      </w:pPr>
    </w:p>
    <w:p w14:paraId="7D2DBFDE" w14:textId="77777777" w:rsidR="0098191B" w:rsidRPr="0068428D" w:rsidRDefault="0098191B" w:rsidP="0098191B">
      <w:pPr>
        <w:pStyle w:val="Heading4"/>
        <w:rPr>
          <w:rFonts w:cs="Calibri"/>
        </w:rPr>
      </w:pPr>
      <w:r w:rsidRPr="0068428D">
        <w:rPr>
          <w:rFonts w:cs="Calibri"/>
        </w:rPr>
        <w:t>Drop the debater because dropping the arg is severance which moots 7 minutes of 1nc offense, it deters future abuse,  and dta is inocherent since im indicting the whole aff</w:t>
      </w:r>
    </w:p>
    <w:p w14:paraId="5F26A201" w14:textId="77777777" w:rsidR="0098191B" w:rsidRPr="0068428D" w:rsidRDefault="0098191B" w:rsidP="0098191B">
      <w:pPr>
        <w:rPr>
          <w:b/>
          <w:bCs/>
          <w:sz w:val="26"/>
          <w:szCs w:val="26"/>
        </w:rPr>
      </w:pPr>
    </w:p>
    <w:p w14:paraId="6821F207" w14:textId="77777777" w:rsidR="0098191B" w:rsidRPr="0068428D" w:rsidRDefault="0098191B" w:rsidP="0098191B">
      <w:pPr>
        <w:pStyle w:val="Heading4"/>
        <w:rPr>
          <w:rFonts w:cs="Calibri"/>
        </w:rPr>
      </w:pPr>
      <w:r w:rsidRPr="0068428D">
        <w:rPr>
          <w:rFonts w:cs="Calibri"/>
        </w:rPr>
        <w:t>No rvis</w:t>
      </w:r>
    </w:p>
    <w:p w14:paraId="794EE56F" w14:textId="77777777" w:rsidR="0098191B" w:rsidRDefault="0098191B" w:rsidP="0098191B">
      <w:pPr>
        <w:pStyle w:val="Heading4"/>
        <w:rPr>
          <w:rStyle w:val="s21"/>
          <w:rFonts w:cs="Calibri"/>
          <w:color w:val="000000"/>
        </w:rPr>
      </w:pPr>
      <w:r w:rsidRPr="0068428D">
        <w:rPr>
          <w:rFonts w:cs="Calibri"/>
          <w:color w:val="000000"/>
        </w:rPr>
        <w:t xml:space="preserve"> </w:t>
      </w:r>
      <w:r w:rsidRPr="0068428D">
        <w:rPr>
          <w:rStyle w:val="s21"/>
          <w:rFonts w:cs="Calibri"/>
          <w:color w:val="000000"/>
        </w:rPr>
        <w:t xml:space="preserve">a) it’s illogical for a debater to win for proving their fair; they have that burden coming into the round, </w:t>
      </w:r>
    </w:p>
    <w:p w14:paraId="62C4CCEE" w14:textId="77777777" w:rsidR="0098191B" w:rsidRDefault="0098191B" w:rsidP="0098191B">
      <w:pPr>
        <w:pStyle w:val="Heading4"/>
        <w:rPr>
          <w:rStyle w:val="s21"/>
          <w:rFonts w:cs="Calibri"/>
          <w:color w:val="000000"/>
        </w:rPr>
      </w:pPr>
      <w:r w:rsidRPr="0068428D">
        <w:rPr>
          <w:rStyle w:val="s21"/>
          <w:rFonts w:cs="Calibri"/>
          <w:color w:val="000000"/>
        </w:rPr>
        <w:t xml:space="preserve">b) Good theory debaters would be abusive to bait theory and then either win off the RVI or the abusive practice, </w:t>
      </w:r>
    </w:p>
    <w:p w14:paraId="3F10C65D" w14:textId="77777777" w:rsidR="0098191B" w:rsidRDefault="0098191B" w:rsidP="0098191B">
      <w:pPr>
        <w:pStyle w:val="Heading4"/>
        <w:rPr>
          <w:rFonts w:cs="Calibri"/>
          <w:b w:val="0"/>
          <w:bCs w:val="0"/>
        </w:rPr>
      </w:pPr>
    </w:p>
    <w:p w14:paraId="1A08C264" w14:textId="77777777" w:rsidR="0098191B" w:rsidRPr="00BF45B1" w:rsidRDefault="0098191B" w:rsidP="0098191B"/>
    <w:p w14:paraId="5D164321" w14:textId="77777777" w:rsidR="0098191B" w:rsidRDefault="0098191B" w:rsidP="0098191B"/>
    <w:p w14:paraId="31804582" w14:textId="77777777" w:rsidR="00E42E4C" w:rsidRPr="0098191B" w:rsidRDefault="00E42E4C" w:rsidP="0098191B"/>
    <w:sectPr w:rsidR="00E42E4C" w:rsidRPr="0098191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0B0FEC" w14:textId="77777777" w:rsidR="00D12DF1" w:rsidRDefault="00D12DF1" w:rsidP="00AA64BF">
      <w:pPr>
        <w:spacing w:after="0" w:line="240" w:lineRule="auto"/>
      </w:pPr>
      <w:r>
        <w:separator/>
      </w:r>
    </w:p>
  </w:endnote>
  <w:endnote w:type="continuationSeparator" w:id="0">
    <w:p w14:paraId="1DD1D83B" w14:textId="77777777" w:rsidR="00D12DF1" w:rsidRDefault="00D12DF1"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EAC150" w14:textId="77777777" w:rsidR="00D12DF1" w:rsidRDefault="00D12DF1" w:rsidP="00AA64BF">
      <w:pPr>
        <w:spacing w:after="0" w:line="240" w:lineRule="auto"/>
      </w:pPr>
      <w:r>
        <w:separator/>
      </w:r>
    </w:p>
  </w:footnote>
  <w:footnote w:type="continuationSeparator" w:id="0">
    <w:p w14:paraId="6A9FCF6B" w14:textId="77777777" w:rsidR="00D12DF1" w:rsidRDefault="00D12DF1"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191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19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19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19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9819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19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191B"/>
  </w:style>
  <w:style w:type="character" w:customStyle="1" w:styleId="Heading1Char">
    <w:name w:val="Heading 1 Char"/>
    <w:aliases w:val="Pocket Char"/>
    <w:basedOn w:val="DefaultParagraphFont"/>
    <w:link w:val="Heading1"/>
    <w:uiPriority w:val="9"/>
    <w:rsid w:val="009819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19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191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9819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191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98191B"/>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98191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8191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98191B"/>
    <w:rPr>
      <w:color w:val="auto"/>
      <w:u w:val="none"/>
    </w:rPr>
  </w:style>
  <w:style w:type="paragraph" w:styleId="DocumentMap">
    <w:name w:val="Document Map"/>
    <w:basedOn w:val="Normal"/>
    <w:link w:val="DocumentMapChar"/>
    <w:uiPriority w:val="99"/>
    <w:semiHidden/>
    <w:unhideWhenUsed/>
    <w:rsid w:val="009819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191B"/>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2307</Words>
  <Characters>13156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32</cp:revision>
  <dcterms:created xsi:type="dcterms:W3CDTF">2021-09-04T20:57:00Z</dcterms:created>
  <dcterms:modified xsi:type="dcterms:W3CDTF">2021-12-18T17:24:00Z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