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86E4D" w14:textId="77777777" w:rsidR="00AE2327" w:rsidRDefault="00AE2327" w:rsidP="00AE2327">
      <w:pPr>
        <w:pStyle w:val="Heading2"/>
      </w:pPr>
      <w:r>
        <w:t>1</w:t>
      </w:r>
    </w:p>
    <w:p w14:paraId="427C4ECC" w14:textId="77777777" w:rsidR="00AE2327" w:rsidRPr="006256E3" w:rsidRDefault="00AE2327" w:rsidP="00AE2327">
      <w:pPr>
        <w:rPr>
          <w:sz w:val="26"/>
          <w:szCs w:val="26"/>
        </w:rPr>
      </w:pPr>
      <w:r w:rsidRPr="006256E3">
        <w:rPr>
          <w:b/>
          <w:bCs/>
          <w:sz w:val="26"/>
          <w:szCs w:val="26"/>
        </w:rPr>
        <w:t>Permissibility and presumption negate:</w:t>
      </w:r>
    </w:p>
    <w:p w14:paraId="35E7C53F" w14:textId="77777777" w:rsidR="00AE2327" w:rsidRPr="006256E3" w:rsidRDefault="00AE2327" w:rsidP="00AE2327">
      <w:pPr>
        <w:rPr>
          <w:sz w:val="26"/>
          <w:szCs w:val="26"/>
        </w:rPr>
      </w:pPr>
      <w:r w:rsidRPr="006256E3">
        <w:rPr>
          <w:b/>
          <w:bCs/>
          <w:sz w:val="26"/>
          <w:szCs w:val="26"/>
        </w:rPr>
        <w:t>[1] Resolution indicates the affirmative has to prove a proactive obligation, and permissibility would deny the existence of an obligation</w:t>
      </w:r>
    </w:p>
    <w:p w14:paraId="1786D343" w14:textId="77777777" w:rsidR="00AE2327" w:rsidRPr="006256E3" w:rsidRDefault="00AE2327" w:rsidP="00AE2327">
      <w:pPr>
        <w:rPr>
          <w:sz w:val="26"/>
          <w:szCs w:val="26"/>
        </w:rPr>
      </w:pPr>
      <w:r w:rsidRPr="006256E3">
        <w:rPr>
          <w:b/>
          <w:bCs/>
          <w:sz w:val="26"/>
          <w:szCs w:val="26"/>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2A636EDC" w14:textId="77777777" w:rsidR="00AE2327" w:rsidRPr="006256E3" w:rsidRDefault="00AE2327" w:rsidP="00AE2327">
      <w:pPr>
        <w:rPr>
          <w:sz w:val="26"/>
          <w:szCs w:val="26"/>
        </w:rPr>
      </w:pPr>
      <w:r w:rsidRPr="006256E3">
        <w:rPr>
          <w:b/>
          <w:bCs/>
          <w:sz w:val="26"/>
          <w:szCs w:val="26"/>
        </w:rPr>
        <w:t>[3] Statements are more often false than true because any part can be false. This means you negate if there is no offense because the resolution is probably false.</w:t>
      </w:r>
    </w:p>
    <w:p w14:paraId="43A0A645" w14:textId="77777777" w:rsidR="00AE2327" w:rsidRDefault="00AE2327" w:rsidP="00AE2327"/>
    <w:p w14:paraId="05176F53" w14:textId="77777777" w:rsidR="00AE2327" w:rsidRDefault="00AE2327" w:rsidP="00AE2327">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F1676DA" w14:textId="77777777" w:rsidR="00AE2327" w:rsidRDefault="00AE2327" w:rsidP="00AE2327">
      <w:pPr>
        <w:pStyle w:val="Heading4"/>
      </w:pPr>
      <w:r>
        <w:t>Constitutivism solves – it allows for universal obligations among all agents but they are binding and cannot be opted out of.</w:t>
      </w:r>
    </w:p>
    <w:p w14:paraId="4BDA6FC6" w14:textId="77777777" w:rsidR="00AE2327" w:rsidRPr="007A71B9" w:rsidRDefault="00AE2327" w:rsidP="00AE2327"/>
    <w:p w14:paraId="15FECC09" w14:textId="77777777" w:rsidR="00AE2327" w:rsidRDefault="00AE2327" w:rsidP="00AE2327">
      <w:pPr>
        <w:pStyle w:val="Heading4"/>
      </w:pPr>
      <w:r>
        <w:t>Next, only practical reason is constitutive:</w:t>
      </w:r>
    </w:p>
    <w:p w14:paraId="6AE62539" w14:textId="77777777" w:rsidR="00AE2327" w:rsidRDefault="00AE2327" w:rsidP="00AE2327">
      <w:pPr>
        <w:pStyle w:val="Heading4"/>
      </w:pPr>
      <w:r>
        <w:t>[1] Regress – to question why one should reason concedes its authority since it is an act of reasoning itself which proves it’s binding and inescapable 2:51</w:t>
      </w:r>
    </w:p>
    <w:p w14:paraId="1A2EDF24" w14:textId="77777777" w:rsidR="00AE2327" w:rsidRDefault="00AE2327" w:rsidP="00AE2327">
      <w:pPr>
        <w:pStyle w:val="Heading4"/>
      </w:pPr>
      <w:r>
        <w:t>[2] Agents can shift between different identities but doing so requires reason - it unifies the subject and is the only enterprise agents cannot escape</w:t>
      </w:r>
    </w:p>
    <w:p w14:paraId="13331D0E" w14:textId="77777777" w:rsidR="00AE2327" w:rsidRPr="00E63F3E" w:rsidRDefault="00AE2327" w:rsidP="00AE2327">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AEE65AC" w14:textId="77777777" w:rsidR="00AE2327" w:rsidRDefault="00AE2327" w:rsidP="00AE2327">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6BF4B2F" w14:textId="77777777" w:rsidR="00AE2327" w:rsidRPr="0051320E" w:rsidRDefault="00AE2327" w:rsidP="00AE2327"/>
    <w:p w14:paraId="43B3F96E" w14:textId="77777777" w:rsidR="00AE2327" w:rsidRDefault="00AE2327" w:rsidP="00AE2327">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A74C301" w14:textId="77777777" w:rsidR="00AE2327" w:rsidRDefault="00AE2327" w:rsidP="00AE2327"/>
    <w:p w14:paraId="1C69F999" w14:textId="77777777" w:rsidR="00AE2327" w:rsidRDefault="00AE2327" w:rsidP="00AE2327"/>
    <w:p w14:paraId="28991C34" w14:textId="77777777" w:rsidR="00AE2327" w:rsidRPr="00C75194" w:rsidRDefault="00AE2327" w:rsidP="00AE2327">
      <w:pPr>
        <w:pStyle w:val="Heading4"/>
      </w:pPr>
      <w:r w:rsidRPr="00C75194">
        <w:t>Thus, the standard is consistency with a system of equal and outer freedoms. Prefer:</w:t>
      </w:r>
    </w:p>
    <w:p w14:paraId="14DBC485" w14:textId="77777777" w:rsidR="00AE2327" w:rsidRPr="00C75194" w:rsidRDefault="00AE2327" w:rsidP="00AE2327">
      <w:pPr>
        <w:pStyle w:val="Heading4"/>
      </w:pPr>
    </w:p>
    <w:p w14:paraId="4E0EDCAF" w14:textId="77777777" w:rsidR="00AE2327" w:rsidRPr="00C75194" w:rsidRDefault="00AE2327" w:rsidP="00AE2327">
      <w:pPr>
        <w:pStyle w:val="Heading4"/>
        <w:rPr>
          <w:rFonts w:ascii="-webkit-standard" w:hAnsi="-webkit-standard" w:hint="eastAsia"/>
          <w:color w:val="000000"/>
        </w:rPr>
      </w:pPr>
      <w:r w:rsidRPr="00C75194">
        <w:rPr>
          <w:rFonts w:ascii="-webkit-standard" w:hAnsi="-webkit-standard"/>
          <w:color w:val="000000"/>
        </w:rPr>
        <w:t> </w:t>
      </w:r>
    </w:p>
    <w:p w14:paraId="2B351286" w14:textId="77777777" w:rsidR="00AE2327" w:rsidRDefault="00AE2327" w:rsidP="00AE2327">
      <w:pPr>
        <w:pStyle w:val="Heading4"/>
        <w:rPr>
          <w:rFonts w:cs="Calibri"/>
          <w:color w:val="000000"/>
        </w:rPr>
      </w:pPr>
      <w:r w:rsidRPr="00C75194">
        <w:rPr>
          <w:rFonts w:cs="Calibri"/>
          <w:color w:val="000000"/>
        </w:rPr>
        <w:t>2]</w:t>
      </w:r>
      <w:r w:rsidRPr="00C75194">
        <w:rPr>
          <w:rStyle w:val="apple-converted-space"/>
          <w:rFonts w:cs="Calibri"/>
          <w:color w:val="000000"/>
        </w:rPr>
        <w:t> </w:t>
      </w:r>
      <w:r w:rsidRPr="00C75194">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Fonts w:cs="Calibri"/>
          <w:color w:val="000000"/>
        </w:rPr>
        <w:t>cuz</w:t>
      </w:r>
      <w:r w:rsidRPr="00C75194">
        <w:rPr>
          <w:rStyle w:val="apple-converted-space"/>
          <w:rFonts w:cs="Calibri"/>
          <w:color w:val="000000"/>
        </w:rPr>
        <w:t> </w:t>
      </w:r>
      <w:r w:rsidRPr="00C75194">
        <w:rPr>
          <w:rFonts w:cs="Calibri"/>
          <w:color w:val="000000"/>
        </w:rPr>
        <w:t>otherwise the judge can’t make a decision which means it’s a constraint on any</w:t>
      </w:r>
      <w:r w:rsidRPr="00C75194">
        <w:rPr>
          <w:rStyle w:val="apple-converted-space"/>
          <w:rFonts w:cs="Calibri"/>
          <w:color w:val="000000"/>
        </w:rPr>
        <w:t> </w:t>
      </w:r>
      <w:r w:rsidRPr="00C75194">
        <w:rPr>
          <w:rFonts w:cs="Calibri"/>
          <w:color w:val="000000"/>
        </w:rPr>
        <w:t>rotbbecause otherwise the round is impossible</w:t>
      </w:r>
    </w:p>
    <w:p w14:paraId="2E145634" w14:textId="77777777" w:rsidR="00AE2327" w:rsidRDefault="00AE2327" w:rsidP="00AE2327"/>
    <w:p w14:paraId="5D3BD338" w14:textId="77777777" w:rsidR="00AE2327" w:rsidRDefault="00AE2327" w:rsidP="00AE2327">
      <w:pPr>
        <w:pStyle w:val="Heading3"/>
      </w:pPr>
      <w:r>
        <w:t>Offense</w:t>
      </w:r>
    </w:p>
    <w:p w14:paraId="5B22EC60" w14:textId="77777777" w:rsidR="00AE2327" w:rsidRDefault="00AE2327" w:rsidP="00AE2327"/>
    <w:p w14:paraId="65D30154" w14:textId="77777777" w:rsidR="00AE2327" w:rsidRPr="008F5337" w:rsidRDefault="00AE2327" w:rsidP="00AE2327">
      <w:pPr>
        <w:pStyle w:val="Heading4"/>
      </w:pPr>
      <w:r>
        <w:t>1] A freedom model</w:t>
      </w:r>
      <w:r w:rsidRPr="008F5337">
        <w:t xml:space="preserve"> mandates a market-oriented approach to space—that negates</w:t>
      </w:r>
    </w:p>
    <w:p w14:paraId="6AE6E747" w14:textId="77777777" w:rsidR="00AE2327" w:rsidRPr="008F5337" w:rsidRDefault="00AE2327" w:rsidP="00AE2327">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2" w:history="1">
        <w:r w:rsidRPr="008F5337">
          <w:rPr>
            <w:rStyle w:val="Hyperlink"/>
          </w:rPr>
          <w:t>https://abovethelaw.com/2020/01/space-law-can-only-be-libertarian-minded/</w:t>
        </w:r>
      </w:hyperlink>
      <w:r w:rsidRPr="008F5337">
        <w:t>] TDI</w:t>
      </w:r>
    </w:p>
    <w:p w14:paraId="374380FC" w14:textId="77777777" w:rsidR="00AE2327" w:rsidRPr="0041001C" w:rsidRDefault="00AE2327" w:rsidP="00AE2327">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E21E8">
        <w:rPr>
          <w:rStyle w:val="StyleUnderline"/>
          <w:sz w:val="12"/>
          <w:szCs w:val="12"/>
          <w:u w:val="none"/>
        </w:rPr>
        <w:t>, and if human history is any indicator, private homesteading will follow</w:t>
      </w:r>
      <w:r w:rsidRPr="008E21E8">
        <w:rPr>
          <w:sz w:val="12"/>
          <w:szCs w:val="12"/>
        </w:rPr>
        <w:t>, flag or no flag. We Americans know this is how a Wild West starts, where most regulation becomes the impractical pipe</w:t>
      </w:r>
      <w:r w:rsidRPr="0041001C">
        <w:rPr>
          <w:sz w:val="10"/>
        </w:rPr>
        <w:t xml:space="preserv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33B8167E" w14:textId="77777777" w:rsidR="00AE2327" w:rsidRPr="00E357A5" w:rsidRDefault="00AE2327" w:rsidP="00AE2327"/>
    <w:p w14:paraId="3843BC89" w14:textId="77777777" w:rsidR="00AE2327" w:rsidRDefault="00AE2327" w:rsidP="00AE2327">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3189BB93" w14:textId="77777777" w:rsidR="00AE2327" w:rsidRDefault="00AE2327" w:rsidP="00AE2327"/>
    <w:p w14:paraId="0BEDD245" w14:textId="77777777" w:rsidR="00AE2327" w:rsidRPr="00243A12" w:rsidRDefault="00AE2327" w:rsidP="00AE2327">
      <w:pPr>
        <w:pStyle w:val="Heading2"/>
      </w:pPr>
      <w:r>
        <w:t>2</w:t>
      </w:r>
    </w:p>
    <w:p w14:paraId="3DA848B4" w14:textId="77777777" w:rsidR="00AE2327" w:rsidRPr="0049109F" w:rsidRDefault="00AE2327" w:rsidP="00AE2327">
      <w:pPr>
        <w:pStyle w:val="Heading4"/>
        <w:rPr>
          <w:rFonts w:cs="Calibri"/>
        </w:rPr>
      </w:pPr>
      <w:r w:rsidRPr="006D797E">
        <w:t xml:space="preserve">Interp: Debaters must disclose round reports on the </w:t>
      </w:r>
      <w:r>
        <w:t>2021</w:t>
      </w:r>
      <w:r w:rsidRPr="009A0BAF">
        <w:t>-</w:t>
      </w:r>
      <w:r>
        <w:t>22</w:t>
      </w:r>
      <w:r w:rsidRPr="009A0BAF">
        <w:t xml:space="preserve"> </w:t>
      </w:r>
      <w:r w:rsidRPr="006D797E">
        <w:t xml:space="preserve">NDCA LD wiki for every </w:t>
      </w:r>
      <w:r w:rsidRPr="0049109F">
        <w:rPr>
          <w:rFonts w:cs="Calibri"/>
        </w:rPr>
        <w:t>round they have debated this season. Round reports disclose which positions (AC, NC, K, T, Theory, etc.) were read/gone for in every speech.</w:t>
      </w:r>
    </w:p>
    <w:p w14:paraId="7BF9FE99" w14:textId="77777777" w:rsidR="00AE2327" w:rsidRDefault="00AE2327" w:rsidP="00AE2327">
      <w:pPr>
        <w:pStyle w:val="Heading4"/>
        <w:rPr>
          <w:rFonts w:cs="Calibri"/>
        </w:rPr>
      </w:pPr>
      <w:r w:rsidRPr="0049109F">
        <w:rPr>
          <w:rFonts w:cs="Calibri"/>
        </w:rPr>
        <w:t>Violation: screenshot in the doc –</w:t>
      </w:r>
      <w:r>
        <w:rPr>
          <w:rFonts w:cs="Calibri"/>
        </w:rPr>
        <w:t xml:space="preserve"> they’re missing rounds from every tournament they’ve been to</w:t>
      </w:r>
    </w:p>
    <w:p w14:paraId="40A93249" w14:textId="77777777" w:rsidR="00AE2327" w:rsidRPr="0095368A" w:rsidRDefault="00AE2327" w:rsidP="00AE2327">
      <w:r>
        <w:rPr>
          <w:noProof/>
        </w:rPr>
        <w:drawing>
          <wp:inline distT="0" distB="0" distL="0" distR="0" wp14:anchorId="59660745" wp14:editId="3A31D130">
            <wp:extent cx="11823700" cy="70866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2-20 at 10.32.05 AM.png"/>
                    <pic:cNvPicPr/>
                  </pic:nvPicPr>
                  <pic:blipFill>
                    <a:blip r:embed="rId13"/>
                    <a:stretch>
                      <a:fillRect/>
                    </a:stretch>
                  </pic:blipFill>
                  <pic:spPr>
                    <a:xfrm>
                      <a:off x="0" y="0"/>
                      <a:ext cx="11823700" cy="7086600"/>
                    </a:xfrm>
                    <a:prstGeom prst="rect">
                      <a:avLst/>
                    </a:prstGeom>
                  </pic:spPr>
                </pic:pic>
              </a:graphicData>
            </a:graphic>
          </wp:inline>
        </w:drawing>
      </w:r>
    </w:p>
    <w:p w14:paraId="35FAFA5B" w14:textId="77777777" w:rsidR="00AE2327" w:rsidRPr="0049109F" w:rsidRDefault="00AE2327" w:rsidP="00AE2327">
      <w:pPr>
        <w:pStyle w:val="Heading4"/>
        <w:rPr>
          <w:rFonts w:cs="Calibri"/>
        </w:rPr>
      </w:pPr>
      <w:r w:rsidRPr="0049109F">
        <w:rPr>
          <w:rFonts w:cs="Calibri"/>
        </w:rPr>
        <w:t>Standards:</w:t>
      </w:r>
    </w:p>
    <w:p w14:paraId="786334BF" w14:textId="77777777" w:rsidR="00AE2327" w:rsidRPr="0049109F" w:rsidRDefault="00AE2327" w:rsidP="00AE2327">
      <w:pPr>
        <w:pStyle w:val="Heading4"/>
        <w:rPr>
          <w:rFonts w:cs="Calibri"/>
        </w:rPr>
      </w:pPr>
      <w:r w:rsidRPr="0049109F">
        <w:rPr>
          <w:rFonts w:cs="Calibri"/>
        </w:rPr>
        <w:t>1] Level Playing Field – big schools can go around and scout and collect flows but independents are left in the dark so round reports are key to prep- they give you an idea of overall what layers debaters like going for so you can best prepare your strategy when you hit them. Accessibility first and independent voter – it’s an impact multiplier</w:t>
      </w:r>
    </w:p>
    <w:p w14:paraId="10EB6C5D" w14:textId="77777777" w:rsidR="00AE2327" w:rsidRPr="0049109F" w:rsidRDefault="00AE2327" w:rsidP="00AE2327">
      <w:pPr>
        <w:pStyle w:val="Heading4"/>
        <w:rPr>
          <w:rFonts w:cs="Calibri"/>
        </w:rPr>
      </w:pPr>
      <w:r w:rsidRPr="0049109F">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14:paraId="32A8F1B2" w14:textId="77777777" w:rsidR="00AE2327" w:rsidRPr="0049109F" w:rsidRDefault="00AE2327" w:rsidP="00AE2327">
      <w:pPr>
        <w:pStyle w:val="Heading4"/>
        <w:rPr>
          <w:rFonts w:eastAsia="Times New Roman" w:cs="Calibri"/>
        </w:rPr>
      </w:pPr>
      <w:r w:rsidRPr="0049109F">
        <w:rPr>
          <w:rFonts w:eastAsia="Times New Roman" w:cs="Calibri"/>
          <w:color w:val="000000"/>
        </w:rPr>
        <w:t>3] Pre-round prep –1ARs gives especially give an idea of what type of debater someone is – they could go for 1AR theory every round– otherwise I enter every round unknowing whereas you have an idea of what you want to go for from the start.</w:t>
      </w:r>
    </w:p>
    <w:p w14:paraId="164CFF33" w14:textId="77777777" w:rsidR="00AE2327" w:rsidRPr="00D444A5" w:rsidRDefault="00AE2327" w:rsidP="00AE2327">
      <w:pPr>
        <w:pStyle w:val="Heading4"/>
        <w:rPr>
          <w:rFonts w:ascii="-webkit-standard" w:hAnsi="-webkit-standard" w:hint="eastAsia"/>
        </w:rPr>
      </w:pPr>
      <w:r w:rsidRPr="00D444A5">
        <w:rPr>
          <w:rFonts w:ascii="-webkit-standard" w:hAnsi="-webkit-standard"/>
        </w:rPr>
        <w:t> </w:t>
      </w:r>
    </w:p>
    <w:p w14:paraId="22E71096" w14:textId="77777777" w:rsidR="00AE2327" w:rsidRPr="004B4633" w:rsidRDefault="00AE2327" w:rsidP="00AE2327">
      <w:pPr>
        <w:pStyle w:val="Heading4"/>
        <w:rPr>
          <w:rFonts w:ascii="Times New Roman" w:hAnsi="Times New Roman" w:cs="Times New Roman"/>
          <w:sz w:val="24"/>
        </w:rPr>
      </w:pPr>
      <w:r w:rsidRPr="004B4633">
        <w:t>Fairness comes before the AC – A] Inescapable – every argument you make concedes the authority of fairness: i.e. that the judge will evaluate your arguments fairly so if they say fairness doesn’t matter you can just vote neg because that’s unfair so who cards B] Skews ability to evaluate substance – if one debater had ten minutes to speak and the other had three there would be incongruence that alters ability to judge the winner</w:t>
      </w:r>
    </w:p>
    <w:p w14:paraId="157401CB" w14:textId="77777777" w:rsidR="00AE2327" w:rsidRPr="0049109F" w:rsidRDefault="00AE2327" w:rsidP="00AE2327">
      <w:pPr>
        <w:spacing w:before="30" w:after="0"/>
        <w:rPr>
          <w:color w:val="000000"/>
          <w:sz w:val="26"/>
          <w:szCs w:val="26"/>
        </w:rPr>
      </w:pPr>
    </w:p>
    <w:p w14:paraId="1E757E2C" w14:textId="77777777" w:rsidR="00AE2327" w:rsidRPr="0049109F" w:rsidRDefault="00AE2327" w:rsidP="00AE2327">
      <w:pPr>
        <w:spacing w:before="30" w:after="0"/>
        <w:rPr>
          <w:color w:val="000000"/>
          <w:sz w:val="26"/>
          <w:szCs w:val="26"/>
        </w:rPr>
      </w:pPr>
      <w:r w:rsidRPr="0049109F">
        <w:rPr>
          <w:rStyle w:val="s7"/>
          <w:rFonts w:eastAsiaTheme="majorEastAsia"/>
          <w:b/>
          <w:bCs/>
          <w:color w:val="000000"/>
          <w:sz w:val="26"/>
          <w:szCs w:val="26"/>
        </w:rPr>
        <w:t>Education – it’s the only portable skill in debate</w:t>
      </w:r>
    </w:p>
    <w:p w14:paraId="1C762505" w14:textId="77777777" w:rsidR="00AE2327" w:rsidRPr="0049109F" w:rsidRDefault="00AE2327" w:rsidP="00AE2327">
      <w:pPr>
        <w:spacing w:before="30" w:after="0"/>
        <w:rPr>
          <w:color w:val="000000"/>
          <w:sz w:val="26"/>
          <w:szCs w:val="26"/>
        </w:rPr>
      </w:pPr>
      <w:r w:rsidRPr="0049109F">
        <w:rPr>
          <w:rStyle w:val="s7"/>
          <w:rFonts w:eastAsiaTheme="majorEastAsia"/>
          <w:b/>
          <w:bCs/>
          <w:color w:val="000000"/>
          <w:sz w:val="26"/>
          <w:szCs w:val="26"/>
        </w:rPr>
        <w:t>DTD – </w:t>
      </w:r>
    </w:p>
    <w:p w14:paraId="7B76EBC8" w14:textId="77777777" w:rsidR="00AE2327" w:rsidRPr="0049109F" w:rsidRDefault="00AE2327" w:rsidP="00AE2327">
      <w:pPr>
        <w:spacing w:before="30" w:after="0"/>
        <w:rPr>
          <w:color w:val="000000"/>
          <w:sz w:val="26"/>
          <w:szCs w:val="26"/>
        </w:rPr>
      </w:pPr>
      <w:r w:rsidRPr="0049109F">
        <w:rPr>
          <w:rStyle w:val="s7"/>
          <w:rFonts w:eastAsiaTheme="majorEastAsia"/>
          <w:b/>
          <w:bCs/>
          <w:color w:val="000000"/>
          <w:sz w:val="26"/>
          <w:szCs w:val="26"/>
        </w:rPr>
        <w:t>a) Deters future abuse</w:t>
      </w:r>
    </w:p>
    <w:p w14:paraId="1C4055FD" w14:textId="77777777" w:rsidR="00AE2327" w:rsidRPr="0049109F" w:rsidRDefault="00AE2327" w:rsidP="00AE2327">
      <w:pPr>
        <w:spacing w:before="30" w:after="0"/>
        <w:rPr>
          <w:color w:val="000000"/>
          <w:sz w:val="26"/>
          <w:szCs w:val="26"/>
        </w:rPr>
      </w:pPr>
      <w:r w:rsidRPr="0049109F">
        <w:rPr>
          <w:rStyle w:val="s7"/>
          <w:rFonts w:eastAsiaTheme="majorEastAsia"/>
          <w:b/>
          <w:bCs/>
          <w:color w:val="000000"/>
          <w:sz w:val="26"/>
          <w:szCs w:val="26"/>
        </w:rPr>
        <w:t>b) Rectifies time loss</w:t>
      </w:r>
    </w:p>
    <w:p w14:paraId="6B2F87F9" w14:textId="77777777" w:rsidR="00AE2327" w:rsidRPr="0049109F" w:rsidRDefault="00AE2327" w:rsidP="00AE2327">
      <w:pPr>
        <w:spacing w:before="30" w:after="0"/>
        <w:rPr>
          <w:color w:val="000000"/>
          <w:sz w:val="26"/>
          <w:szCs w:val="26"/>
        </w:rPr>
      </w:pPr>
      <w:r w:rsidRPr="0049109F">
        <w:rPr>
          <w:rStyle w:val="s7"/>
          <w:rFonts w:eastAsiaTheme="majorEastAsia"/>
          <w:b/>
          <w:bCs/>
          <w:color w:val="000000"/>
          <w:sz w:val="26"/>
          <w:szCs w:val="26"/>
        </w:rPr>
        <w:t>c) DTA encourages baiting – Debaters could fill their cases w/ abusive args, baiting theory and then just drop the argument in the next speech and go for undercovered substance</w:t>
      </w:r>
    </w:p>
    <w:p w14:paraId="164DC6E6" w14:textId="77777777" w:rsidR="00AE2327" w:rsidRDefault="00AE2327" w:rsidP="00AE2327"/>
    <w:p w14:paraId="40D42A0A" w14:textId="77777777" w:rsidR="00AE2327" w:rsidRDefault="00AE2327" w:rsidP="00AE2327">
      <w:pPr>
        <w:pStyle w:val="Heading2"/>
      </w:pPr>
      <w:r>
        <w:t>3</w:t>
      </w:r>
    </w:p>
    <w:p w14:paraId="265D9C39" w14:textId="77777777" w:rsidR="00AE2327" w:rsidRDefault="00AE2327" w:rsidP="00AE2327">
      <w:pPr>
        <w:pStyle w:val="Heading4"/>
      </w:pPr>
      <w:r>
        <w:t xml:space="preserve">Interp: The affirmative must define “private entities” in a delimited text in the 1AC.  </w:t>
      </w:r>
    </w:p>
    <w:p w14:paraId="703F0155" w14:textId="77777777" w:rsidR="00AE2327" w:rsidRPr="000B1628" w:rsidRDefault="00AE2327" w:rsidP="00AE2327">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3C2316C9" w14:textId="77777777" w:rsidR="00AE2327" w:rsidRDefault="00AE2327" w:rsidP="00AE2327">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4" w:history="1">
        <w:r w:rsidRPr="00474713">
          <w:rPr>
            <w:rStyle w:val="Hyperlink"/>
          </w:rPr>
          <w:t>https://www.upcounsel.com/private-entity</w:t>
        </w:r>
      </w:hyperlink>
      <w:r>
        <w:t xml:space="preserve"> //Xu]</w:t>
      </w:r>
    </w:p>
    <w:p w14:paraId="292DEF11" w14:textId="77777777" w:rsidR="00AE2327" w:rsidRDefault="00AE2327" w:rsidP="00AE2327">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6239350B" w14:textId="77777777" w:rsidR="00AE2327" w:rsidRDefault="00AE2327" w:rsidP="00AE2327">
      <w:r>
        <w:t>Unlike publicly traded companies, private companies do not have public stock offerings on Nasdaq, American Stock Exchange, or the New York Stock Exchange. Instead, they offer shares privately to interested investors, who may trade among themselves.</w:t>
      </w:r>
    </w:p>
    <w:p w14:paraId="47B4C6FB" w14:textId="77777777" w:rsidR="00AE2327" w:rsidRDefault="00AE2327" w:rsidP="00AE2327">
      <w:r>
        <w:t>Private Company vs. Private Entity</w:t>
      </w:r>
    </w:p>
    <w:p w14:paraId="7D4258CE" w14:textId="77777777" w:rsidR="00AE2327" w:rsidRDefault="00AE2327" w:rsidP="00AE2327">
      <w:r>
        <w:t>The Companies Act of 2013 governs the registration of private companies.</w:t>
      </w:r>
    </w:p>
    <w:p w14:paraId="7555DDEE" w14:textId="77777777" w:rsidR="00AE2327" w:rsidRDefault="00AE2327" w:rsidP="00AE2327">
      <w:r>
        <w:t>This type of company is formed by following the steps laid out by this law.</w:t>
      </w:r>
    </w:p>
    <w:p w14:paraId="7A2FE07A" w14:textId="77777777" w:rsidR="00AE2327" w:rsidRDefault="00AE2327" w:rsidP="00AE2327">
      <w:r>
        <w:t>Private entities are determined not by this law but by ownership and holding. For example, sole proprietorships and partnerships are designed as private entities.</w:t>
      </w:r>
    </w:p>
    <w:p w14:paraId="19C3B39D" w14:textId="77777777" w:rsidR="00AE2327" w:rsidRDefault="00AE2327" w:rsidP="00AE2327">
      <w:r>
        <w:t>A private entity is not necessarily a private company, but all private companies are private entities.</w:t>
      </w:r>
    </w:p>
    <w:p w14:paraId="03CE5B4A" w14:textId="77777777" w:rsidR="00AE2327" w:rsidRDefault="00AE2327" w:rsidP="00AE2327">
      <w:r>
        <w:t>How Private Entities Work</w:t>
      </w:r>
    </w:p>
    <w:p w14:paraId="1E90E3C7" w14:textId="77777777" w:rsidR="00AE2327" w:rsidRDefault="00AE2327" w:rsidP="00AE2327">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377EFE1E" w14:textId="77777777" w:rsidR="00AE2327" w:rsidRDefault="00AE2327" w:rsidP="00AE2327">
      <w:r>
        <w:t>How FOIA Affects Private Entities</w:t>
      </w:r>
    </w:p>
    <w:p w14:paraId="1DE7A0EA" w14:textId="77777777" w:rsidR="00AE2327" w:rsidRDefault="00AE2327" w:rsidP="00AE2327">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5A14E695" w14:textId="77777777" w:rsidR="00AE2327" w:rsidRDefault="00AE2327" w:rsidP="00AE2327">
      <w:r>
        <w:t>Federal, state, and local government agencies, such as the Federal Communications Commission.</w:t>
      </w:r>
    </w:p>
    <w:p w14:paraId="6EDEB718" w14:textId="77777777" w:rsidR="00AE2327" w:rsidRDefault="00AE2327" w:rsidP="00AE2327">
      <w:r>
        <w:t>Certain state legislatures depending on the laws in those states.</w:t>
      </w:r>
    </w:p>
    <w:p w14:paraId="7123132B" w14:textId="77777777" w:rsidR="00AE2327" w:rsidRDefault="00AE2327" w:rsidP="00AE2327">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69A357C6" w14:textId="77777777" w:rsidR="00AE2327" w:rsidRDefault="00AE2327" w:rsidP="00AE2327">
      <w:pPr>
        <w:pStyle w:val="Heading4"/>
      </w:pPr>
      <w:r w:rsidRPr="00831D2B">
        <w:rPr>
          <w:rFonts w:cs="Calibri"/>
        </w:rPr>
        <w:t>Violation – you don’t.</w:t>
      </w:r>
    </w:p>
    <w:p w14:paraId="3A6B2A36" w14:textId="77777777" w:rsidR="00AE2327" w:rsidRPr="00831D2B" w:rsidRDefault="00AE2327" w:rsidP="00AE2327">
      <w:pPr>
        <w:pStyle w:val="Heading4"/>
        <w:spacing w:line="240" w:lineRule="auto"/>
        <w:rPr>
          <w:rFonts w:cs="Calibri"/>
        </w:rPr>
      </w:pPr>
      <w:r>
        <w:rPr>
          <w:rFonts w:cs="Calibri"/>
        </w:rPr>
        <w:t xml:space="preserve">Prefer – </w:t>
      </w:r>
    </w:p>
    <w:p w14:paraId="3C3F26F2" w14:textId="77777777" w:rsidR="00AE2327" w:rsidRPr="002B6529" w:rsidRDefault="00AE2327" w:rsidP="00AE2327">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5DC5D6C6" w14:textId="77777777" w:rsidR="00AE2327" w:rsidRDefault="00AE2327" w:rsidP="00AE2327">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09CD4100" w14:textId="77777777" w:rsidR="00AE2327" w:rsidRPr="0095368A" w:rsidRDefault="00AE2327" w:rsidP="00AE2327"/>
    <w:p w14:paraId="22435307" w14:textId="77777777" w:rsidR="00AE2327" w:rsidRDefault="00AE2327" w:rsidP="00AE2327">
      <w:pPr>
        <w:pStyle w:val="Heading2"/>
      </w:pPr>
      <w:r>
        <w:t>4</w:t>
      </w:r>
    </w:p>
    <w:p w14:paraId="0BD4E599" w14:textId="77777777" w:rsidR="00AE2327" w:rsidRPr="00243A12" w:rsidRDefault="00AE2327" w:rsidP="00AE2327">
      <w:pPr>
        <w:pStyle w:val="Heading4"/>
        <w:rPr>
          <w:rFonts w:ascii="-webkit-standard" w:hAnsi="-webkit-standard" w:cs="Times New Roman" w:hint="eastAsia"/>
          <w:sz w:val="23"/>
          <w:szCs w:val="23"/>
        </w:rPr>
      </w:pPr>
      <w:r w:rsidRPr="00243A12">
        <w:t>Paradigm for 1AR shells and independent voters:</w:t>
      </w:r>
    </w:p>
    <w:p w14:paraId="0178DEF3" w14:textId="77777777" w:rsidR="00AE2327" w:rsidRPr="00243A12" w:rsidRDefault="00AE2327" w:rsidP="00AE2327"/>
    <w:p w14:paraId="150DC4E1" w14:textId="77777777" w:rsidR="00AE2327" w:rsidRDefault="00AE2327" w:rsidP="00AE2327">
      <w:pPr>
        <w:pStyle w:val="Heading4"/>
      </w:pPr>
      <w:r w:rsidRPr="00243A12">
        <w:t>DTA – They can blow up a blippy 20 second shell to 3 min of the 2AR while I have to split my time and can’t preempt 2AR spin which necessitates judge intervention and means 1AR theory is irresolvable so you shouldn’t stake the round on it. </w:t>
      </w:r>
    </w:p>
    <w:p w14:paraId="4C46B2D9" w14:textId="77777777" w:rsidR="00AE2327" w:rsidRDefault="00AE2327" w:rsidP="00AE2327"/>
    <w:p w14:paraId="4D977315" w14:textId="77777777" w:rsidR="00AE2327" w:rsidRPr="00243A12" w:rsidRDefault="00AE2327" w:rsidP="00AE2327">
      <w:pPr>
        <w:pStyle w:val="Heading4"/>
        <w:rPr>
          <w:rFonts w:ascii="-webkit-standard" w:hAnsi="-webkit-standard" w:cs="Times New Roman" w:hint="eastAsia"/>
          <w:sz w:val="23"/>
          <w:szCs w:val="23"/>
        </w:rPr>
      </w:pPr>
      <w:r w:rsidRPr="00243A12">
        <w:t>RVIs – 1AR being able to spend 20 seconds on a shell and still win forces the 2N to allocate at least 2:30 on the shell which means RVIs check back time skew – outweighs on quantifiability.</w:t>
      </w:r>
    </w:p>
    <w:p w14:paraId="4626B875" w14:textId="77777777" w:rsidR="00AE2327" w:rsidRDefault="00AE2327" w:rsidP="00AE2327">
      <w:pPr>
        <w:pStyle w:val="Heading4"/>
      </w:pPr>
    </w:p>
    <w:p w14:paraId="744D6D46" w14:textId="77777777" w:rsidR="00AE2327" w:rsidRPr="00243A12" w:rsidRDefault="00AE2327" w:rsidP="00AE2327">
      <w:pPr>
        <w:pStyle w:val="Heading2"/>
      </w:pPr>
    </w:p>
    <w:p w14:paraId="31804582" w14:textId="77777777" w:rsidR="00E42E4C" w:rsidRPr="00AE2327" w:rsidRDefault="00E42E4C" w:rsidP="00AE2327"/>
    <w:sectPr w:rsidR="00E42E4C" w:rsidRPr="00AE232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1A9BB" w14:textId="77777777" w:rsidR="00874DE7" w:rsidRDefault="00874DE7" w:rsidP="00AA64BF">
      <w:pPr>
        <w:spacing w:after="0" w:line="240" w:lineRule="auto"/>
      </w:pPr>
      <w:r>
        <w:separator/>
      </w:r>
    </w:p>
  </w:endnote>
  <w:endnote w:type="continuationSeparator" w:id="0">
    <w:p w14:paraId="0ACF240B" w14:textId="77777777" w:rsidR="00874DE7" w:rsidRDefault="00874DE7"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50599" w14:textId="77777777" w:rsidR="00874DE7" w:rsidRDefault="00874DE7" w:rsidP="00AA64BF">
      <w:pPr>
        <w:spacing w:after="0" w:line="240" w:lineRule="auto"/>
      </w:pPr>
      <w:r>
        <w:separator/>
      </w:r>
    </w:p>
  </w:footnote>
  <w:footnote w:type="continuationSeparator" w:id="0">
    <w:p w14:paraId="10C7ABFA" w14:textId="77777777" w:rsidR="00874DE7" w:rsidRDefault="00874DE7"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DE7"/>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23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5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5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275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DE2"/>
  </w:style>
  <w:style w:type="character" w:customStyle="1" w:styleId="Heading1Char">
    <w:name w:val="Heading 1 Char"/>
    <w:aliases w:val="Pocket Char"/>
    <w:basedOn w:val="DefaultParagraphFont"/>
    <w:link w:val="Heading1"/>
    <w:uiPriority w:val="9"/>
    <w:rsid w:val="00275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5D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275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DE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275DE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275D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5D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275DE2"/>
    <w:rPr>
      <w:color w:val="auto"/>
      <w:u w:val="none"/>
    </w:rPr>
  </w:style>
  <w:style w:type="paragraph" w:styleId="DocumentMap">
    <w:name w:val="Document Map"/>
    <w:basedOn w:val="Normal"/>
    <w:link w:val="DocumentMapChar"/>
    <w:uiPriority w:val="99"/>
    <w:semiHidden/>
    <w:unhideWhenUsed/>
    <w:rsid w:val="00275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DE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pcounsel.com/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35</cp:revision>
  <dcterms:created xsi:type="dcterms:W3CDTF">2021-09-04T20:57:00Z</dcterms:created>
  <dcterms:modified xsi:type="dcterms:W3CDTF">2022-01-15T13:44:00Z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