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7495B" w14:textId="77777777" w:rsidR="009C0950" w:rsidRDefault="009C0950" w:rsidP="009C0950">
      <w:pPr>
        <w:pStyle w:val="Heading1"/>
      </w:pPr>
      <w:r>
        <w:t>Harvard 2022 r5 1nc</w:t>
      </w:r>
    </w:p>
    <w:p w14:paraId="693615FA" w14:textId="77777777" w:rsidR="009C0950" w:rsidRDefault="009C0950" w:rsidP="009C0950"/>
    <w:p w14:paraId="5AF60391" w14:textId="77777777" w:rsidR="009C0950" w:rsidRDefault="009C0950" w:rsidP="009C0950">
      <w:pPr>
        <w:pStyle w:val="Heading2"/>
      </w:pPr>
      <w:r>
        <w:lastRenderedPageBreak/>
        <w:t>1</w:t>
      </w:r>
    </w:p>
    <w:p w14:paraId="2AF3B329" w14:textId="77777777" w:rsidR="009C0950" w:rsidRDefault="009C0950" w:rsidP="009C0950"/>
    <w:p w14:paraId="622CEB6F" w14:textId="77777777" w:rsidR="009C0950" w:rsidRDefault="009C0950" w:rsidP="009C0950">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050DC5C" w14:textId="77777777" w:rsidR="009C0950" w:rsidRDefault="009C0950" w:rsidP="009C0950">
      <w:pPr>
        <w:pStyle w:val="Heading4"/>
      </w:pPr>
      <w:r>
        <w:t>Constitutivism solves – it allows for universal obligations among all agents but they are binding and cannot be opted out of.</w:t>
      </w:r>
    </w:p>
    <w:p w14:paraId="6922A9DC" w14:textId="77777777" w:rsidR="009C0950" w:rsidRPr="007A71B9" w:rsidRDefault="009C0950" w:rsidP="009C0950"/>
    <w:p w14:paraId="71DB4140" w14:textId="77777777" w:rsidR="009C0950" w:rsidRDefault="009C0950" w:rsidP="009C0950">
      <w:pPr>
        <w:pStyle w:val="Heading4"/>
      </w:pPr>
      <w:r>
        <w:t>Next, only practical reason is constitutive:</w:t>
      </w:r>
    </w:p>
    <w:p w14:paraId="03631669" w14:textId="77777777" w:rsidR="009C0950" w:rsidRDefault="009C0950" w:rsidP="009C0950">
      <w:pPr>
        <w:pStyle w:val="Heading4"/>
      </w:pPr>
      <w:r>
        <w:t>[1] Regress – to question why one should reason concedes its authority since it is an act of reasoning itself which proves it’s binding and inescapable</w:t>
      </w:r>
    </w:p>
    <w:p w14:paraId="0B5F6BD3" w14:textId="77777777" w:rsidR="009C0950" w:rsidRDefault="009C0950" w:rsidP="009C0950">
      <w:pPr>
        <w:pStyle w:val="Heading4"/>
      </w:pPr>
      <w:r>
        <w:t>[2] Agents can shift between different identities but doing so requires reason - it unifies the subject and is the only enterprise agents cannot escape</w:t>
      </w:r>
    </w:p>
    <w:p w14:paraId="66B84189" w14:textId="77777777" w:rsidR="009C0950" w:rsidRPr="00E63F3E" w:rsidRDefault="009C0950" w:rsidP="009C0950">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5B71456" w14:textId="77777777" w:rsidR="009C0950" w:rsidRDefault="009C0950" w:rsidP="009C0950">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B9412D7" w14:textId="77777777" w:rsidR="009C0950" w:rsidRPr="0051320E" w:rsidRDefault="009C0950" w:rsidP="009C0950"/>
    <w:p w14:paraId="1AA395A7" w14:textId="77777777" w:rsidR="009C0950" w:rsidRDefault="009C0950" w:rsidP="009C0950">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0B0EF74" w14:textId="77777777" w:rsidR="009C0950" w:rsidRDefault="009C0950" w:rsidP="009C0950"/>
    <w:p w14:paraId="6EDEE910" w14:textId="77777777" w:rsidR="009C0950" w:rsidRDefault="009C0950" w:rsidP="009C0950"/>
    <w:p w14:paraId="78A0064B" w14:textId="77777777" w:rsidR="009C0950" w:rsidRPr="00C75194" w:rsidRDefault="009C0950" w:rsidP="009C0950">
      <w:pPr>
        <w:pStyle w:val="Heading4"/>
      </w:pPr>
      <w:r w:rsidRPr="00C75194">
        <w:t>Thus, the standard is consistency with a system of equal and outer freedoms. Prefer:</w:t>
      </w:r>
    </w:p>
    <w:p w14:paraId="2E1E5246" w14:textId="77777777" w:rsidR="009C0950" w:rsidRPr="00C75194" w:rsidRDefault="009C0950" w:rsidP="009C0950">
      <w:pPr>
        <w:pStyle w:val="Heading4"/>
      </w:pPr>
    </w:p>
    <w:p w14:paraId="5C4717FA" w14:textId="77777777" w:rsidR="009C0950" w:rsidRPr="00C75194" w:rsidRDefault="009C0950" w:rsidP="009C0950">
      <w:pPr>
        <w:pStyle w:val="Heading4"/>
        <w:rPr>
          <w:rFonts w:ascii="-webkit-standard" w:hAnsi="-webkit-standard" w:cs="Times New Roman" w:hint="eastAsia"/>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2E6FB5C7" w14:textId="77777777" w:rsidR="009C0950" w:rsidRPr="00C75194" w:rsidRDefault="009C0950" w:rsidP="009C0950">
      <w:pPr>
        <w:pStyle w:val="Heading4"/>
        <w:rPr>
          <w:rFonts w:ascii="-webkit-standard" w:hAnsi="-webkit-standard" w:hint="eastAsia"/>
          <w:color w:val="000000"/>
        </w:rPr>
      </w:pPr>
      <w:r w:rsidRPr="00C75194">
        <w:rPr>
          <w:rFonts w:ascii="-webkit-standard" w:hAnsi="-webkit-standard"/>
          <w:color w:val="000000"/>
        </w:rPr>
        <w:t> </w:t>
      </w:r>
    </w:p>
    <w:p w14:paraId="0E9D529C" w14:textId="77777777" w:rsidR="009C0950" w:rsidRDefault="009C0950" w:rsidP="009C0950">
      <w:pPr>
        <w:pStyle w:val="Heading4"/>
        <w:rPr>
          <w:rFonts w:cs="Calibri"/>
          <w:color w:val="000000"/>
        </w:rPr>
      </w:pPr>
      <w:r w:rsidRPr="00C75194">
        <w:rPr>
          <w:rFonts w:cs="Calibri"/>
          <w:color w:val="000000"/>
        </w:rPr>
        <w:t>2]</w:t>
      </w:r>
      <w:r w:rsidRPr="00C75194">
        <w:rPr>
          <w:rStyle w:val="apple-converted-space"/>
          <w:rFonts w:cs="Calibri"/>
          <w:color w:val="000000"/>
        </w:rPr>
        <w:t> </w:t>
      </w:r>
      <w:r w:rsidRPr="00C75194">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Fonts w:cs="Calibri"/>
          <w:color w:val="000000"/>
        </w:rPr>
        <w:t>cuz</w:t>
      </w:r>
      <w:r w:rsidRPr="00C75194">
        <w:rPr>
          <w:rStyle w:val="apple-converted-space"/>
          <w:rFonts w:cs="Calibri"/>
          <w:color w:val="000000"/>
        </w:rPr>
        <w:t> </w:t>
      </w:r>
      <w:r w:rsidRPr="00C75194">
        <w:rPr>
          <w:rFonts w:cs="Calibri"/>
          <w:color w:val="000000"/>
        </w:rPr>
        <w:t>otherwise the judge can’t make a decision which means it’s a constraint on any</w:t>
      </w:r>
      <w:r w:rsidRPr="00C75194">
        <w:rPr>
          <w:rStyle w:val="apple-converted-space"/>
          <w:rFonts w:cs="Calibri"/>
          <w:color w:val="000000"/>
        </w:rPr>
        <w:t> </w:t>
      </w:r>
      <w:r w:rsidRPr="00C75194">
        <w:rPr>
          <w:rFonts w:cs="Calibri"/>
          <w:color w:val="000000"/>
        </w:rPr>
        <w:t>rotbbecause otherwise the round is impossible</w:t>
      </w:r>
    </w:p>
    <w:p w14:paraId="4476F0CE" w14:textId="77777777" w:rsidR="009C0950" w:rsidRDefault="009C0950" w:rsidP="009C0950"/>
    <w:p w14:paraId="2200E947" w14:textId="77777777" w:rsidR="009C0950" w:rsidRDefault="009C0950" w:rsidP="009C0950">
      <w:pPr>
        <w:pStyle w:val="Heading3"/>
      </w:pPr>
      <w:r>
        <w:lastRenderedPageBreak/>
        <w:t>Offense</w:t>
      </w:r>
    </w:p>
    <w:p w14:paraId="1802057D" w14:textId="77777777" w:rsidR="009C0950" w:rsidRDefault="009C0950" w:rsidP="009C0950"/>
    <w:p w14:paraId="209944D5" w14:textId="77777777" w:rsidR="009C0950" w:rsidRDefault="009C0950" w:rsidP="009C0950">
      <w:pPr>
        <w:pStyle w:val="Heading4"/>
      </w:pPr>
      <w:r>
        <w:t>1]</w:t>
      </w:r>
      <w:r w:rsidRPr="00422450">
        <w:t xml:space="preserve"> </w:t>
      </w:r>
      <w:r>
        <w:t>There is no such thing as unjust initial acquisition – an injustice requires one whose right has been violated, which cannot be the case if a resource is unclaimed.</w:t>
      </w:r>
    </w:p>
    <w:p w14:paraId="32F2709A" w14:textId="77777777" w:rsidR="009C0950" w:rsidRPr="00C67964" w:rsidRDefault="009C0950" w:rsidP="009C0950">
      <w:pPr>
        <w:rPr>
          <w:sz w:val="16"/>
        </w:rPr>
      </w:pPr>
      <w:r w:rsidRPr="00C67964">
        <w:rPr>
          <w:rStyle w:val="Emphasis"/>
        </w:rPr>
        <w:t>Feser</w:t>
      </w:r>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19D699E4" w14:textId="77777777" w:rsidR="009C0950" w:rsidRPr="00EB5A47" w:rsidRDefault="009C0950" w:rsidP="009C0950">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58DA806A" w14:textId="77777777" w:rsidR="009C0950" w:rsidRPr="00E357A5" w:rsidRDefault="009C0950" w:rsidP="009C0950"/>
    <w:p w14:paraId="517D5260" w14:textId="77777777" w:rsidR="009C0950" w:rsidRDefault="009C0950" w:rsidP="009C0950">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4FCE0DFB" w14:textId="77777777" w:rsidR="009C0950" w:rsidRDefault="009C0950" w:rsidP="009C0950"/>
    <w:p w14:paraId="2EFB3F9C" w14:textId="77777777" w:rsidR="009C0950" w:rsidRPr="008F5337" w:rsidRDefault="009C0950" w:rsidP="009C0950">
      <w:pPr>
        <w:pStyle w:val="Heading4"/>
      </w:pPr>
      <w:r>
        <w:t xml:space="preserve">[3] </w:t>
      </w:r>
      <w:r w:rsidRPr="008F5337">
        <w:t>Libertarianism mandates a market-oriented approach to space—that negates</w:t>
      </w:r>
    </w:p>
    <w:p w14:paraId="77C40CF3" w14:textId="77777777" w:rsidR="009C0950" w:rsidRPr="008F5337" w:rsidRDefault="009C0950" w:rsidP="009C0950">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2" w:history="1">
        <w:r w:rsidRPr="008F5337">
          <w:rPr>
            <w:rStyle w:val="Hyperlink"/>
          </w:rPr>
          <w:t>https://abovethelaw.com/2020/01/space-law-can-only-be-libertarian-minded/</w:t>
        </w:r>
      </w:hyperlink>
      <w:r w:rsidRPr="008F5337">
        <w:t>] TDI</w:t>
      </w:r>
    </w:p>
    <w:p w14:paraId="3731B8D8" w14:textId="77777777" w:rsidR="009C0950" w:rsidRPr="00422450" w:rsidRDefault="009C0950" w:rsidP="009C0950">
      <w:pPr>
        <w:rPr>
          <w:sz w:val="10"/>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w:t>
      </w:r>
      <w:r w:rsidRPr="0041001C">
        <w:rPr>
          <w:sz w:val="10"/>
        </w:rPr>
        <w:lastRenderedPageBreak/>
        <w:t xml:space="preserve">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E21E8">
        <w:rPr>
          <w:rStyle w:val="StyleUnderline"/>
          <w:sz w:val="12"/>
          <w:szCs w:val="12"/>
          <w:u w:val="none"/>
        </w:rPr>
        <w:t>, and if human history is any indicator, private homesteading will follow</w:t>
      </w:r>
      <w:r w:rsidRPr="008E21E8">
        <w:rPr>
          <w:sz w:val="12"/>
          <w:szCs w:val="12"/>
        </w:rPr>
        <w:t>, flag or no flag. We Americans know this is how a Wild West starts, where most regulation becomes the impractical pipe</w:t>
      </w:r>
      <w:r w:rsidRPr="0041001C">
        <w:rPr>
          <w:sz w:val="10"/>
        </w:rPr>
        <w:t xml:space="preserv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098D05F9" w14:textId="77777777" w:rsidR="009C0950" w:rsidRPr="00B5056F" w:rsidRDefault="009C0950" w:rsidP="009C0950"/>
    <w:p w14:paraId="022ACA39" w14:textId="77777777" w:rsidR="009C0950" w:rsidRDefault="009C0950" w:rsidP="009C0950">
      <w:pPr>
        <w:pStyle w:val="Heading2"/>
      </w:pPr>
      <w:r>
        <w:lastRenderedPageBreak/>
        <w:t>2</w:t>
      </w:r>
    </w:p>
    <w:p w14:paraId="3E9C98FD" w14:textId="77777777" w:rsidR="009C0950" w:rsidRPr="009A0BAF" w:rsidRDefault="009C0950" w:rsidP="009C0950">
      <w:pPr>
        <w:pStyle w:val="Heading4"/>
        <w:rPr>
          <w:rFonts w:cs="Calibri"/>
        </w:rPr>
      </w:pPr>
      <w:r w:rsidRPr="009A0BAF">
        <w:rPr>
          <w:rFonts w:cs="Calibri"/>
        </w:rPr>
        <w:t>Interpretation: Debaters must disclose all constructive positions on open source with highlighting on the</w:t>
      </w:r>
      <w:r>
        <w:rPr>
          <w:rFonts w:cs="Calibri"/>
        </w:rPr>
        <w:t>ir page</w:t>
      </w:r>
      <w:r w:rsidRPr="009A0BAF">
        <w:rPr>
          <w:rFonts w:cs="Calibri"/>
        </w:rPr>
        <w:t xml:space="preserve"> </w:t>
      </w:r>
      <w:r>
        <w:rPr>
          <w:rFonts w:cs="Calibri"/>
        </w:rPr>
        <w:t>2021-22</w:t>
      </w:r>
      <w:r w:rsidRPr="009A0BAF">
        <w:rPr>
          <w:rFonts w:cs="Calibri"/>
        </w:rPr>
        <w:t xml:space="preserve"> NDCA LD wiki after the round in which they read them. </w:t>
      </w:r>
    </w:p>
    <w:p w14:paraId="18A6092B" w14:textId="77777777" w:rsidR="009C0950" w:rsidRDefault="009C0950" w:rsidP="009C0950">
      <w:pPr>
        <w:pStyle w:val="Heading4"/>
        <w:rPr>
          <w:rFonts w:cs="Calibri"/>
        </w:rPr>
      </w:pPr>
      <w:r w:rsidRPr="009A0BAF">
        <w:rPr>
          <w:rFonts w:cs="Calibri"/>
        </w:rPr>
        <w:t xml:space="preserve">Violation – </w:t>
      </w:r>
      <w:r>
        <w:rPr>
          <w:rFonts w:cs="Calibri"/>
        </w:rPr>
        <w:t xml:space="preserve">screenshots in the doc prove they don’t – the stuff oppen sourced is only greenhill and they aren’t documents </w:t>
      </w:r>
    </w:p>
    <w:p w14:paraId="34BA6647" w14:textId="77777777" w:rsidR="009C0950" w:rsidRDefault="009C0950" w:rsidP="009C0950"/>
    <w:p w14:paraId="6DF27959" w14:textId="77777777" w:rsidR="009C0950" w:rsidRDefault="009C0950" w:rsidP="009C0950">
      <w:pPr>
        <w:pStyle w:val="Heading4"/>
        <w:rPr>
          <w:rFonts w:cs="Calibri"/>
        </w:rPr>
      </w:pPr>
      <w:r>
        <w:rPr>
          <w:rFonts w:cs="Calibri"/>
        </w:rPr>
        <w:t>Prefer:</w:t>
      </w:r>
    </w:p>
    <w:p w14:paraId="0A263715" w14:textId="77777777" w:rsidR="009C0950" w:rsidRDefault="009C0950" w:rsidP="009C0950">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because they can see how cards are cut and get big school prep. </w:t>
      </w:r>
    </w:p>
    <w:p w14:paraId="771BDBE5" w14:textId="77777777" w:rsidR="009C0950" w:rsidRPr="009C57B4" w:rsidRDefault="009C0950" w:rsidP="009C0950">
      <w:pPr>
        <w:pStyle w:val="Heading4"/>
      </w:pPr>
      <w:r>
        <w:t>3]</w:t>
      </w:r>
      <w:r w:rsidRPr="009A0BAF">
        <w:t xml:space="preserve"> Depth of clash – </w:t>
      </w:r>
      <w:r>
        <w:t>it</w:t>
      </w:r>
      <w:r w:rsidRPr="009A0BAF">
        <w:t xml:space="preserve"> allows debaters to </w:t>
      </w:r>
      <w:r>
        <w:t xml:space="preserve">have </w:t>
      </w:r>
      <w:r w:rsidRPr="009A0BAF">
        <w:t xml:space="preserve">nuanced </w:t>
      </w:r>
      <w:r>
        <w:t xml:space="preserve">researched </w:t>
      </w:r>
      <w:r w:rsidRPr="009A0BAF">
        <w:t xml:space="preserve">objections to their opponents evidence before the round at a much faster rate, which leads to </w:t>
      </w:r>
      <w:r>
        <w:t xml:space="preserve">higher </w:t>
      </w:r>
      <w:r w:rsidRPr="009A0BAF">
        <w:t xml:space="preserve">quality </w:t>
      </w:r>
      <w:r>
        <w:t xml:space="preserve">ev </w:t>
      </w:r>
      <w:r w:rsidRPr="009A0BAF">
        <w:t xml:space="preserve">comparison – outweighs </w:t>
      </w:r>
      <w:r>
        <w:t xml:space="preserve">cause </w:t>
      </w:r>
      <w:r w:rsidRPr="009A0BAF">
        <w:t>thinking on your feet is NUQ but the best quality responses come from full access to a case</w:t>
      </w:r>
      <w:r>
        <w:t xml:space="preserve"> which means its key to letting me fairly engage</w:t>
      </w:r>
      <w:r w:rsidRPr="009A0BAF">
        <w:t>.</w:t>
      </w:r>
      <w:r>
        <w:t xml:space="preserve"> Uniquely takes out impact turns</w:t>
      </w:r>
      <w:r w:rsidRPr="009C57B4">
        <w:t xml:space="preserve"> because I want to engage and have a substantive discussion about the affirmative but I can’t because of the practice you’ve engaged in.</w:t>
      </w:r>
    </w:p>
    <w:p w14:paraId="02CFD409" w14:textId="77777777" w:rsidR="009C0950" w:rsidRPr="00795B3C" w:rsidRDefault="009C0950" w:rsidP="009C0950">
      <w:pPr>
        <w:pStyle w:val="Heading4"/>
        <w:rPr>
          <w:rFonts w:ascii="Times New Roman" w:hAnsi="Times New Roman" w:cs="Times New Roman"/>
          <w:sz w:val="24"/>
        </w:rPr>
      </w:pPr>
      <w:r>
        <w:t xml:space="preserve">4] </w:t>
      </w:r>
      <w:r w:rsidRPr="00795B3C">
        <w:t xml:space="preserve">Reciprocity: I disclose </w:t>
      </w:r>
      <w:r>
        <w:t>osource</w:t>
      </w:r>
      <w:r w:rsidRPr="00795B3C">
        <w:t xml:space="preserve"> and you don’t, which automatically gives you a structural prep advantage over me since you have to spend less time before the round hunting through articles and recutting ev to figure out my positions. This outweighs—a) every reason disclosure is good is an advantage for them and not me, b) view their counter-interp with a grain of salt since it’s self-serving. Reciprocity key to fairness—ensures equal access to the ballot.</w:t>
      </w:r>
    </w:p>
    <w:p w14:paraId="7A0609D9" w14:textId="77777777" w:rsidR="009C0950" w:rsidRPr="00795B3C" w:rsidRDefault="009C0950" w:rsidP="009C0950"/>
    <w:p w14:paraId="54B4CCF5" w14:textId="77777777" w:rsidR="009C0950" w:rsidRDefault="009C0950" w:rsidP="009C0950"/>
    <w:p w14:paraId="3727BEFA" w14:textId="77777777" w:rsidR="009C0950" w:rsidRPr="00F70E57" w:rsidRDefault="009C0950" w:rsidP="009C0950">
      <w:pPr>
        <w:pStyle w:val="Heading4"/>
        <w:rPr>
          <w:rFonts w:ascii="Times New Roman" w:eastAsia="Times New Roman" w:hAnsi="Times New Roman" w:cs="Times New Roman"/>
          <w:sz w:val="24"/>
        </w:rPr>
      </w:pPr>
      <w:r w:rsidRPr="009D3134">
        <w:lastRenderedPageBreak/>
        <w:t xml:space="preserve">Fairness </w:t>
      </w:r>
      <w:r>
        <w:t>comes before the AC</w:t>
      </w:r>
      <w:r w:rsidRPr="009D3134">
        <w:t xml:space="preserve"> – </w:t>
      </w:r>
      <w:r>
        <w:t>A</w:t>
      </w:r>
      <w:r w:rsidRPr="009D3134">
        <w:t xml:space="preserve">] Inescapable – every argument you make concedes the authority of fairness: i.e. that the judge will evaluate your arguments fairly so if they say fairness doesn’t matter you can just vote </w:t>
      </w:r>
      <w:r>
        <w:t>neg</w:t>
      </w:r>
      <w:r w:rsidRPr="009D3134">
        <w:t xml:space="preserve"> because that’s unfair so who </w:t>
      </w:r>
      <w:r>
        <w:t>cares</w:t>
      </w:r>
      <w:r w:rsidRPr="009D3134">
        <w:t xml:space="preserve"> </w:t>
      </w:r>
      <w:r>
        <w:t>B</w:t>
      </w:r>
      <w:r w:rsidRPr="009D3134">
        <w:t xml:space="preserve">] </w:t>
      </w:r>
      <w:r w:rsidRPr="00F70E57">
        <w:t>Skews ability to evaluate substance – if</w:t>
      </w:r>
      <w:r w:rsidRPr="00F70E57">
        <w:rPr>
          <w:color w:val="000000" w:themeColor="text1"/>
        </w:rPr>
        <w:t xml:space="preserve"> one debater had ten minutes to speak and the other had three there would be incongruence that alters ability to judge the winner </w:t>
      </w:r>
      <w:r w:rsidRPr="00F70E57">
        <w:rPr>
          <w:rFonts w:eastAsia="Times New Roman"/>
          <w:color w:val="000000"/>
        </w:rPr>
        <w:t xml:space="preserve">C] Probability-theory norms are set all the time since arguments go in and out of the meta but nobody ever </w:t>
      </w:r>
      <w:r>
        <w:rPr>
          <w:rFonts w:eastAsia="Times New Roman"/>
          <w:color w:val="000000"/>
        </w:rPr>
        <w:t>stops violence</w:t>
      </w:r>
      <w:r w:rsidRPr="00F70E57">
        <w:rPr>
          <w:rFonts w:eastAsia="Times New Roman"/>
          <w:color w:val="000000"/>
        </w:rPr>
        <w:t xml:space="preserve"> with one position</w:t>
      </w:r>
    </w:p>
    <w:p w14:paraId="31804582" w14:textId="77777777" w:rsidR="00E42E4C" w:rsidRPr="009C0950" w:rsidRDefault="00E42E4C" w:rsidP="009C0950"/>
    <w:sectPr w:rsidR="00E42E4C" w:rsidRPr="009C095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EC364" w14:textId="77777777" w:rsidR="00F44AEC" w:rsidRDefault="00F44AEC" w:rsidP="00AA64BF">
      <w:pPr>
        <w:spacing w:after="0" w:line="240" w:lineRule="auto"/>
      </w:pPr>
      <w:r>
        <w:separator/>
      </w:r>
    </w:p>
  </w:endnote>
  <w:endnote w:type="continuationSeparator" w:id="0">
    <w:p w14:paraId="76ACA92A" w14:textId="77777777" w:rsidR="00F44AEC" w:rsidRDefault="00F44AEC"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3910F" w14:textId="77777777" w:rsidR="00F44AEC" w:rsidRDefault="00F44AEC" w:rsidP="00AA64BF">
      <w:pPr>
        <w:spacing w:after="0" w:line="240" w:lineRule="auto"/>
      </w:pPr>
      <w:r>
        <w:separator/>
      </w:r>
    </w:p>
  </w:footnote>
  <w:footnote w:type="continuationSeparator" w:id="0">
    <w:p w14:paraId="7C586BF3" w14:textId="77777777" w:rsidR="00F44AEC" w:rsidRDefault="00F44AEC"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0950"/>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EC"/>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09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09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09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09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9"/>
    <w:unhideWhenUsed/>
    <w:qFormat/>
    <w:rsid w:val="009C09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09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950"/>
  </w:style>
  <w:style w:type="character" w:customStyle="1" w:styleId="Heading1Char">
    <w:name w:val="Heading 1 Char"/>
    <w:aliases w:val="Pocket Char"/>
    <w:basedOn w:val="DefaultParagraphFont"/>
    <w:link w:val="Heading1"/>
    <w:uiPriority w:val="9"/>
    <w:rsid w:val="009C09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09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095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9"/>
    <w:rsid w:val="009C09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095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9C0950"/>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9C09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C09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C0950"/>
    <w:rPr>
      <w:color w:val="auto"/>
      <w:u w:val="none"/>
    </w:rPr>
  </w:style>
  <w:style w:type="paragraph" w:styleId="DocumentMap">
    <w:name w:val="Document Map"/>
    <w:basedOn w:val="Normal"/>
    <w:link w:val="DocumentMapChar"/>
    <w:uiPriority w:val="99"/>
    <w:semiHidden/>
    <w:unhideWhenUsed/>
    <w:rsid w:val="009C09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0950"/>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7</Pages>
  <Words>1892</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45</cp:revision>
  <dcterms:created xsi:type="dcterms:W3CDTF">2021-09-04T20:57:00Z</dcterms:created>
  <dcterms:modified xsi:type="dcterms:W3CDTF">2022-02-20T13:49:00Z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