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4496E" w14:textId="77777777" w:rsidR="00874532" w:rsidRDefault="00874532" w:rsidP="00874532">
      <w:pPr>
        <w:pStyle w:val="Heading1"/>
      </w:pPr>
      <w:r>
        <w:t xml:space="preserve">Toc r3 1ac </w:t>
      </w:r>
    </w:p>
    <w:p w14:paraId="34B1B93C" w14:textId="77777777" w:rsidR="00874532" w:rsidRPr="00CC7270" w:rsidRDefault="00874532" w:rsidP="00874532"/>
    <w:p w14:paraId="211BF616" w14:textId="77777777" w:rsidR="00874532" w:rsidRDefault="00874532" w:rsidP="00874532">
      <w:pPr>
        <w:rPr>
          <w:rFonts w:eastAsiaTheme="majorEastAsia" w:cstheme="majorBidi"/>
          <w:b/>
          <w:bCs/>
          <w:sz w:val="52"/>
          <w:szCs w:val="32"/>
        </w:rPr>
      </w:pPr>
    </w:p>
    <w:p w14:paraId="48BC61D0" w14:textId="77777777" w:rsidR="00874532" w:rsidRPr="00711DBA" w:rsidRDefault="00874532" w:rsidP="00874532">
      <w:pPr>
        <w:pStyle w:val="Heading3"/>
      </w:pPr>
      <w:r>
        <w:lastRenderedPageBreak/>
        <w:t>Framework</w:t>
      </w:r>
    </w:p>
    <w:p w14:paraId="7E014EC3" w14:textId="77777777" w:rsidR="00874532" w:rsidRDefault="00874532" w:rsidP="00874532">
      <w:pPr>
        <w:pStyle w:val="Heading4"/>
      </w:pPr>
      <w:r>
        <w:t>Moral internalism is true:</w:t>
      </w:r>
    </w:p>
    <w:p w14:paraId="133785C1" w14:textId="77777777" w:rsidR="00874532" w:rsidRDefault="00874532" w:rsidP="00874532">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5412FAC7" w14:textId="77777777" w:rsidR="00874532" w:rsidRDefault="00874532" w:rsidP="00874532">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772B90F0" w14:textId="77777777" w:rsidR="00874532" w:rsidRPr="004C56AF" w:rsidRDefault="00874532" w:rsidP="00874532">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5D642F90" w14:textId="77777777" w:rsidR="00874532" w:rsidRDefault="00874532" w:rsidP="00874532">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67818233" w14:textId="77777777" w:rsidR="00874532" w:rsidRPr="00F93DD8" w:rsidRDefault="00874532" w:rsidP="00874532">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6E6CC507" w14:textId="77777777" w:rsidR="00874532" w:rsidRDefault="00874532" w:rsidP="00874532">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S]ince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‘Thus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the enquirer still goes on ask ing</w:t>
      </w:r>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hypothesi,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a choice unguided by criteria.</w:t>
      </w:r>
      <w:r w:rsidRPr="004C56AF">
        <w:rPr>
          <w:sz w:val="12"/>
          <w:highlight w:val="green"/>
        </w:rPr>
        <w:t xml:space="preserve"> </w:t>
      </w:r>
      <w:r w:rsidRPr="004C56AF">
        <w:rPr>
          <w:highlight w:val="green"/>
          <w:u w:val="single"/>
        </w:rPr>
        <w:t>Each</w:t>
      </w:r>
      <w:r w:rsidRPr="004C56AF">
        <w:rPr>
          <w:u w:val="single"/>
        </w:rPr>
        <w:t xml:space="preserve"> </w:t>
      </w:r>
      <w:r w:rsidRPr="004C56AF">
        <w:rPr>
          <w:highlight w:val="green"/>
          <w:u w:val="single"/>
        </w:rPr>
        <w:t>individual</w:t>
      </w:r>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5DCF89F6" w14:textId="77777777" w:rsidR="00874532" w:rsidRDefault="00874532" w:rsidP="00874532">
      <w:pPr>
        <w:pStyle w:val="Heading4"/>
      </w:pPr>
      <w:r>
        <w:lastRenderedPageBreak/>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 – there would be no disagreement otherwise.</w:t>
      </w:r>
    </w:p>
    <w:p w14:paraId="7DEC9C46" w14:textId="77777777" w:rsidR="00874532" w:rsidRDefault="00874532" w:rsidP="00874532"/>
    <w:p w14:paraId="79341792" w14:textId="77777777" w:rsidR="00874532" w:rsidRDefault="00874532" w:rsidP="00874532">
      <w:pPr>
        <w:pStyle w:val="Heading4"/>
      </w:pPr>
      <w:r>
        <w:t xml:space="preserve">[4] Open question - </w:t>
      </w:r>
      <w:r w:rsidRPr="000512AB">
        <w:t xml:space="preserve">Goodness cannot be a property of an object because it would make moral claims tautological. </w:t>
      </w:r>
    </w:p>
    <w:p w14:paraId="5E793CD7" w14:textId="77777777" w:rsidR="00874532" w:rsidRDefault="00874532" w:rsidP="00874532">
      <w:pPr>
        <w:pStyle w:val="Heading4"/>
        <w:rPr>
          <w:b w:val="0"/>
          <w:sz w:val="12"/>
          <w:szCs w:val="12"/>
        </w:rPr>
      </w:pPr>
      <w:r w:rsidRPr="00DF6332">
        <w:t>Pidgen 07</w:t>
      </w:r>
      <w:r w:rsidRPr="000512AB">
        <w:rPr>
          <w:b w:val="0"/>
          <w:u w:val="single"/>
        </w:rPr>
        <w:t xml:space="preserve"> </w:t>
      </w:r>
      <w:r>
        <w:rPr>
          <w:b w:val="0"/>
          <w:sz w:val="12"/>
          <w:szCs w:val="12"/>
          <w:lang w:val="nl-NL"/>
        </w:rPr>
        <w:t>(P</w:t>
      </w:r>
      <w:r w:rsidRPr="00E60F29">
        <w:rPr>
          <w:b w:val="0"/>
          <w:sz w:val="12"/>
          <w:szCs w:val="12"/>
          <w:lang w:val="nl-NL"/>
        </w:rPr>
        <w:t xml:space="preserve">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s Moral Philosophy.</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w:t>
      </w:r>
      <w:r>
        <w:rPr>
          <w:b w:val="0"/>
          <w:sz w:val="12"/>
          <w:szCs w:val="12"/>
        </w:rPr>
        <w:t xml:space="preserve">) </w:t>
      </w:r>
      <w:r w:rsidRPr="00E60F29">
        <w:rPr>
          <w:b w:val="0"/>
          <w:sz w:val="12"/>
          <w:szCs w:val="12"/>
        </w:rPr>
        <w:t xml:space="preserve"> //Scopa </w:t>
      </w:r>
    </w:p>
    <w:p w14:paraId="6C1FE73C" w14:textId="77777777" w:rsidR="00874532" w:rsidRPr="004C56AF" w:rsidRDefault="00874532" w:rsidP="00874532">
      <w:pPr>
        <w:pStyle w:val="Heading4"/>
        <w:rPr>
          <w:b w:val="0"/>
          <w:sz w:val="16"/>
          <w:szCs w:val="22"/>
        </w:rPr>
      </w:pPr>
      <w:r w:rsidRPr="004C56AF">
        <w:rPr>
          <w:b w:val="0"/>
          <w:sz w:val="16"/>
          <w:szCs w:val="22"/>
        </w:rPr>
        <w:t>For any naturalistic or metaphysical ‘X</w:t>
      </w:r>
      <w:r w:rsidRPr="004C56AF">
        <w:rPr>
          <w:b w:val="0"/>
          <w:sz w:val="16"/>
          <w:szCs w:val="22"/>
          <w:lang w:val="fr-FR"/>
        </w:rPr>
        <w:t>’</w:t>
      </w:r>
      <w:r w:rsidRPr="004C56AF">
        <w:rPr>
          <w:b w:val="0"/>
          <w:sz w:val="16"/>
          <w:szCs w:val="22"/>
        </w:rPr>
        <w:t xml:space="preserve">, </w:t>
      </w:r>
      <w:r w:rsidRPr="004C56AF">
        <w:rPr>
          <w:b w:val="0"/>
          <w:sz w:val="22"/>
          <w:szCs w:val="22"/>
          <w:highlight w:val="green"/>
          <w:u w:val="single"/>
        </w:rPr>
        <w:t>if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meant ‘X</w:t>
      </w:r>
      <w:r w:rsidRPr="004C56AF">
        <w:rPr>
          <w:b w:val="0"/>
          <w:sz w:val="22"/>
          <w:szCs w:val="22"/>
          <w:highlight w:val="green"/>
          <w:u w:val="single"/>
          <w:lang w:val="fr-FR"/>
        </w:rPr>
        <w:t>’</w:t>
      </w:r>
      <w:r w:rsidRPr="004C56AF">
        <w:rPr>
          <w:b w:val="0"/>
          <w:sz w:val="22"/>
          <w:szCs w:val="22"/>
          <w:highlight w:val="green"/>
          <w:u w:val="single"/>
        </w:rPr>
        <w:t>, then</w:t>
      </w:r>
      <w:r w:rsidRPr="004C56AF">
        <w:rPr>
          <w:b w:val="0"/>
          <w:sz w:val="16"/>
          <w:szCs w:val="22"/>
        </w:rPr>
        <w:t xml:space="preserve"> (i</w:t>
      </w:r>
      <w:r w:rsidRPr="004C56AF">
        <w:rPr>
          <w:b w:val="0"/>
          <w:sz w:val="16"/>
          <w:szCs w:val="22"/>
          <w:highlight w:val="green"/>
        </w:rPr>
        <w:t xml:space="preserve">) </w:t>
      </w:r>
      <w:r w:rsidRPr="004C56AF">
        <w:rPr>
          <w:b w:val="0"/>
          <w:sz w:val="22"/>
          <w:szCs w:val="22"/>
          <w:highlight w:val="green"/>
          <w:u w:val="single"/>
        </w:rPr>
        <w:t>‘X things are good</w:t>
      </w:r>
      <w:r w:rsidRPr="004C56AF">
        <w:rPr>
          <w:b w:val="0"/>
          <w:sz w:val="22"/>
          <w:szCs w:val="22"/>
          <w:highlight w:val="green"/>
          <w:u w:val="single"/>
          <w:lang w:val="fr-FR"/>
        </w:rPr>
        <w:t xml:space="preserve">’ </w:t>
      </w:r>
      <w:r w:rsidRPr="004C56AF">
        <w:rPr>
          <w:b w:val="0"/>
          <w:sz w:val="22"/>
          <w:szCs w:val="22"/>
          <w:highlight w:val="green"/>
          <w:u w:val="single"/>
        </w:rPr>
        <w:t>would be a</w:t>
      </w:r>
      <w:r w:rsidRPr="004C56AF">
        <w:rPr>
          <w:b w:val="0"/>
          <w:sz w:val="16"/>
          <w:szCs w:val="22"/>
        </w:rPr>
        <w:t xml:space="preserve"> barren </w:t>
      </w:r>
      <w:r w:rsidRPr="004C56AF">
        <w:rPr>
          <w:b w:val="0"/>
          <w:sz w:val="22"/>
          <w:szCs w:val="22"/>
          <w:highlight w:val="green"/>
          <w:u w:val="single"/>
        </w:rPr>
        <w:t>tautology</w:t>
      </w:r>
      <w:r w:rsidRPr="004C56AF">
        <w:rPr>
          <w:b w:val="0"/>
          <w:sz w:val="22"/>
          <w:szCs w:val="22"/>
          <w:u w:val="single"/>
        </w:rPr>
        <w:t>, equivalent to</w:t>
      </w:r>
      <w:r w:rsidRPr="004C56AF">
        <w:rPr>
          <w:b w:val="0"/>
          <w:sz w:val="16"/>
          <w:szCs w:val="22"/>
        </w:rPr>
        <w:t xml:space="preserve"> (ii) </w:t>
      </w:r>
      <w:r w:rsidRPr="004C56AF">
        <w:rPr>
          <w:b w:val="0"/>
          <w:sz w:val="22"/>
          <w:szCs w:val="22"/>
          <w:u w:val="single"/>
        </w:rPr>
        <w:t>‘X things are X</w:t>
      </w:r>
      <w:r w:rsidRPr="004C56AF">
        <w:rPr>
          <w:b w:val="0"/>
          <w:sz w:val="22"/>
          <w:szCs w:val="22"/>
          <w:u w:val="single"/>
          <w:lang w:val="fr-FR"/>
        </w:rPr>
        <w:t xml:space="preserve">’ </w:t>
      </w:r>
      <w:r w:rsidRPr="004C56AF">
        <w:rPr>
          <w:b w:val="0"/>
          <w:sz w:val="22"/>
          <w:szCs w:val="22"/>
          <w:u w:val="single"/>
        </w:rPr>
        <w:t xml:space="preserve">or </w:t>
      </w:r>
      <w:r w:rsidRPr="004C56AF">
        <w:rPr>
          <w:b w:val="0"/>
          <w:sz w:val="16"/>
          <w:szCs w:val="22"/>
        </w:rPr>
        <w:t>(iii)</w:t>
      </w:r>
      <w:r w:rsidRPr="004C56AF">
        <w:rPr>
          <w:b w:val="0"/>
          <w:sz w:val="22"/>
          <w:szCs w:val="22"/>
          <w:u w:val="single"/>
        </w:rPr>
        <w:t xml:space="preserve"> ‘Good things are good</w:t>
      </w:r>
      <w:r w:rsidRPr="004C56AF">
        <w:rPr>
          <w:b w:val="0"/>
          <w:sz w:val="22"/>
          <w:szCs w:val="22"/>
          <w:u w:val="single"/>
          <w:lang w:val="fr-FR"/>
        </w:rPr>
        <w:t>’</w:t>
      </w:r>
      <w:r w:rsidRPr="004C56AF">
        <w:rPr>
          <w:b w:val="0"/>
          <w:sz w:val="22"/>
          <w:szCs w:val="22"/>
          <w:u w:val="single"/>
        </w:rPr>
        <w:t>.</w:t>
      </w:r>
      <w:r w:rsidRPr="004C56AF">
        <w:rPr>
          <w:b w:val="0"/>
          <w:sz w:val="16"/>
          <w:szCs w:val="22"/>
        </w:rPr>
        <w:t xml:space="preserve"> (1.2) For any naturalistic or metaphysical ‘X</w:t>
      </w:r>
      <w:r w:rsidRPr="004C56AF">
        <w:rPr>
          <w:b w:val="0"/>
          <w:sz w:val="16"/>
          <w:szCs w:val="22"/>
          <w:lang w:val="fr-FR"/>
        </w:rPr>
        <w:t>’</w:t>
      </w:r>
      <w:r w:rsidRPr="004C56AF">
        <w:rPr>
          <w:b w:val="0"/>
          <w:sz w:val="16"/>
          <w:szCs w:val="22"/>
        </w:rPr>
        <w:t>, if (i) ‘X things are good</w:t>
      </w:r>
      <w:r w:rsidRPr="004C56AF">
        <w:rPr>
          <w:b w:val="0"/>
          <w:sz w:val="16"/>
          <w:szCs w:val="22"/>
          <w:lang w:val="fr-FR"/>
        </w:rPr>
        <w:t xml:space="preserve">’ </w:t>
      </w:r>
      <w:r w:rsidRPr="004C56AF">
        <w:rPr>
          <w:b w:val="0"/>
          <w:sz w:val="16"/>
          <w:szCs w:val="22"/>
        </w:rPr>
        <w:t xml:space="preserve">were </w:t>
      </w:r>
      <w:r w:rsidRPr="004C56AF">
        <w:rPr>
          <w:b w:val="0"/>
          <w:sz w:val="22"/>
          <w:szCs w:val="22"/>
          <w:u w:val="single"/>
        </w:rPr>
        <w:t>a</w:t>
      </w:r>
      <w:r w:rsidRPr="004C56AF">
        <w:rPr>
          <w:b w:val="0"/>
          <w:sz w:val="16"/>
          <w:szCs w:val="22"/>
        </w:rPr>
        <w:t xml:space="preserve"> barren </w:t>
      </w:r>
      <w:r w:rsidRPr="004C56AF">
        <w:rPr>
          <w:b w:val="0"/>
          <w:sz w:val="22"/>
          <w:szCs w:val="22"/>
          <w:u w:val="single"/>
        </w:rPr>
        <w:t>tautology</w:t>
      </w:r>
      <w:r w:rsidRPr="004C56AF">
        <w:rPr>
          <w:b w:val="0"/>
          <w:sz w:val="16"/>
          <w:szCs w:val="22"/>
        </w:rPr>
        <w:t xml:space="preserve">, it </w:t>
      </w:r>
      <w:r w:rsidRPr="004C56AF">
        <w:rPr>
          <w:b w:val="0"/>
          <w:sz w:val="22"/>
          <w:szCs w:val="22"/>
          <w:highlight w:val="green"/>
          <w:u w:val="single"/>
        </w:rPr>
        <w:t>would not provide a reason</w:t>
      </w:r>
      <w:r w:rsidRPr="004C56AF">
        <w:rPr>
          <w:b w:val="0"/>
          <w:sz w:val="16"/>
          <w:szCs w:val="22"/>
        </w:rPr>
        <w:t xml:space="preserve"> for action (i.e. a reason </w:t>
      </w:r>
      <w:r w:rsidRPr="004C56AF">
        <w:rPr>
          <w:b w:val="0"/>
          <w:sz w:val="22"/>
          <w:szCs w:val="22"/>
          <w:highlight w:val="green"/>
          <w:u w:val="single"/>
        </w:rPr>
        <w:t>to promote X-ness</w:t>
      </w:r>
      <w:r w:rsidRPr="004C56AF">
        <w:rPr>
          <w:b w:val="0"/>
          <w:sz w:val="16"/>
          <w:szCs w:val="22"/>
        </w:rPr>
        <w:t>). (1.3) So for any naturalistic or metaphysical ‘X</w:t>
      </w:r>
      <w:r w:rsidRPr="004C56AF">
        <w:rPr>
          <w:b w:val="0"/>
          <w:sz w:val="16"/>
          <w:szCs w:val="22"/>
          <w:lang w:val="fr-FR"/>
        </w:rPr>
        <w:t>’</w:t>
      </w:r>
      <w:r w:rsidRPr="004C56AF">
        <w:rPr>
          <w:b w:val="0"/>
          <w:sz w:val="16"/>
          <w:szCs w:val="22"/>
        </w:rPr>
        <w:t xml:space="preserve">, </w:t>
      </w:r>
      <w:r w:rsidRPr="004C56AF">
        <w:rPr>
          <w:b w:val="0"/>
          <w:sz w:val="22"/>
          <w:szCs w:val="22"/>
          <w:u w:val="single"/>
        </w:rPr>
        <w:t>either</w:t>
      </w:r>
      <w:r w:rsidRPr="004C56AF">
        <w:rPr>
          <w:b w:val="0"/>
          <w:sz w:val="16"/>
          <w:szCs w:val="22"/>
        </w:rPr>
        <w:t xml:space="preserve"> (i) ‘X </w:t>
      </w:r>
      <w:r w:rsidRPr="004C56AF">
        <w:rPr>
          <w:b w:val="0"/>
          <w:sz w:val="22"/>
          <w:szCs w:val="22"/>
          <w:u w:val="single"/>
        </w:rPr>
        <w:t>things are good</w:t>
      </w:r>
      <w:r w:rsidRPr="004C56AF">
        <w:rPr>
          <w:b w:val="0"/>
          <w:sz w:val="22"/>
          <w:szCs w:val="22"/>
          <w:u w:val="single"/>
          <w:lang w:val="fr-FR"/>
        </w:rPr>
        <w:t xml:space="preserve">’ </w:t>
      </w:r>
      <w:r w:rsidRPr="004C56AF">
        <w:rPr>
          <w:b w:val="0"/>
          <w:sz w:val="22"/>
          <w:szCs w:val="22"/>
          <w:u w:val="single"/>
        </w:rPr>
        <w:t>does not provide a reason for action</w:t>
      </w:r>
      <w:r w:rsidRPr="004C56AF">
        <w:rPr>
          <w:b w:val="0"/>
          <w:sz w:val="16"/>
          <w:szCs w:val="22"/>
        </w:rPr>
        <w:t xml:space="preserve"> (i.e. a reason to promote X-ness), </w:t>
      </w:r>
      <w:r w:rsidRPr="004C56AF">
        <w:rPr>
          <w:b w:val="0"/>
          <w:sz w:val="22"/>
          <w:szCs w:val="22"/>
          <w:highlight w:val="green"/>
          <w:u w:val="single"/>
        </w:rPr>
        <w:t>or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does not mean ‘X</w:t>
      </w:r>
      <w:r w:rsidRPr="004C56AF">
        <w:rPr>
          <w:b w:val="0"/>
          <w:sz w:val="22"/>
          <w:szCs w:val="22"/>
          <w:highlight w:val="green"/>
          <w:u w:val="single"/>
          <w:lang w:val="fr-FR"/>
        </w:rPr>
        <w:t>’</w:t>
      </w:r>
      <w:r w:rsidRPr="004C56AF">
        <w:rPr>
          <w:b w:val="0"/>
          <w:sz w:val="22"/>
          <w:szCs w:val="22"/>
          <w:highlight w:val="green"/>
          <w:u w:val="single"/>
        </w:rPr>
        <w:t>.</w:t>
      </w:r>
    </w:p>
    <w:p w14:paraId="1EF6CE8D" w14:textId="77777777" w:rsidR="00874532" w:rsidRPr="00E940B4" w:rsidRDefault="00874532" w:rsidP="00874532"/>
    <w:p w14:paraId="7D5EC478" w14:textId="77777777" w:rsidR="00874532" w:rsidRPr="005842EE" w:rsidRDefault="00874532" w:rsidP="00874532">
      <w:pPr>
        <w:pStyle w:val="Heading4"/>
      </w:pPr>
      <w:r>
        <w:t>Next, every agent takes their ability to act on their ethical system as instrumentally valuable. Only self interest bridges relativism to provide a universal principle.</w:t>
      </w:r>
    </w:p>
    <w:p w14:paraId="37A43A36" w14:textId="77777777" w:rsidR="00874532" w:rsidRPr="00D1235A" w:rsidRDefault="00874532" w:rsidP="00874532">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325A04F5" w14:textId="77777777" w:rsidR="00874532" w:rsidRPr="00D1235A" w:rsidRDefault="00874532" w:rsidP="00874532">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427CEE97" w14:textId="77777777" w:rsidR="00874532" w:rsidRPr="0004616F" w:rsidRDefault="00874532" w:rsidP="00874532">
      <w:pPr>
        <w:pStyle w:val="Heading4"/>
      </w:pPr>
      <w:r>
        <w:lastRenderedPageBreak/>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4DD9EA8D" w14:textId="77777777" w:rsidR="00874532" w:rsidRPr="0058668A" w:rsidRDefault="00874532" w:rsidP="00874532">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sidRPr="0058668A">
        <w:rPr>
          <w:szCs w:val="22"/>
        </w:rPr>
        <w:t xml:space="preserve"> ///AHS PB</w:t>
      </w:r>
      <w:r>
        <w:rPr>
          <w:szCs w:val="22"/>
        </w:rPr>
        <w:t>] BHHS AK recut</w:t>
      </w:r>
    </w:p>
    <w:p w14:paraId="3C07F8F1" w14:textId="77777777" w:rsidR="00874532" w:rsidRPr="0058668A" w:rsidRDefault="00874532" w:rsidP="00874532">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18E6079A" w14:textId="77777777" w:rsidR="00874532" w:rsidRDefault="00874532" w:rsidP="00874532">
      <w:pPr>
        <w:pStyle w:val="Heading4"/>
      </w:pPr>
    </w:p>
    <w:p w14:paraId="4BBE4E73" w14:textId="558A1730" w:rsidR="00874532" w:rsidRPr="006B7164" w:rsidRDefault="00874532" w:rsidP="00874532">
      <w:pPr>
        <w:spacing w:after="0" w:line="240" w:lineRule="auto"/>
        <w:rPr>
          <w:b/>
          <w:bCs/>
          <w:sz w:val="26"/>
          <w:szCs w:val="26"/>
        </w:rPr>
      </w:pPr>
      <w:r w:rsidRPr="004604F3">
        <w:rPr>
          <w:b/>
          <w:bCs/>
          <w:sz w:val="26"/>
          <w:szCs w:val="26"/>
        </w:rPr>
        <w:t xml:space="preserve">Thus, the standard is consistency with contractarianism. Impact calc </w:t>
      </w:r>
      <w:r>
        <w:rPr>
          <w:b/>
          <w:bCs/>
          <w:sz w:val="26"/>
          <w:szCs w:val="26"/>
        </w:rPr>
        <w:t>–</w:t>
      </w:r>
      <w:r w:rsidRPr="004604F3">
        <w:rPr>
          <w:b/>
          <w:bCs/>
          <w:sz w:val="26"/>
          <w:szCs w:val="26"/>
        </w:rPr>
        <w:t xml:space="preserve"> </w:t>
      </w:r>
      <w:r w:rsidRPr="006B7164">
        <w:rPr>
          <w:b/>
          <w:bCs/>
          <w:sz w:val="26"/>
          <w:szCs w:val="26"/>
        </w:rPr>
        <w:t xml:space="preserve">consequences are irrelevant </w:t>
      </w:r>
      <w:r>
        <w:rPr>
          <w:b/>
          <w:bCs/>
          <w:sz w:val="26"/>
          <w:szCs w:val="26"/>
        </w:rPr>
        <w:t>–</w:t>
      </w:r>
      <w:r w:rsidRPr="006B7164">
        <w:rPr>
          <w:b/>
          <w:bCs/>
          <w:sz w:val="26"/>
          <w:szCs w:val="26"/>
        </w:rPr>
        <w:t xml:space="preserve"> </w:t>
      </w:r>
      <w:r>
        <w:rPr>
          <w:b/>
          <w:bCs/>
          <w:sz w:val="26"/>
          <w:szCs w:val="26"/>
        </w:rPr>
        <w:t>violating contracts is bad under the framework</w:t>
      </w:r>
      <w:r w:rsidRPr="006B7164">
        <w:rPr>
          <w:b/>
          <w:bCs/>
          <w:sz w:val="26"/>
          <w:szCs w:val="26"/>
        </w:rPr>
        <w:t xml:space="preserve"> Prefer additionally:</w:t>
      </w:r>
    </w:p>
    <w:p w14:paraId="5ED471C2" w14:textId="77777777" w:rsidR="00874532" w:rsidRDefault="00874532" w:rsidP="00874532"/>
    <w:p w14:paraId="171D1378" w14:textId="77777777" w:rsidR="00874532" w:rsidRPr="00031874" w:rsidRDefault="00874532" w:rsidP="00874532">
      <w:pPr>
        <w:pStyle w:val="Heading4"/>
        <w:rPr>
          <w:color w:val="000000" w:themeColor="text1"/>
        </w:rPr>
      </w:pPr>
      <w:r>
        <w:rPr>
          <w:color w:val="FF0000"/>
        </w:rPr>
        <w:lastRenderedPageBreak/>
        <w:t xml:space="preserve"> </w:t>
      </w:r>
      <w:r w:rsidRPr="00ED4128">
        <w:rPr>
          <w:color w:val="000000" w:themeColor="text1"/>
        </w:rPr>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51809CF6" w14:textId="77777777" w:rsidR="00874532" w:rsidRPr="004604F3" w:rsidRDefault="00874532" w:rsidP="00874532">
      <w:pPr>
        <w:pStyle w:val="Heading4"/>
        <w:rPr>
          <w:rFonts w:cs="Calibri"/>
        </w:rPr>
      </w:pPr>
      <w:r>
        <w:rPr>
          <w:rFonts w:cs="Calibri"/>
          <w:color w:val="FF0000"/>
        </w:rPr>
        <w:t xml:space="preserve"> </w:t>
      </w:r>
      <w:r>
        <w:rPr>
          <w:rFonts w:cs="Calibri"/>
        </w:rPr>
        <w:t>[2]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4E127650" w14:textId="77777777" w:rsidR="00874532" w:rsidRPr="00014792" w:rsidRDefault="00874532" w:rsidP="00874532">
      <w:pPr>
        <w:rPr>
          <w:b/>
          <w:bCs/>
          <w:sz w:val="26"/>
          <w:szCs w:val="26"/>
        </w:rPr>
      </w:pPr>
      <w:r w:rsidRPr="00111ABE">
        <w:rPr>
          <w:b/>
          <w:bCs/>
          <w:color w:val="FF0000"/>
          <w:sz w:val="26"/>
          <w:szCs w:val="26"/>
        </w:rPr>
        <w:t xml:space="preserve"> </w:t>
      </w: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3551B8F3" w14:textId="77777777" w:rsidR="00874532" w:rsidRPr="00EA6A42" w:rsidRDefault="00874532" w:rsidP="00874532">
      <w:pPr>
        <w:spacing w:after="0" w:line="240" w:lineRule="auto"/>
        <w:rPr>
          <w:rFonts w:ascii="Times New Roman" w:eastAsia="Times New Roman" w:hAnsi="Times New Roman" w:cs="Times New Roman"/>
          <w:sz w:val="26"/>
          <w:szCs w:val="26"/>
        </w:rPr>
      </w:pPr>
      <w:r>
        <w:rPr>
          <w:rFonts w:eastAsia="Times New Roman"/>
          <w:b/>
          <w:bCs/>
          <w:color w:val="FF0000"/>
          <w:sz w:val="26"/>
          <w:szCs w:val="26"/>
        </w:rPr>
        <w:t xml:space="preserve"> </w:t>
      </w:r>
      <w:r w:rsidRPr="00EA6A42">
        <w:rPr>
          <w:rFonts w:eastAsia="Times New Roman"/>
          <w:b/>
          <w:bCs/>
          <w:color w:val="000000"/>
          <w:sz w:val="26"/>
          <w:szCs w:val="26"/>
        </w:rPr>
        <w:t>[</w:t>
      </w:r>
      <w:r>
        <w:rPr>
          <w:rFonts w:eastAsia="Times New Roman"/>
          <w:b/>
          <w:bCs/>
          <w:color w:val="000000"/>
          <w:sz w:val="26"/>
          <w:szCs w:val="26"/>
        </w:rPr>
        <w:t>4</w:t>
      </w:r>
      <w:r w:rsidRPr="00EA6A42">
        <w:rPr>
          <w:rFonts w:eastAsia="Times New Roman"/>
          <w:b/>
          <w:bCs/>
          <w:color w:val="000000"/>
          <w:sz w:val="26"/>
          <w:szCs w:val="26"/>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w:t>
      </w:r>
    </w:p>
    <w:p w14:paraId="1B310C9C" w14:textId="77777777" w:rsidR="00874532" w:rsidRDefault="00874532" w:rsidP="00874532">
      <w:pPr>
        <w:pStyle w:val="Heading4"/>
        <w:rPr>
          <w:rFonts w:cs="Times New Roman"/>
        </w:rPr>
      </w:pPr>
      <w:r w:rsidRPr="006B7164">
        <w:rPr>
          <w:color w:val="FF0000"/>
        </w:rPr>
        <w:t xml:space="preserve"> </w:t>
      </w:r>
      <w:r>
        <w:t>[5]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which means their fw or k doesn’t exclude contracts but we also need to care about other frameworks.</w:t>
      </w:r>
    </w:p>
    <w:p w14:paraId="43BD7757" w14:textId="77777777" w:rsidR="00874532" w:rsidRPr="00111ABE" w:rsidRDefault="00874532" w:rsidP="00874532">
      <w:pPr>
        <w:spacing w:after="0" w:line="240" w:lineRule="auto"/>
        <w:rPr>
          <w:rFonts w:ascii="Times New Roman" w:eastAsia="Times New Roman" w:hAnsi="Times New Roman" w:cs="Times New Roman"/>
          <w:sz w:val="26"/>
          <w:szCs w:val="26"/>
        </w:rPr>
      </w:pPr>
      <w:r>
        <w:t xml:space="preserve"> </w:t>
      </w:r>
      <w:r w:rsidRPr="00111ABE">
        <w:rPr>
          <w:rFonts w:eastAsia="Times New Roman"/>
          <w:b/>
          <w:bCs/>
          <w:color w:val="000000"/>
          <w:sz w:val="26"/>
          <w:szCs w:val="26"/>
        </w:rPr>
        <w:t>[</w:t>
      </w:r>
      <w:r>
        <w:rPr>
          <w:rFonts w:eastAsia="Times New Roman"/>
          <w:b/>
          <w:bCs/>
          <w:color w:val="000000"/>
          <w:sz w:val="26"/>
          <w:szCs w:val="26"/>
        </w:rPr>
        <w:t>6</w:t>
      </w:r>
      <w:r w:rsidRPr="00111ABE">
        <w:rPr>
          <w:rFonts w:eastAsia="Times New Roman"/>
          <w:b/>
          <w:bCs/>
          <w:color w:val="000000"/>
          <w:sz w:val="26"/>
          <w:szCs w:val="26"/>
        </w:rPr>
        <w:t>] 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5698270F" w14:textId="77777777" w:rsidR="00874532" w:rsidRDefault="00874532" w:rsidP="00874532"/>
    <w:p w14:paraId="261F5E37" w14:textId="77777777" w:rsidR="00874532" w:rsidRPr="00CC7270" w:rsidRDefault="00874532" w:rsidP="00874532">
      <w:pPr>
        <w:pStyle w:val="Heading4"/>
        <w:rPr>
          <w:rFonts w:eastAsia="Times New Roman"/>
          <w:color w:val="000000"/>
        </w:rPr>
      </w:pPr>
      <w:r w:rsidRPr="004604F3">
        <w:lastRenderedPageBreak/>
        <w:t xml:space="preserve">Thus the advocacy: </w:t>
      </w:r>
      <w:r w:rsidRPr="004604F3">
        <w:rPr>
          <w:rFonts w:eastAsia="Times New Roman"/>
          <w:color w:val="000000"/>
        </w:rPr>
        <w:t>Resolved:</w:t>
      </w:r>
      <w:r>
        <w:rPr>
          <w:rFonts w:eastAsia="Times New Roman"/>
          <w:color w:val="000000"/>
        </w:rPr>
        <w:t xml:space="preserve"> </w:t>
      </w:r>
      <w:r w:rsidRPr="00180F14">
        <w:rPr>
          <w:rFonts w:eastAsia="Times New Roman"/>
          <w:color w:val="000000"/>
        </w:rPr>
        <w:t>The appropriation of outer space by private entities is unjus</w:t>
      </w:r>
      <w:r>
        <w:rPr>
          <w:rFonts w:eastAsia="Times New Roman"/>
          <w:color w:val="000000"/>
        </w:rPr>
        <w:t xml:space="preserve">t. </w:t>
      </w:r>
      <w:r w:rsidRPr="004604F3">
        <w:rPr>
          <w:rFonts w:eastAsia="Times New Roman"/>
          <w:color w:val="000000"/>
        </w:rPr>
        <w:t>I’m willing to spec what you want as long as I don’t abandon my maxim. </w:t>
      </w:r>
    </w:p>
    <w:p w14:paraId="1C6E2FCF" w14:textId="77777777" w:rsidR="00874532" w:rsidRDefault="00874532" w:rsidP="00874532">
      <w:pPr>
        <w:pStyle w:val="Heading4"/>
      </w:pPr>
    </w:p>
    <w:p w14:paraId="4A2CEB25" w14:textId="77777777" w:rsidR="00874532" w:rsidRDefault="00874532" w:rsidP="00874532">
      <w:r>
        <w:t xml:space="preserve">These are hyperlinked </w:t>
      </w:r>
    </w:p>
    <w:p w14:paraId="3845C734" w14:textId="77777777" w:rsidR="00874532" w:rsidRDefault="00874532" w:rsidP="00874532">
      <w:pPr>
        <w:spacing w:after="0" w:line="240" w:lineRule="auto"/>
        <w:rPr>
          <w:rFonts w:ascii="Arial" w:eastAsia="Times New Roman" w:hAnsi="Arial" w:cs="Arial"/>
          <w:color w:val="202124"/>
          <w:sz w:val="21"/>
          <w:szCs w:val="21"/>
          <w:shd w:val="clear" w:color="auto" w:fill="FFFFFF"/>
        </w:rPr>
      </w:pPr>
      <w:hyperlink r:id="rId11" w:history="1">
        <w:r w:rsidRPr="00C076C2">
          <w:rPr>
            <w:rStyle w:val="Hyperlink"/>
            <w:rFonts w:ascii="Arial" w:eastAsia="Times New Roman" w:hAnsi="Arial" w:cs="Arial"/>
            <w:sz w:val="21"/>
            <w:szCs w:val="21"/>
            <w:highlight w:val="green"/>
            <w:shd w:val="clear" w:color="auto" w:fill="FFFFFF"/>
          </w:rPr>
          <w:t>Appropriation</w:t>
        </w:r>
        <w:r w:rsidRPr="00C076C2">
          <w:rPr>
            <w:rStyle w:val="Hyperlink"/>
            <w:rFonts w:ascii="Arial" w:eastAsia="Times New Roman" w:hAnsi="Arial" w:cs="Arial"/>
            <w:sz w:val="21"/>
            <w:szCs w:val="21"/>
            <w:shd w:val="clear" w:color="auto" w:fill="FFFFFF"/>
          </w:rPr>
          <w:t>: t</w:t>
        </w:r>
        <w:r w:rsidRPr="00C076C2">
          <w:rPr>
            <w:rStyle w:val="Hyperlink"/>
            <w:rFonts w:ascii="Arial" w:eastAsia="Times New Roman" w:hAnsi="Arial" w:cs="Arial"/>
            <w:sz w:val="21"/>
            <w:szCs w:val="21"/>
            <w:highlight w:val="green"/>
            <w:shd w:val="clear" w:color="auto" w:fill="FFFFFF"/>
          </w:rPr>
          <w:t>he action of taking something for one's own use</w:t>
        </w:r>
        <w:r w:rsidRPr="00C076C2">
          <w:rPr>
            <w:rStyle w:val="Hyperlink"/>
            <w:rFonts w:ascii="Arial" w:eastAsia="Times New Roman" w:hAnsi="Arial" w:cs="Arial"/>
            <w:sz w:val="21"/>
            <w:szCs w:val="21"/>
            <w:shd w:val="clear" w:color="auto" w:fill="FFFFFF"/>
          </w:rPr>
          <w:t>, typically without the owner's permission.</w:t>
        </w:r>
      </w:hyperlink>
      <w:r>
        <w:rPr>
          <w:rFonts w:ascii="Arial" w:eastAsia="Times New Roman" w:hAnsi="Arial" w:cs="Arial"/>
          <w:color w:val="202124"/>
          <w:sz w:val="21"/>
          <w:szCs w:val="21"/>
          <w:shd w:val="clear" w:color="auto" w:fill="FFFFFF"/>
        </w:rPr>
        <w:t xml:space="preserve"> (Oxford)</w:t>
      </w:r>
    </w:p>
    <w:p w14:paraId="67F7EAC8" w14:textId="77777777" w:rsidR="00874532" w:rsidRDefault="00874532" w:rsidP="00874532">
      <w:pPr>
        <w:spacing w:after="0" w:line="240" w:lineRule="auto"/>
        <w:rPr>
          <w:rFonts w:ascii="Arial" w:eastAsia="Times New Roman" w:hAnsi="Arial" w:cs="Arial"/>
          <w:color w:val="202124"/>
          <w:sz w:val="21"/>
          <w:szCs w:val="21"/>
          <w:shd w:val="clear" w:color="auto" w:fill="FFFFFF"/>
        </w:rPr>
      </w:pPr>
    </w:p>
    <w:p w14:paraId="2CF6F324" w14:textId="77777777" w:rsidR="00874532" w:rsidRPr="00C076C2" w:rsidRDefault="00874532" w:rsidP="00874532">
      <w:hyperlink r:id="rId12" w:anchor=":~:text=(A)%20In%20general%20Except%20as,%2C%20employee%2C%20or%20agent%20thereof." w:history="1">
        <w:r w:rsidRPr="00C076C2">
          <w:rPr>
            <w:rStyle w:val="Hyperlink"/>
            <w:highlight w:val="green"/>
          </w:rPr>
          <w:t>Private entity: any person or private group,</w:t>
        </w:r>
        <w:r w:rsidRPr="00C076C2">
          <w:rPr>
            <w:rStyle w:val="Hyperlink"/>
          </w:rPr>
          <w:t xml:space="preserve"> </w:t>
        </w:r>
        <w:r w:rsidRPr="00C076C2">
          <w:rPr>
            <w:rStyle w:val="Hyperlink"/>
            <w:highlight w:val="green"/>
          </w:rPr>
          <w:t>organization,</w:t>
        </w:r>
        <w:r w:rsidRPr="00C076C2">
          <w:rPr>
            <w:rStyle w:val="Hyperlink"/>
          </w:rPr>
          <w:t xml:space="preserve"> proprietorship, partnership, trust, cooperative, corporation, </w:t>
        </w:r>
        <w:r w:rsidRPr="00C076C2">
          <w:rPr>
            <w:rStyle w:val="Hyperlink"/>
            <w:highlight w:val="green"/>
          </w:rPr>
          <w:t>or other commercial or nonprofit entity</w:t>
        </w:r>
        <w:r w:rsidRPr="00C076C2">
          <w:rPr>
            <w:rStyle w:val="Hyperlink"/>
          </w:rPr>
          <w:t>, including an officer, employee, or agent thereof.</w:t>
        </w:r>
      </w:hyperlink>
      <w:r>
        <w:t xml:space="preserve"> (Cornell Law)</w:t>
      </w:r>
    </w:p>
    <w:p w14:paraId="18DA88EB" w14:textId="77777777" w:rsidR="00874532" w:rsidRDefault="00874532" w:rsidP="00874532"/>
    <w:p w14:paraId="12C354DF" w14:textId="77777777" w:rsidR="00874532" w:rsidRPr="00976C0A" w:rsidRDefault="00874532" w:rsidP="00874532"/>
    <w:p w14:paraId="6A9BBD03" w14:textId="77777777" w:rsidR="00874532" w:rsidRDefault="00874532" w:rsidP="00874532">
      <w:pPr>
        <w:pStyle w:val="Heading3"/>
      </w:pPr>
      <w:r>
        <w:lastRenderedPageBreak/>
        <w:t>Offense</w:t>
      </w:r>
    </w:p>
    <w:p w14:paraId="73AEF94C" w14:textId="77777777" w:rsidR="00874532" w:rsidRPr="00A463B0" w:rsidRDefault="00874532" w:rsidP="00874532">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The Outer Space Treaty affirms – “national appropriation” in Article 2 applies to all entities under a national sovereign – that’s the best legal meaning and most coherent. </w:t>
      </w:r>
    </w:p>
    <w:p w14:paraId="1A9ED751" w14:textId="77777777" w:rsidR="00874532" w:rsidRPr="00A463B0" w:rsidRDefault="00874532" w:rsidP="00874532">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w:t>
      </w:r>
      <w:r w:rsidRPr="00A463B0">
        <w:rPr>
          <w:sz w:val="16"/>
        </w:rPr>
        <w:t xml:space="preserve"> </w:t>
      </w:r>
      <w:hyperlink r:id="rId13" w:history="1">
        <w:r w:rsidRPr="00A463B0">
          <w:rPr>
            <w:sz w:val="16"/>
          </w:rPr>
          <w:t>https://scholarlycommons.law.emory.edu/eilr/vol33/iss4/6</w:t>
        </w:r>
      </w:hyperlink>
      <w:r w:rsidRPr="00A463B0">
        <w:rPr>
          <w:sz w:val="16"/>
        </w:rPr>
        <w:t xml:space="preserve"> JS</w:t>
      </w:r>
    </w:p>
    <w:p w14:paraId="5AB6F7E5" w14:textId="77777777" w:rsidR="00874532" w:rsidRPr="00A463B0" w:rsidRDefault="00874532" w:rsidP="00874532">
      <w:pPr>
        <w:rPr>
          <w:sz w:val="16"/>
        </w:rPr>
      </w:pPr>
      <w:r w:rsidRPr="00A463B0">
        <w:rPr>
          <w:sz w:val="16"/>
        </w:rPr>
        <w:t xml:space="preserve">The broad text in Article II of the Outer Space Treaty provides an ordinary and unambiguous meaning free from absurdity.90 The language of Article II is short: </w:t>
      </w:r>
      <w:r w:rsidRPr="00A463B0">
        <w:rPr>
          <w:highlight w:val="yellow"/>
          <w:u w:val="single"/>
        </w:rPr>
        <w:t>“[o]uter space</w:t>
      </w:r>
      <w:r w:rsidRPr="00A463B0">
        <w:rPr>
          <w:u w:val="single"/>
        </w:rPr>
        <w:t>,</w:t>
      </w:r>
      <w:r w:rsidRPr="00A463B0">
        <w:rPr>
          <w:sz w:val="16"/>
        </w:rPr>
        <w:t xml:space="preserve"> including the Moon and other celestial bodies, </w:t>
      </w:r>
      <w:r w:rsidRPr="00A463B0">
        <w:rPr>
          <w:highlight w:val="yellow"/>
          <w:u w:val="single"/>
        </w:rPr>
        <w:t>is not subject to national appropriation</w:t>
      </w:r>
      <w:r w:rsidRPr="00A463B0">
        <w:rPr>
          <w:u w:val="single"/>
        </w:rPr>
        <w:t xml:space="preserve"> by claim of sovereignty</w:t>
      </w:r>
      <w:r w:rsidRPr="00A463B0">
        <w:rPr>
          <w:sz w:val="16"/>
        </w:rPr>
        <w:t xml:space="preserve">,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 </w:t>
      </w:r>
      <w:r w:rsidRPr="00A463B0">
        <w:rPr>
          <w:u w:val="single"/>
        </w:rPr>
        <w:t>appropriation is “the taking of property for one’s own or exclusive use with a sense of permanence</w:t>
      </w:r>
      <w:r w:rsidRPr="00A463B0">
        <w:rPr>
          <w:sz w:val="16"/>
        </w:rPr>
        <w:t>.”93 In this regard</w:t>
      </w:r>
      <w:r w:rsidRPr="00A463B0">
        <w:rPr>
          <w:u w:val="single"/>
        </w:rPr>
        <w:t xml:space="preserve">, </w:t>
      </w:r>
      <w:r w:rsidRPr="00A463B0">
        <w:rPr>
          <w:highlight w:val="yellow"/>
          <w:u w:val="single"/>
        </w:rPr>
        <w:t>appropriation is</w:t>
      </w:r>
      <w:r w:rsidRPr="00A463B0">
        <w:rPr>
          <w:u w:val="single"/>
        </w:rPr>
        <w:t xml:space="preserve"> of a </w:t>
      </w:r>
      <w:r w:rsidRPr="00A463B0">
        <w:rPr>
          <w:highlight w:val="yellow"/>
          <w:u w:val="single"/>
        </w:rPr>
        <w:t>“national”</w:t>
      </w:r>
      <w:r w:rsidRPr="00A463B0">
        <w:rPr>
          <w:u w:val="single"/>
        </w:rPr>
        <w:t xml:space="preserve"> character </w:t>
      </w:r>
      <w:r w:rsidRPr="00A463B0">
        <w:rPr>
          <w:highlight w:val="yellow"/>
          <w:u w:val="single"/>
        </w:rPr>
        <w:t xml:space="preserve">when it is by an entity under </w:t>
      </w:r>
      <w:r w:rsidRPr="00A463B0">
        <w:rPr>
          <w:u w:val="single"/>
        </w:rPr>
        <w:t>the</w:t>
      </w:r>
      <w:r w:rsidRPr="00A463B0">
        <w:rPr>
          <w:highlight w:val="cyan"/>
          <w:u w:val="single"/>
        </w:rPr>
        <w:t xml:space="preserve"> </w:t>
      </w:r>
      <w:r w:rsidRPr="00A463B0">
        <w:rPr>
          <w:highlight w:val="yellow"/>
          <w:u w:val="single"/>
        </w:rPr>
        <w:t xml:space="preserve">sovereignty </w:t>
      </w:r>
      <w:r w:rsidRPr="00A463B0">
        <w:rPr>
          <w:u w:val="single"/>
        </w:rPr>
        <w:t>of the state from which they come or represent</w:t>
      </w:r>
      <w:r w:rsidRPr="00A463B0">
        <w:rPr>
          <w:sz w:val="16"/>
        </w:rPr>
        <w:t xml:space="preserve">.94 Even though Article II uses the “national” language, </w:t>
      </w:r>
      <w:r w:rsidRPr="00A463B0">
        <w:rPr>
          <w:highlight w:val="yellow"/>
          <w:u w:val="single"/>
        </w:rPr>
        <w:t>its ordinary meaning is</w:t>
      </w:r>
      <w:r w:rsidRPr="00A463B0">
        <w:rPr>
          <w:u w:val="single"/>
        </w:rPr>
        <w:t xml:space="preserve"> most closely </w:t>
      </w:r>
      <w:r w:rsidRPr="00A463B0">
        <w:rPr>
          <w:highlight w:val="yellow"/>
          <w:u w:val="single"/>
        </w:rPr>
        <w:t>linked to</w:t>
      </w:r>
      <w:r w:rsidRPr="00A463B0">
        <w:rPr>
          <w:highlight w:val="cyan"/>
          <w:u w:val="single"/>
        </w:rPr>
        <w:t xml:space="preserve"> </w:t>
      </w:r>
      <w:r w:rsidRPr="00A463B0">
        <w:rPr>
          <w:u w:val="single"/>
        </w:rPr>
        <w:t xml:space="preserve">all sovereignties and the individuals and </w:t>
      </w:r>
      <w:r w:rsidRPr="00A463B0">
        <w:rPr>
          <w:highlight w:val="yellow"/>
          <w:u w:val="single"/>
        </w:rPr>
        <w:t>entities that attain property rights under the authority of a sovereign</w:t>
      </w:r>
      <w:r w:rsidRPr="00A463B0">
        <w:rPr>
          <w:sz w:val="16"/>
        </w:rPr>
        <w:t xml:space="preserve">. A separate insight of classic legal realism logically lends itself to the same conclusion. </w:t>
      </w:r>
      <w:r w:rsidRPr="00A463B0">
        <w:rPr>
          <w:highlight w:val="yellow"/>
          <w:u w:val="single"/>
        </w:rPr>
        <w:t>For an individual to hold property rights</w:t>
      </w:r>
      <w:r w:rsidRPr="00A463B0">
        <w:rPr>
          <w:u w:val="single"/>
        </w:rPr>
        <w:t xml:space="preserve"> in something, </w:t>
      </w:r>
      <w:r w:rsidRPr="00A463B0">
        <w:rPr>
          <w:highlight w:val="yellow"/>
          <w:u w:val="single"/>
        </w:rPr>
        <w:t>the government must legally recognize the property rights</w:t>
      </w:r>
      <w:r w:rsidRPr="00A463B0">
        <w:rPr>
          <w:sz w:val="16"/>
        </w:rPr>
        <w:t xml:space="preserve">.95 </w:t>
      </w:r>
      <w:r w:rsidRPr="00A463B0">
        <w:rPr>
          <w:u w:val="single"/>
        </w:rPr>
        <w:t xml:space="preserve">The language of </w:t>
      </w:r>
      <w:r w:rsidRPr="00A463B0">
        <w:rPr>
          <w:highlight w:val="yellow"/>
          <w:u w:val="single"/>
        </w:rPr>
        <w:t>Article II bars governments from recognizing property interests</w:t>
      </w:r>
      <w:r w:rsidRPr="00A463B0">
        <w:rPr>
          <w:u w:val="single"/>
        </w:rPr>
        <w:t xml:space="preserve"> in outer space for themselves. Because individuals and private entities cannot hold property rights in something without recognition from a sovereign that it will protect their rights, </w:t>
      </w:r>
      <w:r w:rsidRPr="00A463B0">
        <w:rPr>
          <w:highlight w:val="yellow"/>
          <w:u w:val="single"/>
        </w:rPr>
        <w:t>a correct interpretation of</w:t>
      </w:r>
      <w:r w:rsidRPr="00A463B0">
        <w:rPr>
          <w:u w:val="single"/>
        </w:rPr>
        <w:t xml:space="preserve"> the language of </w:t>
      </w:r>
      <w:r w:rsidRPr="00A463B0">
        <w:rPr>
          <w:highlight w:val="yellow"/>
          <w:u w:val="single"/>
        </w:rPr>
        <w:t>Article II should bar</w:t>
      </w:r>
      <w:r w:rsidRPr="00A463B0">
        <w:rPr>
          <w:u w:val="single"/>
        </w:rPr>
        <w:t xml:space="preserve"> the ability of </w:t>
      </w:r>
      <w:r w:rsidRPr="00A463B0">
        <w:rPr>
          <w:highlight w:val="yellow"/>
          <w:u w:val="single"/>
        </w:rPr>
        <w:t>private entities</w:t>
      </w:r>
      <w:r w:rsidRPr="00A463B0">
        <w:rPr>
          <w:sz w:val="16"/>
        </w:rPr>
        <w:t xml:space="preserve"> and individuals </w:t>
      </w:r>
      <w:r w:rsidRPr="00A463B0">
        <w:rPr>
          <w:highlight w:val="yellow"/>
          <w:u w:val="single"/>
        </w:rPr>
        <w:t>to appropriate rights</w:t>
      </w:r>
      <w:r w:rsidRPr="00A463B0">
        <w:rPr>
          <w:u w:val="single"/>
        </w:rPr>
        <w:t xml:space="preserve"> over celestial resources </w:t>
      </w:r>
      <w:r w:rsidRPr="00A463B0">
        <w:rPr>
          <w:sz w:val="16"/>
        </w:rPr>
        <w:t xml:space="preserve">as well. </w:t>
      </w:r>
      <w:r w:rsidRPr="00A463B0">
        <w:rPr>
          <w:u w:val="single"/>
        </w:rPr>
        <w:t>If a state recognizes a property right</w:t>
      </w:r>
      <w:r w:rsidRPr="00A463B0">
        <w:rPr>
          <w:sz w:val="16"/>
        </w:rPr>
        <w:t xml:space="preserve"> held by an individual over a celestial body or resource, </w:t>
      </w:r>
      <w:r w:rsidRPr="00A463B0">
        <w:rPr>
          <w:u w:val="single"/>
        </w:rPr>
        <w:t>such recognition would constitute a form of national appropriation because it is</w:t>
      </w:r>
      <w:r w:rsidRPr="00A463B0">
        <w:rPr>
          <w:sz w:val="16"/>
        </w:rPr>
        <w:t xml:space="preserve"> essentially </w:t>
      </w:r>
      <w:r w:rsidRPr="00A463B0">
        <w:rPr>
          <w:u w:val="single"/>
        </w:rPr>
        <w:t>“a de facto exclusion of other states and their nationals” to that body or resource</w:t>
      </w:r>
      <w:r w:rsidRPr="00A463B0">
        <w:rPr>
          <w:sz w:val="16"/>
        </w:rPr>
        <w:t xml:space="preserve">.96 </w:t>
      </w:r>
      <w:r w:rsidRPr="00A463B0">
        <w:rPr>
          <w:u w:val="single"/>
        </w:rPr>
        <w:t>The text of Article II naturally leads to the conclusion that its non-appropriation language is binding on all actors— state and private</w:t>
      </w:r>
      <w:r w:rsidRPr="00A463B0">
        <w:rPr>
          <w:sz w:val="16"/>
        </w:rPr>
        <w:t>.</w:t>
      </w:r>
    </w:p>
    <w:p w14:paraId="3850F23F" w14:textId="77777777" w:rsidR="00874532" w:rsidRPr="00A463B0" w:rsidRDefault="00874532" w:rsidP="00874532">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This is in line with the </w:t>
      </w:r>
      <w:r w:rsidRPr="00A463B0">
        <w:rPr>
          <w:rFonts w:eastAsiaTheme="majorEastAsia" w:cstheme="majorBidi"/>
          <w:b/>
          <w:iCs/>
          <w:sz w:val="26"/>
          <w:u w:val="single"/>
        </w:rPr>
        <w:t xml:space="preserve">spirit </w:t>
      </w:r>
      <w:r w:rsidRPr="00A463B0">
        <w:rPr>
          <w:rFonts w:eastAsiaTheme="majorEastAsia" w:cstheme="majorBidi"/>
          <w:b/>
          <w:iCs/>
          <w:sz w:val="26"/>
        </w:rPr>
        <w:t xml:space="preserve">of the treaty. </w:t>
      </w:r>
    </w:p>
    <w:p w14:paraId="146A1D80" w14:textId="77777777" w:rsidR="00874532" w:rsidRPr="00A463B0" w:rsidRDefault="00874532" w:rsidP="00874532">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 (2)</w:t>
      </w:r>
      <w:r w:rsidRPr="00A463B0">
        <w:rPr>
          <w:sz w:val="16"/>
        </w:rPr>
        <w:t xml:space="preserve"> </w:t>
      </w:r>
      <w:hyperlink r:id="rId14" w:history="1">
        <w:r w:rsidRPr="00A463B0">
          <w:rPr>
            <w:sz w:val="16"/>
          </w:rPr>
          <w:t>https://scholarlycommons.law.emory.edu/eilr/vol33/iss4/6</w:t>
        </w:r>
      </w:hyperlink>
      <w:r w:rsidRPr="00A463B0">
        <w:rPr>
          <w:sz w:val="16"/>
        </w:rPr>
        <w:t xml:space="preserve"> JS</w:t>
      </w:r>
    </w:p>
    <w:p w14:paraId="45FA7D55" w14:textId="77777777" w:rsidR="00874532" w:rsidRPr="00A463B0" w:rsidRDefault="00874532" w:rsidP="00874532">
      <w:pPr>
        <w:rPr>
          <w:sz w:val="16"/>
        </w:rPr>
      </w:pPr>
      <w:r w:rsidRPr="00A463B0">
        <w:rPr>
          <w:u w:val="single"/>
        </w:rPr>
        <w:t>There exists a direct counter-argument that Article II of the Outer Space Treaty does not apply to private actors at all, only to state actors</w:t>
      </w:r>
      <w:r w:rsidRPr="00A463B0">
        <w:rPr>
          <w:sz w:val="16"/>
        </w:rPr>
        <w:t xml:space="preserve">.150 This argument rests primarily on the idea that a treaty is a kind of contract between states that benefits their citizens but does not directly bind their citizens to international obligations.151 </w:t>
      </w:r>
      <w:r w:rsidRPr="00A463B0">
        <w:rPr>
          <w:u w:val="single"/>
        </w:rPr>
        <w:t xml:space="preserve">However, </w:t>
      </w:r>
      <w:r w:rsidRPr="00A463B0">
        <w:rPr>
          <w:highlight w:val="yellow"/>
          <w:u w:val="single"/>
        </w:rPr>
        <w:t>the purpose behind the drafting of the Treaty</w:t>
      </w:r>
      <w:r w:rsidRPr="00A463B0">
        <w:rPr>
          <w:u w:val="single"/>
        </w:rPr>
        <w:t xml:space="preserve"> in the first place </w:t>
      </w:r>
      <w:r w:rsidRPr="00A463B0">
        <w:rPr>
          <w:highlight w:val="yellow"/>
          <w:u w:val="single"/>
        </w:rPr>
        <w:t>most logically stands</w:t>
      </w:r>
      <w:r w:rsidRPr="00A463B0">
        <w:rPr>
          <w:u w:val="single"/>
        </w:rPr>
        <w:t xml:space="preserve"> for the conclusion </w:t>
      </w:r>
      <w:r w:rsidRPr="00A463B0">
        <w:rPr>
          <w:highlight w:val="yellow"/>
          <w:u w:val="single"/>
        </w:rPr>
        <w:t>that ensuring safety</w:t>
      </w:r>
      <w:r w:rsidRPr="00A463B0">
        <w:rPr>
          <w:u w:val="single"/>
        </w:rPr>
        <w:t xml:space="preserve"> and ecological standards </w:t>
      </w:r>
      <w:r w:rsidRPr="00A463B0">
        <w:rPr>
          <w:highlight w:val="yellow"/>
          <w:u w:val="single"/>
        </w:rPr>
        <w:t>in outer space has</w:t>
      </w:r>
      <w:r w:rsidRPr="00A463B0">
        <w:rPr>
          <w:u w:val="single"/>
        </w:rPr>
        <w:t xml:space="preserve"> always </w:t>
      </w:r>
      <w:r w:rsidRPr="00A463B0">
        <w:rPr>
          <w:highlight w:val="yellow"/>
          <w:u w:val="single"/>
        </w:rPr>
        <w:t>been important</w:t>
      </w:r>
      <w:r w:rsidRPr="00A463B0">
        <w:rPr>
          <w:sz w:val="16"/>
        </w:rPr>
        <w:t xml:space="preserve">.152 </w:t>
      </w:r>
      <w:r w:rsidRPr="00A463B0">
        <w:rPr>
          <w:highlight w:val="yellow"/>
          <w:u w:val="single"/>
        </w:rPr>
        <w:t>Allowing a loophole for private actors</w:t>
      </w:r>
      <w:r w:rsidRPr="00A463B0">
        <w:rPr>
          <w:u w:val="single"/>
        </w:rPr>
        <w:t xml:space="preserve"> to essentially do whatever they want with celestial resources and planetary bodies </w:t>
      </w:r>
      <w:r w:rsidRPr="00A463B0">
        <w:rPr>
          <w:highlight w:val="yellow"/>
          <w:u w:val="single"/>
        </w:rPr>
        <w:t>goes directly against the core purpose</w:t>
      </w:r>
      <w:r w:rsidRPr="00A463B0">
        <w:rPr>
          <w:u w:val="single"/>
        </w:rPr>
        <w:t xml:space="preserve"> of having such a treaty in the first place</w:t>
      </w:r>
      <w:r w:rsidRPr="00A463B0">
        <w:rPr>
          <w:sz w:val="16"/>
        </w:rPr>
        <w:t>.</w:t>
      </w:r>
    </w:p>
    <w:p w14:paraId="35A70ACF" w14:textId="77777777" w:rsidR="00874532" w:rsidRPr="00A463B0" w:rsidRDefault="00874532" w:rsidP="00874532">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OST not mentioning private entities flows aff – accepted legal interpretation means this proves lack of intent to exclude private entities. </w:t>
      </w:r>
    </w:p>
    <w:p w14:paraId="64567460" w14:textId="77777777" w:rsidR="00874532" w:rsidRPr="00A463B0" w:rsidRDefault="00874532" w:rsidP="00874532">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 (3)</w:t>
      </w:r>
      <w:r w:rsidRPr="00A463B0">
        <w:rPr>
          <w:sz w:val="16"/>
        </w:rPr>
        <w:t xml:space="preserve"> </w:t>
      </w:r>
      <w:hyperlink r:id="rId15" w:history="1">
        <w:r w:rsidRPr="00A463B0">
          <w:rPr>
            <w:sz w:val="16"/>
          </w:rPr>
          <w:t>https://scholarlycommons.law.emory.edu/eilr/vol33/iss4/6</w:t>
        </w:r>
      </w:hyperlink>
      <w:r w:rsidRPr="00A463B0">
        <w:rPr>
          <w:sz w:val="16"/>
        </w:rPr>
        <w:t xml:space="preserve"> JS</w:t>
      </w:r>
    </w:p>
    <w:p w14:paraId="63BB6429" w14:textId="77777777" w:rsidR="00874532" w:rsidRPr="00FB3D74" w:rsidRDefault="00874532" w:rsidP="00874532">
      <w:pPr>
        <w:rPr>
          <w:sz w:val="16"/>
        </w:rPr>
      </w:pPr>
      <w:r w:rsidRPr="00A463B0">
        <w:rPr>
          <w:sz w:val="16"/>
        </w:rPr>
        <w:lastRenderedPageBreak/>
        <w:t xml:space="preserve">Expressio unius est exclusion alterius </w:t>
      </w:r>
      <w:r w:rsidRPr="00A463B0">
        <w:rPr>
          <w:sz w:val="16"/>
          <w:highlight w:val="yellow"/>
        </w:rPr>
        <w:t xml:space="preserve">is </w:t>
      </w:r>
      <w:r w:rsidRPr="00A463B0">
        <w:rPr>
          <w:highlight w:val="yellow"/>
          <w:u w:val="single"/>
        </w:rPr>
        <w:t>a widely accepted</w:t>
      </w:r>
      <w:r w:rsidRPr="00A463B0">
        <w:rPr>
          <w:u w:val="single"/>
        </w:rPr>
        <w:t xml:space="preserve"> international canon of </w:t>
      </w:r>
      <w:r w:rsidRPr="00A463B0">
        <w:rPr>
          <w:highlight w:val="yellow"/>
          <w:u w:val="single"/>
        </w:rPr>
        <w:t>interpretation</w:t>
      </w:r>
      <w:r w:rsidRPr="00A463B0">
        <w:rPr>
          <w:sz w:val="16"/>
        </w:rPr>
        <w:t xml:space="preserve">.127 It </w:t>
      </w:r>
      <w:r w:rsidRPr="00A463B0">
        <w:rPr>
          <w:highlight w:val="yellow"/>
          <w:u w:val="single"/>
        </w:rPr>
        <w:t>states that when interpreting international materials, one should presume things not mentioned were excluded by deliberate choice</w:t>
      </w:r>
      <w:r w:rsidRPr="00A463B0">
        <w:rPr>
          <w:sz w:val="16"/>
        </w:rPr>
        <w:t xml:space="preserve">, not inadvertence.128 Defined as “[a] canon of construction holding that to express or include one thing implies the exclusion of the other, or of the alternative,”129 </w:t>
      </w:r>
      <w:r w:rsidRPr="00A463B0">
        <w:rPr>
          <w:u w:val="single"/>
        </w:rPr>
        <w:t>the canon can</w:t>
      </w:r>
      <w:r w:rsidRPr="00A463B0">
        <w:rPr>
          <w:sz w:val="16"/>
        </w:rPr>
        <w:t xml:space="preserve"> theoretically </w:t>
      </w:r>
      <w:r w:rsidRPr="00A463B0">
        <w:rPr>
          <w:u w:val="single"/>
        </w:rPr>
        <w:t>be applied to support the conclusion that the Outer Space Treaty does indeed prohibit the appropriation of celestial resources by both state and private actors.</w:t>
      </w:r>
      <w:r w:rsidRPr="00A463B0">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A463B0">
        <w:rPr>
          <w:u w:val="single"/>
        </w:rPr>
        <w:t xml:space="preserve">Through the treaty, the drafters were speaking only to the audience to whom it would apply: sovereigns. </w:t>
      </w:r>
      <w:r w:rsidRPr="00A463B0">
        <w:rPr>
          <w:highlight w:val="yellow"/>
          <w:u w:val="single"/>
        </w:rPr>
        <w:t>If the drafters intended for private actors to be governed differently</w:t>
      </w:r>
      <w:r w:rsidRPr="00A463B0">
        <w:rPr>
          <w:u w:val="single"/>
        </w:rPr>
        <w:t xml:space="preserve">, expressio unius could be applied negatively </w:t>
      </w:r>
      <w:r w:rsidRPr="00A463B0">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A463B0">
        <w:rPr>
          <w:u w:val="single"/>
        </w:rPr>
        <w:t>the canon should apply to say if the drafters wanted any interested entity to be excluded from the Treaty’s non-appropriation effect</w:t>
      </w:r>
      <w:r w:rsidRPr="00A463B0">
        <w:rPr>
          <w:highlight w:val="cyan"/>
          <w:u w:val="single"/>
        </w:rPr>
        <w:t xml:space="preserve">, </w:t>
      </w:r>
      <w:r w:rsidRPr="00A463B0">
        <w:rPr>
          <w:highlight w:val="yellow"/>
          <w:u w:val="single"/>
        </w:rPr>
        <w:t xml:space="preserve">they would have expressly stated so </w:t>
      </w:r>
      <w:r w:rsidRPr="00A463B0">
        <w:rPr>
          <w:u w:val="single"/>
        </w:rPr>
        <w:t>in the text, thus drastically altering its literal interpretation</w:t>
      </w:r>
      <w:r w:rsidRPr="00A463B0">
        <w:rPr>
          <w:sz w:val="16"/>
        </w:rPr>
        <w:t>.</w:t>
      </w:r>
    </w:p>
    <w:p w14:paraId="26FE5835" w14:textId="77777777" w:rsidR="00874532" w:rsidRDefault="00874532" w:rsidP="00874532">
      <w:pPr>
        <w:rPr>
          <w:rFonts w:eastAsiaTheme="majorEastAsia" w:cstheme="majorBidi"/>
          <w:b/>
          <w:bCs/>
          <w:sz w:val="52"/>
          <w:szCs w:val="32"/>
        </w:rPr>
      </w:pPr>
    </w:p>
    <w:p w14:paraId="068A9E88" w14:textId="77777777" w:rsidR="00874532" w:rsidRDefault="00874532" w:rsidP="00874532">
      <w:pPr>
        <w:pStyle w:val="Heading2"/>
      </w:pPr>
      <w:r>
        <w:lastRenderedPageBreak/>
        <w:t>UV</w:t>
      </w:r>
    </w:p>
    <w:p w14:paraId="0EF08081" w14:textId="77777777" w:rsidR="00874532" w:rsidRDefault="00874532" w:rsidP="00874532"/>
    <w:p w14:paraId="3B7E9813" w14:textId="77777777" w:rsidR="00874532" w:rsidRDefault="00874532" w:rsidP="00874532">
      <w:pPr>
        <w:pStyle w:val="Heading4"/>
        <w:rPr>
          <w:rFonts w:eastAsia="Times New Roman"/>
          <w:color w:val="000000"/>
        </w:rPr>
      </w:pPr>
      <w:r>
        <w:t xml:space="preserve">[1] </w:t>
      </w:r>
      <w:r w:rsidRPr="00BB79E4">
        <w:t>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029CE81F" w14:textId="77777777" w:rsidR="00874532" w:rsidRDefault="00874532" w:rsidP="00874532"/>
    <w:p w14:paraId="7D2FD681" w14:textId="77777777" w:rsidR="00874532" w:rsidRPr="00CC7270" w:rsidRDefault="00874532" w:rsidP="00874532"/>
    <w:p w14:paraId="2F44FE9D" w14:textId="77777777" w:rsidR="00874532" w:rsidRPr="00CC7270" w:rsidRDefault="00874532" w:rsidP="00874532"/>
    <w:p w14:paraId="31804582" w14:textId="77777777" w:rsidR="00E42E4C" w:rsidRPr="00874532" w:rsidRDefault="00E42E4C" w:rsidP="00874532"/>
    <w:sectPr w:rsidR="00E42E4C" w:rsidRPr="008745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D5FC7" w14:textId="77777777" w:rsidR="005C1542" w:rsidRDefault="005C1542" w:rsidP="00AA64BF">
      <w:pPr>
        <w:spacing w:after="0" w:line="240" w:lineRule="auto"/>
      </w:pPr>
      <w:r>
        <w:separator/>
      </w:r>
    </w:p>
  </w:endnote>
  <w:endnote w:type="continuationSeparator" w:id="0">
    <w:p w14:paraId="2EE70BB2" w14:textId="77777777" w:rsidR="005C1542" w:rsidRDefault="005C1542"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EC53E" w14:textId="77777777" w:rsidR="005C1542" w:rsidRDefault="005C1542" w:rsidP="00AA64BF">
      <w:pPr>
        <w:spacing w:after="0" w:line="240" w:lineRule="auto"/>
      </w:pPr>
      <w:r>
        <w:separator/>
      </w:r>
    </w:p>
  </w:footnote>
  <w:footnote w:type="continuationSeparator" w:id="0">
    <w:p w14:paraId="17726034" w14:textId="77777777" w:rsidR="005C1542" w:rsidRDefault="005C1542"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2422"/>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8E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1542"/>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46C7E"/>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32"/>
    <w:rsid w:val="0087459D"/>
    <w:rsid w:val="0087680F"/>
    <w:rsid w:val="00876D81"/>
    <w:rsid w:val="00881D86"/>
    <w:rsid w:val="00883306"/>
    <w:rsid w:val="008904F9"/>
    <w:rsid w:val="00890E4C"/>
    <w:rsid w:val="00890E74"/>
    <w:rsid w:val="00891347"/>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0950"/>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EC"/>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45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45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45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45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9"/>
    <w:unhideWhenUsed/>
    <w:qFormat/>
    <w:rsid w:val="008745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45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532"/>
  </w:style>
  <w:style w:type="character" w:customStyle="1" w:styleId="Heading1Char">
    <w:name w:val="Heading 1 Char"/>
    <w:aliases w:val="Pocket Char"/>
    <w:basedOn w:val="DefaultParagraphFont"/>
    <w:link w:val="Heading1"/>
    <w:uiPriority w:val="9"/>
    <w:rsid w:val="008745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45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453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745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453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87453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87453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45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874532"/>
    <w:rPr>
      <w:color w:val="auto"/>
      <w:u w:val="none"/>
    </w:rPr>
  </w:style>
  <w:style w:type="paragraph" w:styleId="DocumentMap">
    <w:name w:val="Document Map"/>
    <w:basedOn w:val="Normal"/>
    <w:link w:val="DocumentMapChar"/>
    <w:uiPriority w:val="99"/>
    <w:semiHidden/>
    <w:unhideWhenUsed/>
    <w:rsid w:val="008745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453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lycommons.law.emory.edu/eilr/vol33/iss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appropriation+definition&amp;oq=appropriation+definit&amp;aqs=chrome.0.0i433i512j69i57j0i512l8.3938j1j7&amp;sourceid=chrome&amp;ie=UTF-8&amp;safe=active&amp;ssui=on" TargetMode="External"/><Relationship Id="rId5" Type="http://schemas.openxmlformats.org/officeDocument/2006/relationships/numbering" Target="numbering.xml"/><Relationship Id="rId15" Type="http://schemas.openxmlformats.org/officeDocument/2006/relationships/hyperlink" Target="https://scholarlycommons.law.emory.edu/eilr/vol33/iss4/6"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9</Pages>
  <Words>3211</Words>
  <Characters>18309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48</cp:revision>
  <dcterms:created xsi:type="dcterms:W3CDTF">2021-09-04T20:57:00Z</dcterms:created>
  <dcterms:modified xsi:type="dcterms:W3CDTF">2022-04-23T22:56:00Z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