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4B186" w14:textId="5F223AB0" w:rsidR="00DA23E0" w:rsidRDefault="009477CE" w:rsidP="009477CE">
      <w:pPr>
        <w:pStyle w:val="Heading2"/>
      </w:pPr>
      <w:r>
        <w:t>2NR</w:t>
      </w:r>
    </w:p>
    <w:p w14:paraId="115509B3" w14:textId="77777777" w:rsidR="00DA23E0" w:rsidRDefault="00DA23E0" w:rsidP="00DA23E0">
      <w:pPr>
        <w:pStyle w:val="Heading4"/>
        <w:rPr>
          <w:rFonts w:eastAsia="Calibri" w:cs="Calibri"/>
        </w:rPr>
      </w:pPr>
      <w:r>
        <w:rPr>
          <w:rFonts w:eastAsia="Calibri" w:cs="Calibri"/>
        </w:rPr>
        <w:t xml:space="preserve">Filter this debate through precision—the words of the topic are the only objective, stable stasis point. The topic was determined in advance and is what everyone looks to when doing prep. If the </w:t>
      </w:r>
      <w:proofErr w:type="spellStart"/>
      <w:r>
        <w:rPr>
          <w:rFonts w:eastAsia="Calibri" w:cs="Calibri"/>
        </w:rPr>
        <w:t>aff</w:t>
      </w:r>
      <w:proofErr w:type="spellEnd"/>
      <w:r>
        <w:rPr>
          <w:rFonts w:eastAsia="Calibri" w:cs="Calibri"/>
        </w:rPr>
        <w:t xml:space="preserve"> doesn’t have a definitional defense of their model, they should lose regardless of any other portion of the debate including limits—their offense just proves that debating a different topic would be good, not that their plan is topical. </w:t>
      </w:r>
    </w:p>
    <w:p w14:paraId="0661C729" w14:textId="77777777" w:rsidR="00DA23E0" w:rsidRDefault="00DA23E0" w:rsidP="00DA23E0">
      <w:pPr>
        <w:rPr>
          <w:rFonts w:eastAsia="Calibri"/>
        </w:rPr>
      </w:pPr>
    </w:p>
    <w:p w14:paraId="70222D09" w14:textId="77777777" w:rsidR="00DA23E0" w:rsidRDefault="00DA23E0" w:rsidP="00DA23E0">
      <w:pPr>
        <w:pStyle w:val="Heading4"/>
        <w:rPr>
          <w:rFonts w:eastAsia="Calibri" w:cs="Calibri"/>
        </w:rPr>
      </w:pPr>
      <w:r>
        <w:rPr>
          <w:rFonts w:eastAsia="Calibri" w:cs="Calibri"/>
        </w:rPr>
        <w:t xml:space="preserve">Letting the </w:t>
      </w:r>
      <w:proofErr w:type="spellStart"/>
      <w:r>
        <w:rPr>
          <w:rFonts w:eastAsia="Calibri" w:cs="Calibri"/>
        </w:rPr>
        <w:t>aff</w:t>
      </w:r>
      <w:proofErr w:type="spellEnd"/>
      <w:r>
        <w:rPr>
          <w:rFonts w:eastAsia="Calibri" w:cs="Calibri"/>
        </w:rPr>
        <w:t xml:space="preserve"> deviate from the topic or be tangentially related to it is arbitrary—once you say that the </w:t>
      </w:r>
      <w:proofErr w:type="spellStart"/>
      <w:r>
        <w:rPr>
          <w:rFonts w:eastAsia="Calibri" w:cs="Calibri"/>
        </w:rPr>
        <w:t>aff</w:t>
      </w:r>
      <w:proofErr w:type="spellEnd"/>
      <w:r>
        <w:rPr>
          <w:rFonts w:eastAsia="Calibri" w:cs="Calibri"/>
        </w:rPr>
        <w:t xml:space="preserve"> isn’t bound by the topic, it’s a slippery slope to infinite, unpredictable tweaks. They could change “private appropriation” to “national appropriation”, defend “immoral” instead of “unjust”, read an </w:t>
      </w:r>
      <w:proofErr w:type="spellStart"/>
      <w:r>
        <w:rPr>
          <w:rFonts w:eastAsia="Calibri" w:cs="Calibri"/>
        </w:rPr>
        <w:t>aff</w:t>
      </w:r>
      <w:proofErr w:type="spellEnd"/>
      <w:r>
        <w:rPr>
          <w:rFonts w:eastAsia="Calibri" w:cs="Calibri"/>
        </w:rPr>
        <w:t xml:space="preserve"> about the Sun, and much, much more—these </w:t>
      </w:r>
      <w:proofErr w:type="spellStart"/>
      <w:r>
        <w:rPr>
          <w:rFonts w:eastAsia="Calibri" w:cs="Calibri"/>
        </w:rPr>
        <w:t>affs</w:t>
      </w:r>
      <w:proofErr w:type="spellEnd"/>
      <w:r>
        <w:rPr>
          <w:rFonts w:eastAsia="Calibri" w:cs="Calibri"/>
        </w:rPr>
        <w:t xml:space="preserve"> might be educational but there’s no way the neg can prepare to answer them </w:t>
      </w:r>
      <w:proofErr w:type="spellStart"/>
      <w:r>
        <w:rPr>
          <w:rFonts w:eastAsia="Calibri" w:cs="Calibri"/>
        </w:rPr>
        <w:t>cuz</w:t>
      </w:r>
      <w:proofErr w:type="spellEnd"/>
      <w:r>
        <w:rPr>
          <w:rFonts w:eastAsia="Calibri" w:cs="Calibri"/>
        </w:rPr>
        <w:t xml:space="preserve"> they aren’t part of the topic. Even if the topic isn’t perfect, having some limit is better than no limit at all—the alternative to precision-based topicality is anything-goes, letting the </w:t>
      </w:r>
      <w:proofErr w:type="spellStart"/>
      <w:r>
        <w:rPr>
          <w:rFonts w:eastAsia="Calibri" w:cs="Calibri"/>
        </w:rPr>
        <w:t>aff</w:t>
      </w:r>
      <w:proofErr w:type="spellEnd"/>
      <w:r>
        <w:rPr>
          <w:rFonts w:eastAsia="Calibri" w:cs="Calibri"/>
        </w:rPr>
        <w:t xml:space="preserve"> take whatever unpredictable adventure they want, which outweighs their offense on magnitude.</w:t>
      </w:r>
    </w:p>
    <w:p w14:paraId="773E6E7B" w14:textId="77777777" w:rsidR="00DA23E0" w:rsidRDefault="00DA23E0" w:rsidP="00DA23E0">
      <w:pPr>
        <w:pStyle w:val="Heading3"/>
      </w:pPr>
      <w:r>
        <w:lastRenderedPageBreak/>
        <w:t>A2 Pragmatics</w:t>
      </w:r>
    </w:p>
    <w:p w14:paraId="312158C0" w14:textId="77777777" w:rsidR="00DA23E0" w:rsidRDefault="00DA23E0" w:rsidP="00DA23E0">
      <w:pPr>
        <w:pStyle w:val="Heading4"/>
        <w:rPr>
          <w:rFonts w:eastAsia="Calibri" w:cs="Calibri"/>
        </w:rPr>
      </w:pPr>
      <w:r>
        <w:rPr>
          <w:rFonts w:eastAsia="Calibri" w:cs="Calibri"/>
        </w:rPr>
        <w:t xml:space="preserve">Obviously not – there’s a clear distinction between what it means to be pragmatically good and semantically correct. Even if they win their model is good for limits, that just means debating a different topic would be good, not that their plan is topical. For example, even if they win that every </w:t>
      </w:r>
      <w:proofErr w:type="spellStart"/>
      <w:r>
        <w:rPr>
          <w:rFonts w:eastAsia="Calibri" w:cs="Calibri"/>
        </w:rPr>
        <w:t>aff</w:t>
      </w:r>
      <w:proofErr w:type="spellEnd"/>
      <w:r>
        <w:rPr>
          <w:rFonts w:eastAsia="Calibri" w:cs="Calibri"/>
        </w:rPr>
        <w:t xml:space="preserve"> ending military aid to Saudi Arabia is good for neg prep, it doesn’t make the Saudi </w:t>
      </w:r>
      <w:proofErr w:type="spellStart"/>
      <w:r>
        <w:rPr>
          <w:rFonts w:eastAsia="Calibri" w:cs="Calibri"/>
        </w:rPr>
        <w:t>aff</w:t>
      </w:r>
      <w:proofErr w:type="spellEnd"/>
      <w:r>
        <w:rPr>
          <w:rFonts w:eastAsia="Calibri" w:cs="Calibri"/>
        </w:rPr>
        <w:t xml:space="preserve"> topical.</w:t>
      </w:r>
    </w:p>
    <w:p w14:paraId="3B886630" w14:textId="77777777" w:rsidR="00DA23E0" w:rsidRDefault="00DA23E0" w:rsidP="00DA23E0">
      <w:pPr>
        <w:pStyle w:val="Heading3"/>
      </w:pPr>
      <w:r>
        <w:lastRenderedPageBreak/>
        <w:t>A2 PICs</w:t>
      </w:r>
    </w:p>
    <w:p w14:paraId="7AC523D7"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 xml:space="preserve">1] Limits outweighs on probability – people don’t read PICs that often under </w:t>
      </w:r>
      <w:proofErr w:type="spellStart"/>
      <w:proofErr w:type="gramStart"/>
      <w:r w:rsidRPr="00A31B40">
        <w:rPr>
          <w:rFonts w:asciiTheme="majorHAnsi" w:hAnsiTheme="majorHAnsi" w:cstheme="majorHAnsi"/>
        </w:rPr>
        <w:t>nebel</w:t>
      </w:r>
      <w:proofErr w:type="spellEnd"/>
      <w:proofErr w:type="gramEnd"/>
      <w:r w:rsidRPr="00A31B40">
        <w:rPr>
          <w:rFonts w:asciiTheme="majorHAnsi" w:hAnsiTheme="majorHAnsi" w:cstheme="majorHAnsi"/>
        </w:rPr>
        <w:t xml:space="preserve"> but people read a </w:t>
      </w:r>
      <w:proofErr w:type="spellStart"/>
      <w:r w:rsidRPr="00A31B40">
        <w:rPr>
          <w:rFonts w:asciiTheme="majorHAnsi" w:hAnsiTheme="majorHAnsi" w:cstheme="majorHAnsi"/>
        </w:rPr>
        <w:t>hyperspec</w:t>
      </w:r>
      <w:proofErr w:type="spellEnd"/>
      <w:r w:rsidRPr="00A31B40">
        <w:rPr>
          <w:rFonts w:asciiTheme="majorHAnsi" w:hAnsiTheme="majorHAnsi" w:cstheme="majorHAnsi"/>
        </w:rPr>
        <w:t xml:space="preserv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every time under their </w:t>
      </w:r>
      <w:proofErr w:type="spellStart"/>
      <w:r w:rsidRPr="00A31B40">
        <w:rPr>
          <w:rFonts w:asciiTheme="majorHAnsi" w:hAnsiTheme="majorHAnsi" w:cstheme="majorHAnsi"/>
        </w:rPr>
        <w:t>interp</w:t>
      </w:r>
      <w:proofErr w:type="spellEnd"/>
      <w:r w:rsidRPr="00A31B40">
        <w:rPr>
          <w:rFonts w:asciiTheme="majorHAnsi" w:hAnsiTheme="majorHAnsi" w:cstheme="majorHAnsi"/>
        </w:rPr>
        <w:t xml:space="preserve"> – size of link determines size of impact so even if they’re winning PICs are way worse than plans, it’s not frequent enough to make up the link differential</w:t>
      </w:r>
    </w:p>
    <w:p w14:paraId="77FCD83A"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2] Turn – when the neg has no specific prep they’re incentivized to rely on silly backfile word pics, or random open evidence process pics that moot the 1AC and destroy core topic ed</w:t>
      </w:r>
    </w:p>
    <w:p w14:paraId="3A002347" w14:textId="77777777" w:rsidR="00DA23E0" w:rsidRPr="00A31B40" w:rsidRDefault="00DA23E0" w:rsidP="00DA23E0">
      <w:pPr>
        <w:pStyle w:val="Heading4"/>
        <w:spacing w:line="276" w:lineRule="auto"/>
        <w:rPr>
          <w:rFonts w:asciiTheme="majorHAnsi" w:hAnsiTheme="majorHAnsi" w:cstheme="majorHAnsi"/>
          <w:color w:val="000000" w:themeColor="text1"/>
        </w:rPr>
      </w:pPr>
      <w:r w:rsidRPr="00A31B40">
        <w:rPr>
          <w:rFonts w:asciiTheme="majorHAnsi" w:hAnsiTheme="majorHAnsi" w:cstheme="majorHAnsi"/>
          <w:color w:val="000000" w:themeColor="text1"/>
        </w:rPr>
        <w:t xml:space="preserve">3] </w:t>
      </w:r>
      <w:r w:rsidRPr="00A31B40">
        <w:rPr>
          <w:rFonts w:asciiTheme="majorHAnsi" w:hAnsiTheme="majorHAnsi" w:cstheme="majorHAnsi"/>
        </w:rPr>
        <w:t>1AR theory checks PICs—if they’re so abusive you should be able to win the theory debate</w:t>
      </w:r>
      <w:r w:rsidRPr="00A31B40">
        <w:rPr>
          <w:rFonts w:asciiTheme="majorHAnsi" w:hAnsiTheme="majorHAnsi" w:cstheme="majorHAnsi"/>
          <w:color w:val="000000" w:themeColor="text1"/>
        </w:rPr>
        <w:t xml:space="preserve">. </w:t>
      </w:r>
    </w:p>
    <w:p w14:paraId="32563E86" w14:textId="77777777" w:rsidR="00DA23E0" w:rsidRPr="00A31B40" w:rsidRDefault="00DA23E0" w:rsidP="00DA23E0">
      <w:pPr>
        <w:pStyle w:val="Heading4"/>
        <w:spacing w:line="276" w:lineRule="auto"/>
        <w:rPr>
          <w:rFonts w:asciiTheme="majorHAnsi" w:hAnsiTheme="majorHAnsi" w:cstheme="majorHAnsi"/>
          <w:color w:val="000000" w:themeColor="text1"/>
        </w:rPr>
      </w:pPr>
      <w:r w:rsidRPr="00A31B40">
        <w:rPr>
          <w:rFonts w:asciiTheme="majorHAnsi" w:hAnsiTheme="majorHAnsi" w:cstheme="majorHAnsi"/>
          <w:color w:val="000000" w:themeColor="text1"/>
        </w:rPr>
        <w:t>4] T</w:t>
      </w:r>
      <w:r w:rsidRPr="00A31B40">
        <w:rPr>
          <w:rFonts w:asciiTheme="majorHAnsi" w:hAnsiTheme="majorHAnsi" w:cstheme="majorHAnsi"/>
        </w:rPr>
        <w:t xml:space="preserve">his is a non-sequitur—just because the neg could hypothetically be abusive doesn’t justify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pre-emptively being abusive to compensate—this creates an absurd norm where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can justify reading 40 a </w:t>
      </w:r>
      <w:proofErr w:type="spellStart"/>
      <w:r w:rsidRPr="00A31B40">
        <w:rPr>
          <w:rFonts w:asciiTheme="majorHAnsi" w:hAnsiTheme="majorHAnsi" w:cstheme="majorHAnsi"/>
        </w:rPr>
        <w:t>prioris</w:t>
      </w:r>
      <w:proofErr w:type="spellEnd"/>
      <w:r w:rsidRPr="00A31B40">
        <w:rPr>
          <w:rFonts w:asciiTheme="majorHAnsi" w:hAnsiTheme="majorHAnsi" w:cstheme="majorHAnsi"/>
        </w:rPr>
        <w:t xml:space="preserve"> because the neg could read 50 condo pics, which outweighs their offense on magnitude</w:t>
      </w:r>
    </w:p>
    <w:p w14:paraId="31A96B74" w14:textId="77777777" w:rsidR="00DA23E0" w:rsidRPr="00A31B40" w:rsidRDefault="00DA23E0" w:rsidP="00DA23E0">
      <w:pPr>
        <w:pStyle w:val="Heading4"/>
        <w:spacing w:line="276" w:lineRule="auto"/>
        <w:rPr>
          <w:rFonts w:asciiTheme="majorHAnsi" w:hAnsiTheme="majorHAnsi" w:cstheme="majorHAnsi"/>
          <w:color w:val="000000" w:themeColor="text1"/>
        </w:rPr>
      </w:pPr>
      <w:r w:rsidRPr="00A31B40">
        <w:rPr>
          <w:rFonts w:asciiTheme="majorHAnsi" w:hAnsiTheme="majorHAnsi" w:cstheme="majorHAnsi"/>
          <w:color w:val="000000" w:themeColor="text1"/>
        </w:rPr>
        <w:t xml:space="preserve">5] The abuse is inevitable – it stems from forcing a 1AR restart, but any strategic neg does that regardless with things like a K. </w:t>
      </w:r>
    </w:p>
    <w:p w14:paraId="4B8C13A3"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 xml:space="preserve">6] Turn – forces better education since you learn to defend your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vs specific PICs and that occurs thru deep research and strategic thinking</w:t>
      </w:r>
    </w:p>
    <w:p w14:paraId="57DA2D87"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 xml:space="preserve">7] Quality of ground – I’ll just be reading bad </w:t>
      </w:r>
      <w:proofErr w:type="spellStart"/>
      <w:r w:rsidRPr="00A31B40">
        <w:rPr>
          <w:rFonts w:asciiTheme="majorHAnsi" w:hAnsiTheme="majorHAnsi" w:cstheme="majorHAnsi"/>
        </w:rPr>
        <w:t>args</w:t>
      </w:r>
      <w:proofErr w:type="spellEnd"/>
      <w:r w:rsidRPr="00A31B40">
        <w:rPr>
          <w:rFonts w:asciiTheme="majorHAnsi" w:hAnsiTheme="majorHAnsi" w:cstheme="majorHAnsi"/>
        </w:rPr>
        <w:t xml:space="preserve"> that barely link which means you can just answer them – proves that your </w:t>
      </w:r>
      <w:proofErr w:type="spellStart"/>
      <w:r w:rsidRPr="00A31B40">
        <w:rPr>
          <w:rFonts w:asciiTheme="majorHAnsi" w:hAnsiTheme="majorHAnsi" w:cstheme="majorHAnsi"/>
        </w:rPr>
        <w:t>underlimiting</w:t>
      </w:r>
      <w:proofErr w:type="spellEnd"/>
      <w:r w:rsidRPr="00A31B40">
        <w:rPr>
          <w:rFonts w:asciiTheme="majorHAnsi" w:hAnsiTheme="majorHAnsi" w:cstheme="majorHAnsi"/>
        </w:rPr>
        <w:t xml:space="preserve"> of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kills good ground</w:t>
      </w:r>
    </w:p>
    <w:p w14:paraId="681181A9" w14:textId="77777777" w:rsidR="00DA23E0" w:rsidRPr="004C2EAF" w:rsidRDefault="00DA23E0" w:rsidP="00DA23E0">
      <w:pPr>
        <w:pStyle w:val="Heading4"/>
        <w:spacing w:line="276" w:lineRule="auto"/>
        <w:rPr>
          <w:rFonts w:asciiTheme="majorHAnsi" w:hAnsiTheme="majorHAnsi" w:cstheme="majorHAnsi"/>
          <w:color w:val="000000" w:themeColor="text1"/>
        </w:rPr>
      </w:pPr>
      <w:r w:rsidRPr="00A31B40">
        <w:rPr>
          <w:rFonts w:asciiTheme="majorHAnsi" w:hAnsiTheme="majorHAnsi" w:cstheme="majorHAnsi"/>
          <w:color w:val="000000" w:themeColor="text1"/>
        </w:rPr>
        <w:t xml:space="preserve">8] Neg ground – </w:t>
      </w:r>
      <w:r w:rsidRPr="00A31B40">
        <w:rPr>
          <w:rFonts w:asciiTheme="majorHAnsi" w:hAnsiTheme="majorHAnsi" w:cstheme="majorHAnsi"/>
        </w:rPr>
        <w:t xml:space="preserve">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has infinite prep to craft an AC with strategic angles against PICs like perception advantages, perms, etc. and can always straight turn the net benefit, but the neg is inherently reactive so the skew is much harder when they have no ability to effectively prep the </w:t>
      </w:r>
      <w:proofErr w:type="spellStart"/>
      <w:r w:rsidRPr="00A31B40">
        <w:rPr>
          <w:rFonts w:asciiTheme="majorHAnsi" w:hAnsiTheme="majorHAnsi" w:cstheme="majorHAnsi"/>
        </w:rPr>
        <w:t>aff</w:t>
      </w:r>
      <w:proofErr w:type="spellEnd"/>
    </w:p>
    <w:p w14:paraId="02A826A3" w14:textId="77777777" w:rsidR="00DA23E0" w:rsidRDefault="00DA23E0" w:rsidP="00DA23E0">
      <w:pPr>
        <w:pStyle w:val="Heading4"/>
        <w:rPr>
          <w:rStyle w:val="Style13ptBold"/>
        </w:rPr>
      </w:pPr>
      <w:r>
        <w:rPr>
          <w:rStyle w:val="Style13ptBold"/>
        </w:rPr>
        <w:t xml:space="preserve">9] Use competing </w:t>
      </w:r>
      <w:proofErr w:type="spellStart"/>
      <w:r>
        <w:rPr>
          <w:rStyle w:val="Style13ptBold"/>
        </w:rPr>
        <w:t>interps</w:t>
      </w:r>
      <w:proofErr w:type="spellEnd"/>
      <w:r>
        <w:rPr>
          <w:rStyle w:val="Style13ptBold"/>
        </w:rPr>
        <w:t xml:space="preserve">. Evaluation of the debate comes from the models, not each specific round. Competing </w:t>
      </w:r>
      <w:proofErr w:type="spellStart"/>
      <w:r>
        <w:rPr>
          <w:rStyle w:val="Style13ptBold"/>
        </w:rPr>
        <w:t>Interps</w:t>
      </w:r>
      <w:proofErr w:type="spellEnd"/>
      <w:r>
        <w:rPr>
          <w:rStyle w:val="Style13ptBold"/>
        </w:rPr>
        <w:t xml:space="preserve"> solve models and disincentivize trying to win fringe 1AR theories outweigh.</w:t>
      </w:r>
    </w:p>
    <w:p w14:paraId="07DEE075" w14:textId="77777777" w:rsidR="00DA23E0" w:rsidRDefault="00DA23E0" w:rsidP="00DA23E0">
      <w:pPr>
        <w:pStyle w:val="Heading4"/>
        <w:rPr>
          <w:b w:val="0"/>
          <w:bCs w:val="0"/>
        </w:rPr>
      </w:pPr>
      <w:r w:rsidRPr="004C2EAF">
        <w:rPr>
          <w:b w:val="0"/>
          <w:bCs w:val="0"/>
        </w:rPr>
        <w:t xml:space="preserve">10] Extend Magnitude Weighing: They cause more abuse solely based on the speeches, because </w:t>
      </w:r>
      <w:proofErr w:type="spellStart"/>
      <w:r w:rsidRPr="004C2EAF">
        <w:rPr>
          <w:b w:val="0"/>
          <w:bCs w:val="0"/>
        </w:rPr>
        <w:t>aff</w:t>
      </w:r>
      <w:proofErr w:type="spellEnd"/>
      <w:r w:rsidRPr="004C2EAF">
        <w:rPr>
          <w:b w:val="0"/>
          <w:bCs w:val="0"/>
        </w:rPr>
        <w:t xml:space="preserve"> advocacies influence all future speeches. </w:t>
      </w:r>
      <w:proofErr w:type="spellStart"/>
      <w:r w:rsidRPr="004C2EAF">
        <w:rPr>
          <w:b w:val="0"/>
          <w:bCs w:val="0"/>
        </w:rPr>
        <w:t>Aff</w:t>
      </w:r>
      <w:proofErr w:type="spellEnd"/>
      <w:r w:rsidRPr="004C2EAF">
        <w:rPr>
          <w:b w:val="0"/>
          <w:bCs w:val="0"/>
        </w:rPr>
        <w:t xml:space="preserve"> advocacies kill neg </w:t>
      </w:r>
      <w:proofErr w:type="gramStart"/>
      <w:r w:rsidRPr="004C2EAF">
        <w:rPr>
          <w:b w:val="0"/>
          <w:bCs w:val="0"/>
        </w:rPr>
        <w:t>ground</w:t>
      </w:r>
      <w:proofErr w:type="gramEnd"/>
      <w:r w:rsidRPr="004C2EAF">
        <w:rPr>
          <w:b w:val="0"/>
          <w:bCs w:val="0"/>
        </w:rPr>
        <w:t xml:space="preserve"> which is comparatively more, since the </w:t>
      </w:r>
      <w:proofErr w:type="spellStart"/>
      <w:r w:rsidRPr="004C2EAF">
        <w:rPr>
          <w:b w:val="0"/>
          <w:bCs w:val="0"/>
        </w:rPr>
        <w:t>aff</w:t>
      </w:r>
      <w:proofErr w:type="spellEnd"/>
      <w:r w:rsidRPr="004C2EAF">
        <w:rPr>
          <w:b w:val="0"/>
          <w:bCs w:val="0"/>
        </w:rPr>
        <w:t xml:space="preserve"> bases the entire case solely on the advocacy, while the neg doesn’t base the entire argument on 1 off.</w:t>
      </w:r>
    </w:p>
    <w:p w14:paraId="0C55A68D" w14:textId="77777777" w:rsidR="00DA23E0" w:rsidRDefault="00DA23E0" w:rsidP="00DA23E0">
      <w:pPr>
        <w:pStyle w:val="Heading3"/>
      </w:pPr>
      <w:r>
        <w:lastRenderedPageBreak/>
        <w:t>A2 Reasonability</w:t>
      </w:r>
    </w:p>
    <w:p w14:paraId="4CE3229D" w14:textId="77777777" w:rsidR="00DA23E0" w:rsidRPr="003121F3" w:rsidRDefault="00DA23E0" w:rsidP="00DA23E0">
      <w:pPr>
        <w:pStyle w:val="Heading4"/>
        <w:rPr>
          <w:rStyle w:val="Style13ptBold"/>
        </w:rPr>
      </w:pPr>
      <w:r w:rsidRPr="003121F3">
        <w:rPr>
          <w:rStyle w:val="Style13ptBold"/>
        </w:rPr>
        <w:t>1] It’s arbitrary. They don’t provide a line of reasonability on the T, which justifies judge intervention. This causes abusive plans using the argument that it’s “reasonable enough”</w:t>
      </w:r>
    </w:p>
    <w:p w14:paraId="40B3C2D8" w14:textId="77777777" w:rsidR="00DA23E0" w:rsidRDefault="00DA23E0" w:rsidP="00DA23E0">
      <w:pPr>
        <w:pStyle w:val="Heading4"/>
      </w:pPr>
      <w:r w:rsidRPr="003121F3">
        <w:rPr>
          <w:rStyle w:val="Style13ptBold"/>
        </w:rPr>
        <w:t>2] Can’t be semi-topical or almost topical. It’s topical or it’s not.</w:t>
      </w:r>
    </w:p>
    <w:p w14:paraId="4B46BB4C" w14:textId="77777777" w:rsidR="00DA23E0" w:rsidRPr="00A31B40" w:rsidRDefault="00DA23E0" w:rsidP="00DA23E0">
      <w:pPr>
        <w:pStyle w:val="Heading3"/>
      </w:pPr>
      <w:r>
        <w:lastRenderedPageBreak/>
        <w:t>Pragmatics</w:t>
      </w:r>
    </w:p>
    <w:p w14:paraId="738C42D9"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 xml:space="preserve">Limits o/w their pragmatic offense – preserving a vision of the topic that maximizes clash and equitable debate for the negative should be the nexus question of your decision. The only unique benefit to the activity is the </w:t>
      </w:r>
      <w:proofErr w:type="spellStart"/>
      <w:r w:rsidRPr="00A31B40">
        <w:rPr>
          <w:rFonts w:asciiTheme="majorHAnsi" w:hAnsiTheme="majorHAnsi" w:cstheme="majorHAnsi"/>
        </w:rPr>
        <w:t>neg’s</w:t>
      </w:r>
      <w:proofErr w:type="spellEnd"/>
      <w:r w:rsidRPr="00A31B40">
        <w:rPr>
          <w:rFonts w:asciiTheme="majorHAnsi" w:hAnsiTheme="majorHAnsi" w:cstheme="majorHAnsi"/>
        </w:rPr>
        <w:t xml:space="preserve"> ability to rigorously contest the claims of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Every other impact: topic education,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ground, and innovation are all secondary to the ability to preserve a reasonable expectation of neg prep by accepting a hard cap on the number of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Winning a small risk of a link to the limits </w:t>
      </w:r>
      <w:proofErr w:type="spellStart"/>
      <w:r w:rsidRPr="00A31B40">
        <w:rPr>
          <w:rFonts w:asciiTheme="majorHAnsi" w:hAnsiTheme="majorHAnsi" w:cstheme="majorHAnsi"/>
        </w:rPr>
        <w:t>disad</w:t>
      </w:r>
      <w:proofErr w:type="spellEnd"/>
      <w:r w:rsidRPr="00A31B40">
        <w:rPr>
          <w:rFonts w:asciiTheme="majorHAnsi" w:hAnsiTheme="majorHAnsi" w:cstheme="majorHAnsi"/>
        </w:rPr>
        <w:t xml:space="preserve"> is sufficient to vote negative because it makes debate fundamentally unfair. </w:t>
      </w:r>
    </w:p>
    <w:p w14:paraId="66ED82C7" w14:textId="77777777" w:rsidR="00DA23E0" w:rsidRPr="00A31B40" w:rsidRDefault="00DA23E0" w:rsidP="00DA23E0">
      <w:pPr>
        <w:rPr>
          <w:rFonts w:asciiTheme="majorHAnsi" w:hAnsiTheme="majorHAnsi" w:cstheme="majorHAnsi"/>
        </w:rPr>
      </w:pPr>
    </w:p>
    <w:p w14:paraId="40BF078D"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 xml:space="preserve">They kill limits --- they can defend mining, space tourism, lunar control, </w:t>
      </w:r>
      <w:proofErr w:type="gramStart"/>
      <w:r w:rsidRPr="00A31B40">
        <w:rPr>
          <w:rFonts w:asciiTheme="majorHAnsi" w:hAnsiTheme="majorHAnsi" w:cstheme="majorHAnsi"/>
        </w:rPr>
        <w:t>etc..</w:t>
      </w:r>
      <w:proofErr w:type="gramEnd"/>
      <w:r w:rsidRPr="00A31B40">
        <w:rPr>
          <w:rFonts w:asciiTheme="majorHAnsi" w:hAnsiTheme="majorHAnsi" w:cstheme="majorHAnsi"/>
        </w:rPr>
        <w:t xml:space="preserve"> which makes neg prep impossible </w:t>
      </w:r>
      <w:proofErr w:type="spellStart"/>
      <w:r w:rsidRPr="00A31B40">
        <w:rPr>
          <w:rFonts w:asciiTheme="majorHAnsi" w:hAnsiTheme="majorHAnsi" w:cstheme="majorHAnsi"/>
        </w:rPr>
        <w:t>cuz</w:t>
      </w:r>
      <w:proofErr w:type="spellEnd"/>
      <w:r w:rsidRPr="00A31B40">
        <w:rPr>
          <w:rFonts w:asciiTheme="majorHAnsi" w:hAnsiTheme="majorHAnsi" w:cstheme="majorHAnsi"/>
        </w:rPr>
        <w:t xml:space="preserve"> they make existing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way narrower to get out of neg </w:t>
      </w:r>
      <w:proofErr w:type="spellStart"/>
      <w:r w:rsidRPr="00A31B40">
        <w:rPr>
          <w:rFonts w:asciiTheme="majorHAnsi" w:hAnsiTheme="majorHAnsi" w:cstheme="majorHAnsi"/>
        </w:rPr>
        <w:t>args</w:t>
      </w:r>
      <w:proofErr w:type="spellEnd"/>
      <w:r w:rsidRPr="00A31B40">
        <w:rPr>
          <w:rFonts w:asciiTheme="majorHAnsi" w:hAnsiTheme="majorHAnsi" w:cstheme="majorHAnsi"/>
        </w:rPr>
        <w:t xml:space="preserve"> which leads to less in-depth debates and arsenal of the week burner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w:t>
      </w:r>
    </w:p>
    <w:p w14:paraId="7B917E57" w14:textId="77777777" w:rsidR="00DA23E0" w:rsidRPr="00A31B40" w:rsidRDefault="00DA23E0" w:rsidP="00DA23E0">
      <w:pPr>
        <w:rPr>
          <w:rFonts w:asciiTheme="majorHAnsi" w:hAnsiTheme="majorHAnsi" w:cstheme="majorHAnsi"/>
        </w:rPr>
      </w:pPr>
    </w:p>
    <w:p w14:paraId="17A8D2CF"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Here are a few weighing arguments that should make you err heavily negative on the limits claim:</w:t>
      </w:r>
    </w:p>
    <w:p w14:paraId="42AC04C6"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 xml:space="preserve">1] Negs are getting smacked on this topic—the topic is huge—the marginal benefit of allowing single, specific entities </w:t>
      </w:r>
      <w:proofErr w:type="gramStart"/>
      <w:r w:rsidRPr="00A31B40">
        <w:rPr>
          <w:rFonts w:asciiTheme="majorHAnsi" w:hAnsiTheme="majorHAnsi" w:cstheme="majorHAnsi"/>
        </w:rPr>
        <w:t>is</w:t>
      </w:r>
      <w:proofErr w:type="gramEnd"/>
      <w:r w:rsidRPr="00A31B40">
        <w:rPr>
          <w:rFonts w:asciiTheme="majorHAnsi" w:hAnsiTheme="majorHAnsi" w:cstheme="majorHAnsi"/>
        </w:rPr>
        <w:t xml:space="preserve"> very low, while the corresponding prep burden for a bunch of different private </w:t>
      </w:r>
      <w:proofErr w:type="spellStart"/>
      <w:r w:rsidRPr="00A31B40">
        <w:rPr>
          <w:rFonts w:asciiTheme="majorHAnsi" w:hAnsiTheme="majorHAnsi" w:cstheme="majorHAnsi"/>
        </w:rPr>
        <w:t>entitites</w:t>
      </w:r>
      <w:proofErr w:type="spellEnd"/>
      <w:r w:rsidRPr="00A31B40">
        <w:rPr>
          <w:rFonts w:asciiTheme="majorHAnsi" w:hAnsiTheme="majorHAnsi" w:cstheme="majorHAnsi"/>
        </w:rPr>
        <w:t xml:space="preserve"> is </w:t>
      </w:r>
      <w:r w:rsidRPr="00A31B40">
        <w:rPr>
          <w:rFonts w:asciiTheme="majorHAnsi" w:hAnsiTheme="majorHAnsi" w:cstheme="majorHAnsi"/>
          <w:u w:val="single"/>
        </w:rPr>
        <w:t>very high</w:t>
      </w:r>
      <w:r w:rsidRPr="00A31B40">
        <w:rPr>
          <w:rFonts w:asciiTheme="majorHAnsi" w:hAnsiTheme="majorHAnsi" w:cstheme="majorHAnsi"/>
        </w:rPr>
        <w:t xml:space="preserve">. This flips reasonability because it proves its try or die for a balanced version of the topic. Today it's the SpaceX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tomorrow is CASC </w:t>
      </w:r>
      <w:proofErr w:type="spellStart"/>
      <w:r w:rsidRPr="00A31B40">
        <w:rPr>
          <w:rFonts w:asciiTheme="majorHAnsi" w:hAnsiTheme="majorHAnsi" w:cstheme="majorHAnsi"/>
        </w:rPr>
        <w:t>aff</w:t>
      </w:r>
      <w:proofErr w:type="spellEnd"/>
      <w:r w:rsidRPr="00A31B40">
        <w:rPr>
          <w:rFonts w:asciiTheme="majorHAnsi" w:hAnsiTheme="majorHAnsi" w:cstheme="majorHAnsi"/>
        </w:rPr>
        <w:t>. Any uncertainty means you should default to depth first.</w:t>
      </w:r>
    </w:p>
    <w:p w14:paraId="5C3FF4E6" w14:textId="77777777" w:rsidR="00DA23E0" w:rsidRDefault="00DA23E0" w:rsidP="00DA23E0">
      <w:pPr>
        <w:pStyle w:val="Heading4"/>
        <w:rPr>
          <w:rFonts w:asciiTheme="majorHAnsi" w:hAnsiTheme="majorHAnsi" w:cstheme="majorHAnsi"/>
        </w:rPr>
      </w:pPr>
      <w:r w:rsidRPr="00A31B40">
        <w:rPr>
          <w:rFonts w:asciiTheme="majorHAnsi" w:hAnsiTheme="majorHAnsi" w:cstheme="majorHAnsi"/>
        </w:rPr>
        <w:t xml:space="preserve">2] TVA solves their offense—reading </w:t>
      </w:r>
      <w:r>
        <w:rPr>
          <w:rFonts w:asciiTheme="majorHAnsi" w:hAnsiTheme="majorHAnsi" w:cstheme="majorHAnsi"/>
        </w:rPr>
        <w:t>mining</w:t>
      </w:r>
      <w:r w:rsidRPr="00A31B40">
        <w:rPr>
          <w:rFonts w:asciiTheme="majorHAnsi" w:hAnsiTheme="majorHAnsi" w:cstheme="majorHAnsi"/>
        </w:rPr>
        <w:t xml:space="preserve"> as an advantage allows for their education but also forces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to strategically select their plan and advantages to respond to PICs and circumvention arguments. Hyper specificity allows them to bypass major topic generics and effectively fiat solvency.</w:t>
      </w:r>
    </w:p>
    <w:p w14:paraId="0A5B07B4" w14:textId="77777777" w:rsidR="00DA23E0" w:rsidRPr="00A31B40" w:rsidRDefault="00DA23E0" w:rsidP="00DA23E0">
      <w:pPr>
        <w:pStyle w:val="Heading3"/>
      </w:pPr>
      <w:r w:rsidRPr="00A31B40">
        <w:lastRenderedPageBreak/>
        <w:t>A</w:t>
      </w:r>
      <w:r>
        <w:t>2</w:t>
      </w:r>
      <w:r w:rsidRPr="00A31B40">
        <w:t>: Functional Limits</w:t>
      </w:r>
    </w:p>
    <w:p w14:paraId="6143461A"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 xml:space="preserve">1] Doesn’t check—you can find solvency advocates for basically any </w:t>
      </w:r>
      <w:r>
        <w:rPr>
          <w:rFonts w:asciiTheme="majorHAnsi" w:hAnsiTheme="majorHAnsi" w:cstheme="majorHAnsi"/>
        </w:rPr>
        <w:t>appropriation</w:t>
      </w:r>
      <w:r w:rsidRPr="00A31B40">
        <w:rPr>
          <w:rFonts w:asciiTheme="majorHAnsi" w:hAnsiTheme="majorHAnsi" w:cstheme="majorHAnsi"/>
        </w:rPr>
        <w:t xml:space="preserve"> because of random </w:t>
      </w:r>
      <w:proofErr w:type="gramStart"/>
      <w:r w:rsidRPr="00A31B40">
        <w:rPr>
          <w:rFonts w:asciiTheme="majorHAnsi" w:hAnsiTheme="majorHAnsi" w:cstheme="majorHAnsi"/>
        </w:rPr>
        <w:t>bloggers</w:t>
      </w:r>
      <w:proofErr w:type="gramEnd"/>
      <w:r w:rsidRPr="00A31B40">
        <w:rPr>
          <w:rFonts w:asciiTheme="majorHAnsi" w:hAnsiTheme="majorHAnsi" w:cstheme="majorHAnsi"/>
        </w:rPr>
        <w:t xml:space="preserve"> and EVERYBODY works</w:t>
      </w:r>
    </w:p>
    <w:p w14:paraId="6CE538BF" w14:textId="77777777" w:rsidR="00DA23E0" w:rsidRPr="00A31B40" w:rsidRDefault="00DA23E0" w:rsidP="00DA23E0">
      <w:pPr>
        <w:pStyle w:val="Heading4"/>
        <w:rPr>
          <w:rFonts w:asciiTheme="majorHAnsi" w:hAnsiTheme="majorHAnsi" w:cstheme="majorHAnsi"/>
        </w:rPr>
      </w:pPr>
      <w:r w:rsidRPr="00A31B40">
        <w:rPr>
          <w:rFonts w:asciiTheme="majorHAnsi" w:hAnsiTheme="majorHAnsi" w:cstheme="majorHAnsi"/>
        </w:rPr>
        <w:t xml:space="preserve">2] Doesn’t solve reciprocal prep burdens—it’s way easier for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to prep specific answers to a generic but much harder for the neg to have specifics to an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Any generic argument is destroyed by “they don’t have a piece of evidence specific to 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 </w:t>
      </w:r>
    </w:p>
    <w:p w14:paraId="30BEE768" w14:textId="77777777" w:rsidR="00DA23E0" w:rsidRPr="00A31B40" w:rsidRDefault="00DA23E0" w:rsidP="00DA23E0">
      <w:pPr>
        <w:pStyle w:val="Heading4"/>
        <w:rPr>
          <w:rFonts w:asciiTheme="majorHAnsi" w:hAnsiTheme="majorHAnsi" w:cstheme="majorHAnsi"/>
        </w:rPr>
      </w:pPr>
      <w:r>
        <w:rPr>
          <w:rFonts w:asciiTheme="majorHAnsi" w:hAnsiTheme="majorHAnsi" w:cstheme="majorHAnsi"/>
        </w:rPr>
        <w:t>3</w:t>
      </w:r>
      <w:r w:rsidRPr="00A31B40">
        <w:rPr>
          <w:rFonts w:asciiTheme="majorHAnsi" w:hAnsiTheme="majorHAnsi" w:cstheme="majorHAnsi"/>
        </w:rPr>
        <w:t xml:space="preserve">] this was the words “functional limits” not a real argument they haven’t explained how it solves our </w:t>
      </w:r>
      <w:proofErr w:type="spellStart"/>
      <w:r w:rsidRPr="00A31B40">
        <w:rPr>
          <w:rFonts w:asciiTheme="majorHAnsi" w:hAnsiTheme="majorHAnsi" w:cstheme="majorHAnsi"/>
        </w:rPr>
        <w:t>caselist</w:t>
      </w:r>
      <w:proofErr w:type="spellEnd"/>
    </w:p>
    <w:p w14:paraId="6DF4384A" w14:textId="7F85135C" w:rsidR="00951713" w:rsidRDefault="00951713" w:rsidP="00DB209C">
      <w:pPr>
        <w:pStyle w:val="Heading3"/>
      </w:pPr>
      <w:r>
        <w:lastRenderedPageBreak/>
        <w:t>FW</w:t>
      </w:r>
    </w:p>
    <w:p w14:paraId="6E1E34E7" w14:textId="77777777" w:rsidR="00951713" w:rsidRPr="00355308" w:rsidRDefault="00951713" w:rsidP="00951713">
      <w:pPr>
        <w:pStyle w:val="Heading4"/>
        <w:rPr>
          <w:rFonts w:cs="Calibri"/>
        </w:rPr>
      </w:pPr>
      <w:r w:rsidRPr="00355308">
        <w:rPr>
          <w:rFonts w:cs="Calibri"/>
        </w:rPr>
        <w:t xml:space="preserve">The standard is maximizing expected wellbeing. </w:t>
      </w:r>
    </w:p>
    <w:p w14:paraId="17E06F77" w14:textId="77777777" w:rsidR="00951713" w:rsidRPr="00355308" w:rsidRDefault="00951713" w:rsidP="00951713">
      <w:pPr>
        <w:pStyle w:val="Heading4"/>
        <w:rPr>
          <w:rFonts w:cs="Calibri"/>
        </w:rPr>
      </w:pPr>
      <w:r w:rsidRPr="00355308">
        <w:rPr>
          <w:rFonts w:cs="Calibri"/>
        </w:rPr>
        <w:t>Prefer it:</w:t>
      </w:r>
    </w:p>
    <w:p w14:paraId="1820F14A" w14:textId="77777777" w:rsidR="00951713" w:rsidRPr="00355308" w:rsidRDefault="00951713" w:rsidP="00951713">
      <w:pPr>
        <w:pStyle w:val="Heading4"/>
        <w:rPr>
          <w:rFonts w:cs="Calibri"/>
        </w:rPr>
      </w:pPr>
      <w:r w:rsidRPr="00355308">
        <w:rPr>
          <w:rFonts w:cs="Calibri"/>
        </w:rPr>
        <w:t>1] Actor specificity:</w:t>
      </w:r>
    </w:p>
    <w:p w14:paraId="42D55B2E" w14:textId="77777777" w:rsidR="00951713" w:rsidRPr="00355308" w:rsidRDefault="00951713" w:rsidP="00951713">
      <w:pPr>
        <w:pStyle w:val="Heading4"/>
        <w:tabs>
          <w:tab w:val="left" w:pos="5490"/>
        </w:tabs>
        <w:rPr>
          <w:rFonts w:cs="Calibri"/>
        </w:rPr>
      </w:pPr>
      <w:r>
        <w:rPr>
          <w:rFonts w:cs="Calibri"/>
        </w:rPr>
        <w:t>‘</w:t>
      </w:r>
      <w:r w:rsidRPr="00355308">
        <w:rPr>
          <w:rFonts w:cs="Calibri"/>
        </w:rPr>
        <w:t>A] Aggregation – every policy benefits some and harms others, which also means side constraints freeze action.</w:t>
      </w:r>
    </w:p>
    <w:p w14:paraId="0E17CF80" w14:textId="77777777" w:rsidR="00951713" w:rsidRPr="00355308" w:rsidRDefault="00951713" w:rsidP="00951713">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42802888" w14:textId="77777777" w:rsidR="00951713" w:rsidRPr="00355308" w:rsidRDefault="00951713" w:rsidP="00951713">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499FCABD" w14:textId="77777777" w:rsidR="00951713" w:rsidRPr="00355308" w:rsidRDefault="00951713" w:rsidP="00951713">
      <w:r w:rsidRPr="00355308">
        <w:t>o/w</w:t>
      </w:r>
    </w:p>
    <w:p w14:paraId="12318CA1" w14:textId="77777777" w:rsidR="00951713" w:rsidRPr="00355308" w:rsidRDefault="00951713" w:rsidP="00951713"/>
    <w:p w14:paraId="11ECB968" w14:textId="77777777" w:rsidR="00951713" w:rsidRPr="00355308" w:rsidRDefault="00951713" w:rsidP="00951713">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191981C" w14:textId="77777777" w:rsidR="00951713" w:rsidRPr="00355308" w:rsidRDefault="00951713" w:rsidP="00951713"/>
    <w:p w14:paraId="4D3B1194" w14:textId="69C74BC7" w:rsidR="00951713" w:rsidRDefault="00951713" w:rsidP="00951713">
      <w:pPr>
        <w:pStyle w:val="Heading4"/>
        <w:rPr>
          <w:rFonts w:cs="Calibri"/>
        </w:rPr>
      </w:pPr>
      <w:bookmarkStart w:id="0" w:name="_heading=h.1fob9te" w:colFirst="0" w:colLast="0"/>
      <w:bookmarkEnd w:id="0"/>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6FB661A" w14:textId="77777777" w:rsidR="008B136A" w:rsidRPr="00355308" w:rsidRDefault="008B136A" w:rsidP="008B136A">
      <w:pPr>
        <w:pStyle w:val="Heading4"/>
        <w:rPr>
          <w:rFonts w:cs="Calibri"/>
        </w:rPr>
      </w:pPr>
      <w:r w:rsidRPr="00355308">
        <w:rPr>
          <w:rFonts w:cs="Calibri"/>
        </w:rPr>
        <w:t>Theory first – determines the validity of substance. Prefer util:</w:t>
      </w:r>
    </w:p>
    <w:p w14:paraId="2588F30D" w14:textId="77777777" w:rsidR="008B136A" w:rsidRPr="00355308" w:rsidRDefault="008B136A" w:rsidP="008B136A">
      <w:pPr>
        <w:pStyle w:val="Heading4"/>
        <w:rPr>
          <w:rFonts w:cs="Calibri"/>
        </w:rPr>
      </w:pPr>
      <w:r w:rsidRPr="00355308">
        <w:rPr>
          <w:rFonts w:cs="Calibri"/>
        </w:rPr>
        <w:t>A] Ground – every impact functions under util whereas other ethics flow to one side exclusively. Kills fairness since we both need arguments to win and</w:t>
      </w:r>
    </w:p>
    <w:p w14:paraId="11E0FA17" w14:textId="77777777" w:rsidR="008B136A" w:rsidRPr="00355308" w:rsidRDefault="008B136A" w:rsidP="008B136A">
      <w:pPr>
        <w:pStyle w:val="Heading4"/>
        <w:rPr>
          <w:rFonts w:cs="Calibri"/>
        </w:rPr>
      </w:pPr>
      <w:r w:rsidRPr="00355308">
        <w:rPr>
          <w:rFonts w:cs="Calibri"/>
        </w:rPr>
        <w:t xml:space="preserve">B] Topic lit – most articles are written through the lens of util because they’re crafted for policymakers and the </w:t>
      </w:r>
      <w:proofErr w:type="gramStart"/>
      <w:r w:rsidRPr="00355308">
        <w:rPr>
          <w:rFonts w:cs="Calibri"/>
        </w:rPr>
        <w:t>general public</w:t>
      </w:r>
      <w:proofErr w:type="gramEnd"/>
      <w:r w:rsidRPr="00355308">
        <w:rPr>
          <w:rFonts w:cs="Calibri"/>
        </w:rPr>
        <w:t xml:space="preserve"> who take consequences to be important, not philosophy majors. Key to fairness and education – the lit is where we do research and determines how we engage in the round.</w:t>
      </w:r>
    </w:p>
    <w:p w14:paraId="34590DC0" w14:textId="77777777" w:rsidR="008B136A" w:rsidRPr="00355308" w:rsidRDefault="008B136A" w:rsidP="008B136A">
      <w:pPr>
        <w:pStyle w:val="Heading4"/>
        <w:rPr>
          <w:rFonts w:cs="Calibri"/>
        </w:rPr>
      </w:pPr>
      <w:r w:rsidRPr="00355308">
        <w:rPr>
          <w:rFonts w:cs="Calibri"/>
        </w:rPr>
        <w:t>Extinction comes first!</w:t>
      </w:r>
    </w:p>
    <w:p w14:paraId="57713EE3" w14:textId="77777777" w:rsidR="008B136A" w:rsidRPr="00355308" w:rsidRDefault="008B136A" w:rsidP="008B136A">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1DB2FF5D" w14:textId="778BB5EF" w:rsidR="008B136A" w:rsidRPr="008B136A" w:rsidRDefault="008B136A" w:rsidP="008B136A">
      <w:r w:rsidRPr="00355308">
        <w:rPr>
          <w:b/>
          <w:u w:val="single"/>
        </w:rPr>
        <w:t xml:space="preserve">There appears to be lot of disagreement in moral philosophy. Whether these many apparent disagreements are deep and irresolvable, I believe there is at least one thing it is reasonable to agree </w:t>
      </w:r>
      <w:r w:rsidRPr="00355308">
        <w:rPr>
          <w:b/>
          <w:u w:val="single"/>
        </w:rPr>
        <w:lastRenderedPageBreak/>
        <w:t>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 xml:space="preserve">suppose that, while wearing it, Ayn could derive some pleasure by helping the poor, but instead could derive just a bit more by severely harming them. Hedonistic egoism would absurdly imply she should do the latter. To avoid this </w:t>
      </w:r>
      <w:r w:rsidRPr="00355308">
        <w:rPr>
          <w:b/>
          <w:u w:val="single"/>
        </w:rPr>
        <w:lastRenderedPageBreak/>
        <w:t>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0EEB3298" w14:textId="642E0D29" w:rsidR="008B136A" w:rsidRDefault="008B136A" w:rsidP="00FA22CD">
      <w:pPr>
        <w:pStyle w:val="Heading3"/>
      </w:pPr>
      <w:r>
        <w:lastRenderedPageBreak/>
        <w:t>1</w:t>
      </w:r>
    </w:p>
    <w:p w14:paraId="2183CAEE" w14:textId="77777777" w:rsidR="008B136A" w:rsidRDefault="008B136A" w:rsidP="008B136A">
      <w:pPr>
        <w:pStyle w:val="Heading4"/>
        <w:rPr>
          <w:rFonts w:eastAsia="Calibri" w:cs="Calibri"/>
        </w:rPr>
      </w:pPr>
      <w:r>
        <w:rPr>
          <w:rFonts w:eastAsia="Calibri" w:cs="Calibri"/>
        </w:rPr>
        <w:t>Interpretation – the affirmative must defend the resolution through governmental implementation</w:t>
      </w:r>
    </w:p>
    <w:p w14:paraId="580CDC8F" w14:textId="77777777" w:rsidR="008B136A" w:rsidRDefault="008B136A" w:rsidP="008B136A">
      <w:pPr>
        <w:pStyle w:val="Heading4"/>
        <w:rPr>
          <w:rFonts w:eastAsia="Calibri" w:cs="Calibri"/>
        </w:rPr>
      </w:pPr>
      <w:r>
        <w:rPr>
          <w:rFonts w:eastAsia="Calibri" w:cs="Calibri"/>
        </w:rPr>
        <w:t>The text of the resolution calls for debate on hypothetical government action: “Resolved” means to enact a policy by law.</w:t>
      </w:r>
    </w:p>
    <w:p w14:paraId="00763A76" w14:textId="77777777" w:rsidR="008B136A" w:rsidRDefault="008B136A" w:rsidP="008B136A">
      <w:pPr>
        <w:rPr>
          <w:rFonts w:eastAsia="Calibri"/>
        </w:rPr>
      </w:pPr>
      <w:r>
        <w:rPr>
          <w:rFonts w:eastAsia="Calibri"/>
          <w:b/>
          <w:sz w:val="26"/>
          <w:szCs w:val="26"/>
          <w:u w:val="single"/>
        </w:rPr>
        <w:t>Words &amp; Phrases ’64 </w:t>
      </w:r>
      <w:r>
        <w:rPr>
          <w:rFonts w:eastAsia="Calibri"/>
        </w:rPr>
        <w:t>(Words and Phrases; 1964; Permanent Edition)</w:t>
      </w:r>
    </w:p>
    <w:p w14:paraId="52AD728B" w14:textId="77777777" w:rsidR="008B136A" w:rsidRDefault="008B136A" w:rsidP="008B136A">
      <w:pPr>
        <w:rPr>
          <w:rFonts w:eastAsia="Calibri"/>
          <w:b/>
          <w:u w:val="single"/>
        </w:rPr>
      </w:pPr>
      <w:r>
        <w:rPr>
          <w:rFonts w:eastAsia="Calibri"/>
          <w:sz w:val="16"/>
          <w:szCs w:val="16"/>
        </w:rPr>
        <w:t>Definition of the word “</w:t>
      </w:r>
      <w:r>
        <w:rPr>
          <w:rFonts w:eastAsia="Calibri"/>
          <w:b/>
          <w:highlight w:val="green"/>
          <w:u w:val="single"/>
        </w:rPr>
        <w:t>resolve</w:t>
      </w:r>
      <w:r>
        <w:rPr>
          <w:rFonts w:eastAsia="Calibri"/>
          <w:sz w:val="16"/>
          <w:szCs w:val="16"/>
        </w:rPr>
        <w:t>,” given by Webster</w:t>
      </w:r>
      <w:r>
        <w:rPr>
          <w:rFonts w:eastAsia="Calibri"/>
          <w:color w:val="000000"/>
          <w:sz w:val="27"/>
          <w:szCs w:val="27"/>
          <w:u w:val="single"/>
        </w:rPr>
        <w:t> </w:t>
      </w:r>
      <w:r>
        <w:rPr>
          <w:rFonts w:eastAsia="Calibri"/>
          <w:b/>
          <w:highlight w:val="green"/>
          <w:u w:val="single"/>
        </w:rPr>
        <w:t>is “to express</w:t>
      </w:r>
      <w:r>
        <w:rPr>
          <w:rFonts w:eastAsia="Calibri"/>
          <w:color w:val="000000"/>
          <w:sz w:val="16"/>
          <w:szCs w:val="16"/>
        </w:rPr>
        <w:t> an opinion or </w:t>
      </w:r>
      <w:r>
        <w:rPr>
          <w:rFonts w:eastAsia="Calibri"/>
          <w:b/>
          <w:highlight w:val="green"/>
          <w:u w:val="single"/>
        </w:rPr>
        <w:t>determination by resolution or vote</w:t>
      </w:r>
      <w:r>
        <w:rPr>
          <w:rFonts w:eastAsia="Calibri"/>
          <w:sz w:val="16"/>
          <w:szCs w:val="16"/>
        </w:rPr>
        <w:t>; as ‘it was resolved</w:t>
      </w:r>
      <w:r>
        <w:rPr>
          <w:rFonts w:eastAsia="Calibri"/>
          <w:color w:val="000000"/>
          <w:sz w:val="27"/>
          <w:szCs w:val="27"/>
          <w:u w:val="single"/>
        </w:rPr>
        <w:t> </w:t>
      </w:r>
      <w:r>
        <w:rPr>
          <w:rFonts w:eastAsia="Calibri"/>
          <w:b/>
          <w:highlight w:val="green"/>
          <w:u w:val="single"/>
        </w:rPr>
        <w:t>by the legislature</w:t>
      </w:r>
      <w:r>
        <w:rPr>
          <w:rFonts w:eastAsia="Calibri"/>
          <w:color w:val="000000"/>
          <w:sz w:val="27"/>
          <w:szCs w:val="27"/>
          <w:u w:val="single"/>
        </w:rPr>
        <w:t>;” </w:t>
      </w:r>
      <w:r>
        <w:rPr>
          <w:rFonts w:eastAsia="Calibri"/>
          <w:color w:val="000000"/>
          <w:sz w:val="16"/>
          <w:szCs w:val="16"/>
        </w:rPr>
        <w:t xml:space="preserve">It is of similar force to the word “enact,” which </w:t>
      </w:r>
      <w:r>
        <w:rPr>
          <w:rFonts w:eastAsia="Calibri"/>
          <w:sz w:val="16"/>
          <w:szCs w:val="16"/>
        </w:rPr>
        <w:t>is defined by Bouvier as</w:t>
      </w:r>
      <w:r>
        <w:rPr>
          <w:rFonts w:eastAsia="Calibri"/>
          <w:color w:val="000000"/>
          <w:sz w:val="27"/>
          <w:szCs w:val="27"/>
          <w:u w:val="single"/>
        </w:rPr>
        <w:t> </w:t>
      </w:r>
      <w:r>
        <w:rPr>
          <w:rFonts w:eastAsia="Calibri"/>
          <w:b/>
          <w:highlight w:val="green"/>
          <w:u w:val="single"/>
        </w:rPr>
        <w:t>meaning “to establish by law”.</w:t>
      </w:r>
    </w:p>
    <w:p w14:paraId="631028BE" w14:textId="77777777" w:rsidR="008B136A" w:rsidRDefault="008B136A" w:rsidP="008B136A">
      <w:pPr>
        <w:pStyle w:val="Heading4"/>
        <w:rPr>
          <w:rFonts w:eastAsia="Calibri" w:cs="Calibri"/>
        </w:rPr>
      </w:pPr>
      <w:r>
        <w:rPr>
          <w:rFonts w:eastAsia="Calibri" w:cs="Calibri"/>
        </w:rPr>
        <w:t xml:space="preserve">Government action is necessary to regulate private entities. </w:t>
      </w:r>
    </w:p>
    <w:p w14:paraId="7DF7FC0D" w14:textId="77777777" w:rsidR="008B136A" w:rsidRDefault="008B136A" w:rsidP="008B136A">
      <w:pPr>
        <w:rPr>
          <w:rFonts w:eastAsia="Calibri"/>
        </w:rPr>
      </w:pPr>
      <w:proofErr w:type="spellStart"/>
      <w:r>
        <w:rPr>
          <w:rFonts w:eastAsia="Calibri"/>
          <w:b/>
          <w:sz w:val="26"/>
          <w:szCs w:val="26"/>
          <w:u w:val="single"/>
        </w:rPr>
        <w:t>Blaustein</w:t>
      </w:r>
      <w:proofErr w:type="spellEnd"/>
      <w:r>
        <w:rPr>
          <w:rFonts w:eastAsia="Calibri"/>
          <w:b/>
          <w:sz w:val="26"/>
          <w:szCs w:val="26"/>
          <w:u w:val="single"/>
        </w:rPr>
        <w:t xml:space="preserve"> 18</w:t>
      </w:r>
      <w:r>
        <w:rPr>
          <w:rFonts w:eastAsia="Calibri"/>
        </w:rPr>
        <w:t xml:space="preserve"> (</w:t>
      </w:r>
      <w:proofErr w:type="spellStart"/>
      <w:r>
        <w:rPr>
          <w:rFonts w:eastAsia="Calibri"/>
        </w:rPr>
        <w:t>Blaustein</w:t>
      </w:r>
      <w:proofErr w:type="spellEnd"/>
      <w:r>
        <w:rPr>
          <w:rFonts w:eastAsia="Calibri"/>
        </w:rPr>
        <w:t xml:space="preserve">, Richard. “Private-Sector Space Activities Require Government Regulation, </w:t>
      </w:r>
      <w:proofErr w:type="gramStart"/>
      <w:r>
        <w:rPr>
          <w:rFonts w:eastAsia="Calibri"/>
        </w:rPr>
        <w:t>Says</w:t>
      </w:r>
      <w:proofErr w:type="gramEnd"/>
      <w:r>
        <w:rPr>
          <w:rFonts w:eastAsia="Calibri"/>
        </w:rPr>
        <w:t xml:space="preserve"> US Report.” Physics World, IOP Publishing, 4 July 2018, physicsworld.com/a/private-sector-space-activities-require-government-regulation-says-us-report/.)//DebateDrills AY</w:t>
      </w:r>
    </w:p>
    <w:p w14:paraId="2D8D88AB" w14:textId="77777777" w:rsidR="008B136A" w:rsidRDefault="008B136A" w:rsidP="008B136A">
      <w:pPr>
        <w:rPr>
          <w:rFonts w:eastAsia="Calibri"/>
          <w:sz w:val="16"/>
          <w:szCs w:val="16"/>
        </w:rPr>
      </w:pPr>
      <w:r>
        <w:rPr>
          <w:rFonts w:eastAsia="Calibri"/>
          <w:b/>
          <w:highlight w:val="green"/>
          <w:u w:val="single"/>
        </w:rPr>
        <w:t>The US Congress must introduce legislation to regulate the activities of private companies operating in space.</w:t>
      </w:r>
      <w:r>
        <w:rPr>
          <w:rFonts w:eastAsia="Calibri"/>
          <w:sz w:val="16"/>
          <w:szCs w:val="16"/>
        </w:rPr>
        <w:t xml:space="preserve"> That is according to a new report by the US National Academies of Sciences, Engineering and Medicine, which says </w:t>
      </w:r>
      <w:r>
        <w:rPr>
          <w:rFonts w:eastAsia="Calibri"/>
          <w:b/>
          <w:highlight w:val="green"/>
          <w:u w:val="single"/>
        </w:rPr>
        <w:t>the need for reform has been heightened by the “burgeoning” commercial space sector</w:t>
      </w:r>
      <w:r>
        <w:rPr>
          <w:rFonts w:eastAsia="Calibri"/>
          <w:sz w:val="16"/>
          <w:szCs w:val="16"/>
        </w:rPr>
        <w:t xml:space="preserve"> in the US. One leader in the booming US private space sector is </w:t>
      </w:r>
      <w:hyperlink r:id="rId5">
        <w:r>
          <w:rPr>
            <w:rFonts w:eastAsia="Calibri"/>
            <w:color w:val="000000"/>
          </w:rPr>
          <w:t>Space X</w:t>
        </w:r>
      </w:hyperlink>
      <w:r>
        <w:rPr>
          <w:rFonts w:eastAsia="Calibri"/>
          <w:sz w:val="16"/>
          <w:szCs w:val="16"/>
        </w:rPr>
        <w:t xml:space="preserve">, which was founded by Tesla head Elon Musk in 2002. The firm, which has had </w:t>
      </w:r>
      <w:proofErr w:type="gramStart"/>
      <w:r>
        <w:rPr>
          <w:rFonts w:eastAsia="Calibri"/>
          <w:sz w:val="16"/>
          <w:szCs w:val="16"/>
        </w:rPr>
        <w:t>a number of</w:t>
      </w:r>
      <w:proofErr w:type="gramEnd"/>
      <w:r>
        <w:rPr>
          <w:rFonts w:eastAsia="Calibri"/>
          <w:sz w:val="16"/>
          <w:szCs w:val="16"/>
        </w:rPr>
        <w:t xml:space="preserve"> recent high-profile rocket launches, is setting its sights on missions to Mars. Even Jeff Bezos, who founded the online shopping giant Amazon, is getting in on the act with plans for his firm Blue Origin to send a manned mission to the Moon.</w:t>
      </w:r>
    </w:p>
    <w:p w14:paraId="29C0CB09" w14:textId="77777777" w:rsidR="008B136A" w:rsidRDefault="008B136A" w:rsidP="008B136A">
      <w:pPr>
        <w:pStyle w:val="Heading4"/>
        <w:rPr>
          <w:rFonts w:eastAsia="Calibri" w:cs="Calibri"/>
        </w:rPr>
      </w:pPr>
      <w:r>
        <w:rPr>
          <w:rFonts w:eastAsia="Calibri" w:cs="Calibri"/>
        </w:rPr>
        <w:t xml:space="preserve">Governments have responsibility over non-government (private) entity actions in outer space. </w:t>
      </w:r>
    </w:p>
    <w:p w14:paraId="6439D39C" w14:textId="77777777" w:rsidR="008B136A" w:rsidRDefault="008B136A" w:rsidP="008B136A">
      <w:pPr>
        <w:rPr>
          <w:rFonts w:eastAsia="Calibri"/>
        </w:rPr>
      </w:pPr>
      <w:r>
        <w:rPr>
          <w:rFonts w:eastAsia="Calibri"/>
          <w:b/>
          <w:sz w:val="26"/>
          <w:szCs w:val="26"/>
          <w:u w:val="single"/>
        </w:rPr>
        <w:t xml:space="preserve">UNOOSA </w:t>
      </w:r>
      <w:r>
        <w:rPr>
          <w:rFonts w:eastAsia="Calibri"/>
        </w:rPr>
        <w:t xml:space="preserve">(UNOOSA. “United Nations Office for Outer Space Affairs.” Outer Space Treaty, UNOOSA, </w:t>
      </w:r>
      <w:hyperlink r:id="rId6">
        <w:r>
          <w:rPr>
            <w:rFonts w:eastAsia="Calibri"/>
            <w:color w:val="000000"/>
          </w:rPr>
          <w:t>www.unoosa.org/oosa/en/ourwork/spacelaw/treaties/outerspacetreaty.html.)//DebateDrills</w:t>
        </w:r>
      </w:hyperlink>
      <w:r>
        <w:rPr>
          <w:rFonts w:eastAsia="Calibri"/>
        </w:rPr>
        <w:t>AY</w:t>
      </w:r>
    </w:p>
    <w:p w14:paraId="1978027B" w14:textId="77777777" w:rsidR="008B136A" w:rsidRDefault="008B136A" w:rsidP="008B136A">
      <w:pPr>
        <w:spacing w:line="240" w:lineRule="auto"/>
        <w:rPr>
          <w:rFonts w:eastAsia="Calibri"/>
          <w:sz w:val="16"/>
          <w:szCs w:val="16"/>
        </w:rPr>
      </w:pPr>
      <w:r>
        <w:rPr>
          <w:rFonts w:eastAsia="Calibri"/>
          <w:sz w:val="16"/>
          <w:szCs w:val="16"/>
        </w:rPr>
        <w:t xml:space="preserve">ARTICLE VI </w:t>
      </w:r>
      <w:r>
        <w:rPr>
          <w:rFonts w:eastAsia="Calibri"/>
          <w:b/>
          <w:highlight w:val="green"/>
          <w:u w:val="single"/>
        </w:rPr>
        <w:t xml:space="preserve">States </w:t>
      </w:r>
      <w:r>
        <w:rPr>
          <w:rFonts w:eastAsia="Calibri"/>
          <w:sz w:val="16"/>
          <w:szCs w:val="16"/>
        </w:rPr>
        <w:t xml:space="preserve">Parties to the Treaty </w:t>
      </w:r>
      <w:r>
        <w:rPr>
          <w:rFonts w:eastAsia="Calibri"/>
          <w:b/>
          <w:highlight w:val="green"/>
          <w:u w:val="single"/>
        </w:rPr>
        <w:t>shall bear international responsibility for national activities in outer space</w:t>
      </w:r>
      <w:r>
        <w:rPr>
          <w:rFonts w:eastAsia="Calibri"/>
          <w:sz w:val="16"/>
          <w:szCs w:val="16"/>
        </w:rPr>
        <w:t>, including the moon and other celestial bodies,</w:t>
      </w:r>
      <w:r>
        <w:rPr>
          <w:rFonts w:eastAsia="Calibri"/>
          <w:b/>
          <w:highlight w:val="green"/>
          <w:u w:val="single"/>
        </w:rPr>
        <w:t xml:space="preserve"> whether such activities are carried on by governmental agencies or by non-governmental entities</w:t>
      </w:r>
      <w:r>
        <w:rPr>
          <w:rFonts w:eastAsia="Calibri"/>
          <w:sz w:val="16"/>
          <w:szCs w:val="16"/>
        </w:rPr>
        <w:t xml:space="preserve">, and for assuring </w:t>
      </w:r>
      <w:proofErr w:type="gramStart"/>
      <w:r>
        <w:rPr>
          <w:rFonts w:eastAsia="Calibri"/>
          <w:sz w:val="16"/>
          <w:szCs w:val="16"/>
        </w:rPr>
        <w:t>that national activities</w:t>
      </w:r>
      <w:proofErr w:type="gramEnd"/>
      <w:r>
        <w:rPr>
          <w:rFonts w:eastAsia="Calibri"/>
          <w:sz w:val="16"/>
          <w:szCs w:val="16"/>
        </w:rPr>
        <w:t xml:space="preserve"> are carried out in conformity with the provisions set forth in the present Treaty.</w:t>
      </w:r>
      <w:r>
        <w:rPr>
          <w:rFonts w:eastAsia="Calibri"/>
          <w:b/>
          <w:highlight w:val="green"/>
          <w:u w:val="single"/>
        </w:rPr>
        <w:t xml:space="preserve"> The activities of non-governmental entities in outer space, including the moon and other celestial bodies, shall require authorization and continuing supervision by the appropriate State Party to the Treaty.</w:t>
      </w:r>
      <w:r>
        <w:rPr>
          <w:rFonts w:eastAsia="Calibri"/>
          <w:b/>
          <w:u w:val="single"/>
        </w:rPr>
        <w:t xml:space="preserve"> </w:t>
      </w:r>
      <w:r>
        <w:rPr>
          <w:rFonts w:eastAsia="Calibri"/>
          <w:sz w:val="16"/>
          <w:szCs w:val="16"/>
        </w:rPr>
        <w:t>When activities are carried on in outer space, including the moon and other celestial bodies, by an international organization, responsibility for compliance with this Treaty shall be borne both by the international organization and by the States Parties to the Treaty participating in such organization</w:t>
      </w:r>
    </w:p>
    <w:p w14:paraId="2C03F75C" w14:textId="77777777" w:rsidR="008B136A" w:rsidRDefault="008B136A" w:rsidP="008B136A">
      <w:pPr>
        <w:pStyle w:val="Heading4"/>
        <w:rPr>
          <w:rFonts w:eastAsia="Calibri" w:cs="Calibri"/>
        </w:rPr>
      </w:pPr>
      <w:r>
        <w:rPr>
          <w:rFonts w:eastAsia="Calibri" w:cs="Calibri"/>
        </w:rPr>
        <w:t>Violation: they only defend private action</w:t>
      </w:r>
    </w:p>
    <w:p w14:paraId="2F35539F" w14:textId="77777777" w:rsidR="008B136A" w:rsidRDefault="008B136A" w:rsidP="008B136A">
      <w:pPr>
        <w:pStyle w:val="Heading4"/>
        <w:rPr>
          <w:rFonts w:eastAsia="Calibri" w:cs="Calibri"/>
        </w:rPr>
      </w:pPr>
      <w:r>
        <w:rPr>
          <w:rFonts w:eastAsia="Calibri" w:cs="Calibri"/>
        </w:rPr>
        <w:t>Standards:</w:t>
      </w:r>
    </w:p>
    <w:p w14:paraId="2BD5D461" w14:textId="77777777" w:rsidR="008B136A" w:rsidRDefault="008B136A" w:rsidP="008B136A">
      <w:pPr>
        <w:pStyle w:val="Heading4"/>
        <w:rPr>
          <w:rFonts w:eastAsia="Calibri" w:cs="Calibri"/>
        </w:rPr>
      </w:pPr>
      <w:r>
        <w:rPr>
          <w:rFonts w:eastAsia="Calibri" w:cs="Calibri"/>
        </w:rPr>
        <w:t>1] predictable limits – there are more than 10,000 private companies investing in space</w:t>
      </w:r>
    </w:p>
    <w:p w14:paraId="45414A01" w14:textId="77777777" w:rsidR="008B136A" w:rsidRDefault="008B136A" w:rsidP="008B136A">
      <w:pPr>
        <w:rPr>
          <w:rFonts w:eastAsia="Calibri"/>
          <w:b/>
          <w:sz w:val="26"/>
          <w:szCs w:val="26"/>
          <w:u w:val="single"/>
        </w:rPr>
      </w:pPr>
      <w:proofErr w:type="spellStart"/>
      <w:r>
        <w:rPr>
          <w:rFonts w:eastAsia="Calibri"/>
          <w:b/>
          <w:sz w:val="26"/>
          <w:szCs w:val="26"/>
          <w:u w:val="single"/>
        </w:rPr>
        <w:t>Keotsier</w:t>
      </w:r>
      <w:proofErr w:type="spellEnd"/>
      <w:r>
        <w:rPr>
          <w:rFonts w:eastAsia="Calibri"/>
          <w:b/>
          <w:sz w:val="26"/>
          <w:szCs w:val="26"/>
          <w:u w:val="single"/>
        </w:rPr>
        <w:t xml:space="preserve"> 21</w:t>
      </w:r>
    </w:p>
    <w:p w14:paraId="74C0EE1D" w14:textId="77777777" w:rsidR="008B136A" w:rsidRDefault="008B136A" w:rsidP="008B136A">
      <w:pPr>
        <w:rPr>
          <w:rFonts w:eastAsia="Calibri"/>
        </w:rPr>
      </w:pPr>
      <w:r>
        <w:rPr>
          <w:rFonts w:eastAsia="Calibri"/>
        </w:rPr>
        <w:t xml:space="preserve">John </w:t>
      </w:r>
      <w:proofErr w:type="spellStart"/>
      <w:r>
        <w:rPr>
          <w:rFonts w:eastAsia="Calibri"/>
        </w:rPr>
        <w:t>Koetsier</w:t>
      </w:r>
      <w:proofErr w:type="spellEnd"/>
      <w:r>
        <w:rPr>
          <w:rFonts w:eastAsia="Calibri"/>
        </w:rPr>
        <w:t xml:space="preserve">, [Journalist, analyst, and tech executive. He is a senior contributor for Forbes, hosts the top-50 podcast </w:t>
      </w:r>
      <w:proofErr w:type="spellStart"/>
      <w:r>
        <w:rPr>
          <w:rFonts w:eastAsia="Calibri"/>
        </w:rPr>
        <w:t>TechFirst</w:t>
      </w:r>
      <w:proofErr w:type="spellEnd"/>
      <w:r>
        <w:rPr>
          <w:rFonts w:eastAsia="Calibri"/>
        </w:rPr>
        <w:t xml:space="preserve"> with John </w:t>
      </w:r>
      <w:proofErr w:type="spellStart"/>
      <w:proofErr w:type="gramStart"/>
      <w:r>
        <w:rPr>
          <w:rFonts w:eastAsia="Calibri"/>
        </w:rPr>
        <w:t>Koetsier</w:t>
      </w:r>
      <w:proofErr w:type="spellEnd"/>
      <w:r>
        <w:rPr>
          <w:rFonts w:eastAsia="Calibri"/>
        </w:rPr>
        <w:t>(</w:t>
      </w:r>
      <w:proofErr w:type="gramEnd"/>
      <w:r>
        <w:rPr>
          <w:rFonts w:eastAsia="Calibri"/>
        </w:rPr>
        <w:t xml:space="preserve">among others), and consults with Silicon Valley </w:t>
      </w:r>
      <w:r>
        <w:rPr>
          <w:rFonts w:eastAsia="Calibri"/>
        </w:rPr>
        <w:lastRenderedPageBreak/>
        <w:t xml:space="preserve">companies.], 22 May 2021, “Space Inc: 10,000 Companies, $4T Value ... And 52% American”, </w:t>
      </w:r>
      <w:hyperlink r:id="rId7">
        <w:r>
          <w:rPr>
            <w:rFonts w:eastAsia="Calibri"/>
            <w:color w:val="000000"/>
          </w:rPr>
          <w:t>https://www.forbes.com/sites/johnkoetsier/2021/05/22/space-inc-10000-companies-4t-value--and-52-american/?sh=42d1bb0755ac</w:t>
        </w:r>
      </w:hyperlink>
      <w:r>
        <w:rPr>
          <w:rFonts w:eastAsia="Calibri"/>
        </w:rPr>
        <w:t xml:space="preserve"> // AK</w:t>
      </w:r>
    </w:p>
    <w:p w14:paraId="287BC200" w14:textId="77777777" w:rsidR="008B136A" w:rsidRDefault="008B136A" w:rsidP="008B136A">
      <w:pPr>
        <w:rPr>
          <w:rFonts w:eastAsia="Calibri"/>
          <w:sz w:val="16"/>
          <w:szCs w:val="16"/>
        </w:rPr>
      </w:pPr>
      <w:r>
        <w:rPr>
          <w:rFonts w:eastAsia="Calibri"/>
          <w:sz w:val="16"/>
          <w:szCs w:val="16"/>
        </w:rPr>
        <w:t xml:space="preserve">It’s not just SpaceX. Elon Musk’s SpaceX might get all the headlines, but there are now a huge number of companies who are competing to </w:t>
      </w:r>
      <w:proofErr w:type="gramStart"/>
      <w:r>
        <w:rPr>
          <w:rFonts w:eastAsia="Calibri"/>
          <w:sz w:val="16"/>
          <w:szCs w:val="16"/>
        </w:rPr>
        <w:t>open up</w:t>
      </w:r>
      <w:proofErr w:type="gramEnd"/>
      <w:r>
        <w:rPr>
          <w:rFonts w:eastAsia="Calibri"/>
          <w:sz w:val="16"/>
          <w:szCs w:val="16"/>
        </w:rPr>
        <w:t xml:space="preserve"> an unprecedented level of human access to space. </w:t>
      </w:r>
      <w:r>
        <w:rPr>
          <w:rFonts w:eastAsia="Calibri"/>
          <w:b/>
          <w:u w:val="single"/>
        </w:rPr>
        <w:t xml:space="preserve">The </w:t>
      </w:r>
      <w:r>
        <w:rPr>
          <w:rFonts w:eastAsia="Calibri"/>
          <w:b/>
          <w:highlight w:val="green"/>
          <w:u w:val="single"/>
        </w:rPr>
        <w:t>U.S.</w:t>
      </w:r>
      <w:r>
        <w:rPr>
          <w:rFonts w:eastAsia="Calibri"/>
          <w:b/>
          <w:u w:val="single"/>
        </w:rPr>
        <w:t xml:space="preserve"> now </w:t>
      </w:r>
      <w:r>
        <w:rPr>
          <w:rFonts w:eastAsia="Calibri"/>
          <w:b/>
          <w:highlight w:val="green"/>
          <w:u w:val="single"/>
        </w:rPr>
        <w:t>has 5,582 space-focused companies</w:t>
      </w:r>
      <w:r>
        <w:rPr>
          <w:rFonts w:eastAsia="Calibri"/>
          <w:b/>
          <w:u w:val="single"/>
        </w:rPr>
        <w:t xml:space="preserve">, almost ten times more than the next country, the UK, which has 615. And </w:t>
      </w:r>
      <w:r>
        <w:rPr>
          <w:rFonts w:eastAsia="Calibri"/>
          <w:b/>
          <w:highlight w:val="green"/>
          <w:u w:val="single"/>
        </w:rPr>
        <w:t>there are more than 10,000 total, globally</w:t>
      </w:r>
      <w:r>
        <w:rPr>
          <w:rFonts w:eastAsia="Calibri"/>
          <w:sz w:val="16"/>
          <w:szCs w:val="16"/>
        </w:rPr>
        <w:t xml:space="preserve">. Competition between these companies has led the value of space-focused companies to cross the $4 trillion USD mark for the first time </w:t>
      </w:r>
      <w:proofErr w:type="gramStart"/>
      <w:r>
        <w:rPr>
          <w:rFonts w:eastAsia="Calibri"/>
          <w:sz w:val="16"/>
          <w:szCs w:val="16"/>
        </w:rPr>
        <w:t>ever, and</w:t>
      </w:r>
      <w:proofErr w:type="gramEnd"/>
      <w:r>
        <w:rPr>
          <w:rFonts w:eastAsia="Calibri"/>
          <w:sz w:val="16"/>
          <w:szCs w:val="16"/>
        </w:rPr>
        <w:t xml:space="preserve"> is a key factor in reducing launch to orbit cost by almost two orders of magnitude in the past 20 years.</w:t>
      </w:r>
    </w:p>
    <w:p w14:paraId="2ECE5065" w14:textId="77777777" w:rsidR="008B136A" w:rsidRDefault="008B136A" w:rsidP="008B136A">
      <w:pPr>
        <w:pStyle w:val="Heading4"/>
        <w:rPr>
          <w:rFonts w:eastAsia="Calibri" w:cs="Calibri"/>
        </w:rPr>
      </w:pPr>
      <w:r>
        <w:rPr>
          <w:rFonts w:eastAsia="Calibri" w:cs="Calibri"/>
        </w:rPr>
        <w:t xml:space="preserve">That forces the neg to research every company and their specific investments and destroys neg prep </w:t>
      </w:r>
      <w:proofErr w:type="spellStart"/>
      <w:r>
        <w:rPr>
          <w:rFonts w:eastAsia="Calibri" w:cs="Calibri"/>
        </w:rPr>
        <w:t>bc</w:t>
      </w:r>
      <w:proofErr w:type="spellEnd"/>
      <w:r>
        <w:rPr>
          <w:rFonts w:eastAsia="Calibri" w:cs="Calibri"/>
        </w:rPr>
        <w:t xml:space="preserve"> we can’t predict every single possible combination or company the </w:t>
      </w:r>
      <w:proofErr w:type="spellStart"/>
      <w:r>
        <w:rPr>
          <w:rFonts w:eastAsia="Calibri" w:cs="Calibri"/>
        </w:rPr>
        <w:t>aff</w:t>
      </w:r>
      <w:proofErr w:type="spellEnd"/>
      <w:r>
        <w:rPr>
          <w:rFonts w:eastAsia="Calibri" w:cs="Calibri"/>
        </w:rPr>
        <w:t xml:space="preserve"> could choose.</w:t>
      </w:r>
    </w:p>
    <w:p w14:paraId="3BEEF6BA" w14:textId="77777777" w:rsidR="008B136A" w:rsidRDefault="008B136A" w:rsidP="008B136A">
      <w:pPr>
        <w:pStyle w:val="Heading4"/>
        <w:rPr>
          <w:rFonts w:eastAsia="Calibri" w:cs="Calibri"/>
        </w:rPr>
      </w:pPr>
      <w:r>
        <w:rPr>
          <w:rFonts w:eastAsia="Calibri" w:cs="Calibri"/>
        </w:rPr>
        <w:t xml:space="preserve">2] Policymaking – </w:t>
      </w:r>
      <w:proofErr w:type="spellStart"/>
      <w:r>
        <w:rPr>
          <w:rFonts w:eastAsia="Calibri" w:cs="Calibri"/>
        </w:rPr>
        <w:t>fiating</w:t>
      </w:r>
      <w:proofErr w:type="spellEnd"/>
      <w:r>
        <w:rPr>
          <w:rFonts w:eastAsia="Calibri" w:cs="Calibri"/>
        </w:rPr>
        <w:t xml:space="preserve"> companies into doing specific actions is utopian fiat, which isn’t realistic, only through a policymaking model can students learn how governments set obligations for companies, which is how the resolution would be implemented.</w:t>
      </w:r>
    </w:p>
    <w:p w14:paraId="55BBD268" w14:textId="77777777" w:rsidR="008B136A" w:rsidRPr="008B136A" w:rsidRDefault="008B136A" w:rsidP="008B136A"/>
    <w:p w14:paraId="72BEA262" w14:textId="3A6B5495" w:rsidR="00FA22CD" w:rsidRDefault="008B136A" w:rsidP="00FA22CD">
      <w:pPr>
        <w:pStyle w:val="Heading3"/>
      </w:pPr>
      <w:r>
        <w:lastRenderedPageBreak/>
        <w:t>2</w:t>
      </w:r>
    </w:p>
    <w:p w14:paraId="7C9A5B04" w14:textId="4D3E289E" w:rsidR="00DB209C" w:rsidRDefault="00DB209C" w:rsidP="00DB209C">
      <w:pPr>
        <w:pStyle w:val="Heading4"/>
      </w:pPr>
      <w:r>
        <w:t xml:space="preserve">CP: </w:t>
      </w:r>
      <w:r w:rsidR="003638AC">
        <w:t xml:space="preserve">Do the </w:t>
      </w:r>
      <w:proofErr w:type="spellStart"/>
      <w:r w:rsidR="003638AC">
        <w:t>aff</w:t>
      </w:r>
      <w:proofErr w:type="spellEnd"/>
      <w:r w:rsidR="003638AC">
        <w:t xml:space="preserve"> </w:t>
      </w:r>
      <w:r>
        <w:t xml:space="preserve">except for private entities registered within The Republic of India. </w:t>
      </w:r>
    </w:p>
    <w:p w14:paraId="48A2B46B" w14:textId="77777777" w:rsidR="00DB209C" w:rsidRDefault="00DB209C" w:rsidP="00DB209C">
      <w:pPr>
        <w:pStyle w:val="Heading4"/>
      </w:pPr>
      <w:r>
        <w:t>The Republic of India should limit the Indian Space Research Organization’s market share to 7.5%</w:t>
      </w:r>
    </w:p>
    <w:p w14:paraId="24F05267" w14:textId="77777777" w:rsidR="00DB209C" w:rsidRDefault="00DB209C" w:rsidP="00DB209C">
      <w:pPr>
        <w:rPr>
          <w:sz w:val="14"/>
          <w:szCs w:val="14"/>
        </w:rPr>
      </w:pPr>
    </w:p>
    <w:p w14:paraId="3D62F6B7" w14:textId="77777777" w:rsidR="00DB209C" w:rsidRDefault="00DB209C" w:rsidP="00DB209C">
      <w:pPr>
        <w:pStyle w:val="Heading4"/>
      </w:pPr>
      <w:r>
        <w:t>Private appropriation for Indian private entities is key for investor confidence.</w:t>
      </w:r>
    </w:p>
    <w:p w14:paraId="189FACCA" w14:textId="77777777" w:rsidR="00DB209C" w:rsidRDefault="00DB209C" w:rsidP="00DB209C">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40B480D9" w14:textId="77777777" w:rsidR="00DB209C" w:rsidRDefault="00DB209C" w:rsidP="00DB209C">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project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67BFD8E6" w14:textId="77777777" w:rsidR="00DB209C" w:rsidRDefault="00DB209C" w:rsidP="00DB209C"/>
    <w:p w14:paraId="45F0E81D" w14:textId="77777777" w:rsidR="00DB209C" w:rsidRDefault="00DB209C" w:rsidP="00DB209C">
      <w:pPr>
        <w:pStyle w:val="Heading4"/>
      </w:pPr>
      <w:r>
        <w:t>Investor confidence is necessary for strong Indian private space-tech—</w:t>
      </w:r>
      <w:proofErr w:type="gramStart"/>
      <w:r>
        <w:t>that spills</w:t>
      </w:r>
      <w:proofErr w:type="gramEnd"/>
      <w:r>
        <w:t xml:space="preserve"> over, boosts Indian military </w:t>
      </w:r>
      <w:proofErr w:type="spellStart"/>
      <w:r>
        <w:t>heg</w:t>
      </w:r>
      <w:proofErr w:type="spellEnd"/>
      <w:r>
        <w:t xml:space="preserve">, and turns case. </w:t>
      </w:r>
    </w:p>
    <w:p w14:paraId="46058457" w14:textId="77777777" w:rsidR="00DB209C" w:rsidRDefault="00DB209C" w:rsidP="00DB209C">
      <w:r>
        <w:rPr>
          <w:b/>
          <w:sz w:val="26"/>
          <w:szCs w:val="26"/>
        </w:rPr>
        <w:t xml:space="preserve">Prasad 16 </w:t>
      </w:r>
      <w:r>
        <w:t xml:space="preserve">[Narayan Prasad has a Master of Space &amp; Telecommunications Law, May 2016, National Academy of Legal </w:t>
      </w:r>
      <w:proofErr w:type="gramStart"/>
      <w:r>
        <w:t>Studies</w:t>
      </w:r>
      <w:proofErr w:type="gramEnd"/>
      <w:r>
        <w:t xml:space="preserve"> and Research University of Law Hyderabad, https://www.researchgate.net/publication/305402089_A_POLICY_REVIEW_TOWARDS_THE_DEVELOPMENT_OF_A_SPACE_INDUSTRY_ECOSYSTEM_IN_INDIA/link/578dbd2908ae5c86c9a65d05/download, 12-8-2021 amrita]</w:t>
      </w:r>
    </w:p>
    <w:p w14:paraId="5CB2D558" w14:textId="77777777" w:rsidR="00DB209C" w:rsidRDefault="00DB209C" w:rsidP="00DB209C">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w:t>
      </w:r>
      <w:r>
        <w:rPr>
          <w:sz w:val="14"/>
          <w:szCs w:val="14"/>
        </w:rPr>
        <w:lastRenderedPageBreak/>
        <w:t>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53AF85B5" w14:textId="77777777" w:rsidR="00DB209C" w:rsidRDefault="00DB209C" w:rsidP="00DB209C"/>
    <w:p w14:paraId="0FA94A72" w14:textId="77777777" w:rsidR="00DB209C" w:rsidRDefault="00DB209C" w:rsidP="00DB209C">
      <w:pPr>
        <w:pStyle w:val="Heading4"/>
      </w:pPr>
      <w:r>
        <w:lastRenderedPageBreak/>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6C99BB26" w14:textId="77777777" w:rsidR="00DB209C" w:rsidRDefault="00DB209C" w:rsidP="00DB209C">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60AD826F" w14:textId="77777777" w:rsidR="00DB209C" w:rsidRDefault="00DB209C" w:rsidP="00DB209C">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 xml:space="preserve">“To date, India’s interests in space have been restricted to using space assets for reconnaissance, </w:t>
      </w:r>
      <w:proofErr w:type="gramStart"/>
      <w:r>
        <w:rPr>
          <w:u w:val="single"/>
        </w:rPr>
        <w:t>navigation</w:t>
      </w:r>
      <w:proofErr w:type="gramEnd"/>
      <w:r>
        <w:rPr>
          <w:u w:val="single"/>
        </w:rPr>
        <w:t xml:space="preserve">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xml:space="preserve">.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w:t>
      </w:r>
      <w:r>
        <w:rPr>
          <w:sz w:val="14"/>
          <w:szCs w:val="14"/>
        </w:rPr>
        <w:lastRenderedPageBreak/>
        <w:t>(COMMINT),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7B71D03C" w14:textId="77777777" w:rsidR="00DB209C" w:rsidRDefault="00DB209C" w:rsidP="00DB209C"/>
    <w:p w14:paraId="584E8DEC" w14:textId="77777777" w:rsidR="00DB209C" w:rsidRDefault="00DB209C" w:rsidP="00DB209C">
      <w:pPr>
        <w:pStyle w:val="Heading4"/>
      </w:pPr>
      <w:r>
        <w:t xml:space="preserve">China </w:t>
      </w:r>
      <w:proofErr w:type="spellStart"/>
      <w:r>
        <w:t>heg</w:t>
      </w:r>
      <w:proofErr w:type="spellEnd"/>
      <w:r>
        <w:t xml:space="preserve"> is revisionist and offensive-- in the Indo-Pacific that causes draw-in.</w:t>
      </w:r>
    </w:p>
    <w:p w14:paraId="58A787F3" w14:textId="77777777" w:rsidR="00DB209C" w:rsidRDefault="00DB209C" w:rsidP="00DB209C">
      <w:bookmarkStart w:id="1" w:name="_heading=h.gjdgxs" w:colFirst="0" w:colLast="0"/>
      <w:bookmarkEnd w:id="1"/>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8">
        <w:r>
          <w:t>https://tnsr.org/2019/02/after-the-responsible-stakeholder-what-debating-americas-china-strategy-2/</w:t>
        </w:r>
      </w:hyperlink>
      <w:r>
        <w:t xml:space="preserve"> 12-10-2021 amrita]</w:t>
      </w:r>
    </w:p>
    <w:p w14:paraId="2E1760BA" w14:textId="77777777" w:rsidR="00DB209C" w:rsidRDefault="00DB209C" w:rsidP="00DB209C">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w:t>
      </w:r>
      <w:proofErr w:type="gramStart"/>
      <w:r>
        <w:rPr>
          <w:sz w:val="14"/>
          <w:szCs w:val="14"/>
        </w:rPr>
        <w:t>in a position</w:t>
      </w:r>
      <w:proofErr w:type="gramEnd"/>
      <w:r>
        <w:rPr>
          <w:sz w:val="14"/>
          <w:szCs w:val="14"/>
        </w:rPr>
        <w:t xml:space="preserve">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These more assertive policies have 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lastRenderedPageBreak/>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51E6852E" w14:textId="77777777" w:rsidR="00DB209C" w:rsidRDefault="00DB209C" w:rsidP="00DB209C"/>
    <w:p w14:paraId="139005BD" w14:textId="77777777" w:rsidR="00DB209C" w:rsidRDefault="00DB209C" w:rsidP="00DB209C">
      <w:pPr>
        <w:pStyle w:val="Heading4"/>
      </w:pPr>
      <w:bookmarkStart w:id="2" w:name="_heading=h.vjry1mdl3trt" w:colFirst="0" w:colLast="0"/>
      <w:bookmarkEnd w:id="2"/>
      <w:r>
        <w:t xml:space="preserve">That goes nuclear-- extinction :/ </w:t>
      </w:r>
    </w:p>
    <w:p w14:paraId="1738D6D7" w14:textId="77777777" w:rsidR="00DB209C" w:rsidRDefault="00DB209C" w:rsidP="00DB209C">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9">
        <w:r>
          <w:t>https://www.tandfonline.com/doi/full/10.1080/25751654.2018.1532525 recut 12-10-2021</w:t>
        </w:r>
      </w:hyperlink>
      <w:r>
        <w:t xml:space="preserve"> amrita]</w:t>
      </w:r>
    </w:p>
    <w:p w14:paraId="5C9C8B56" w14:textId="014DA6CC" w:rsidR="00DB209C" w:rsidRPr="00DB209C" w:rsidRDefault="00DB209C" w:rsidP="00DB209C">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w:t>
      </w:r>
      <w:proofErr w:type="gramStart"/>
      <w:r>
        <w:rPr>
          <w:sz w:val="14"/>
          <w:szCs w:val="14"/>
        </w:rPr>
        <w:t>aligning</w:t>
      </w:r>
      <w:proofErr w:type="gramEnd"/>
      <w:r>
        <w:rPr>
          <w:sz w:val="14"/>
          <w:szCs w:val="14"/>
        </w:rPr>
        <w:t xml:space="preserve">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w:t>
      </w:r>
      <w:proofErr w:type="gramStart"/>
      <w:r>
        <w:rPr>
          <w:sz w:val="14"/>
          <w:szCs w:val="14"/>
        </w:rPr>
        <w:t>a number of</w:t>
      </w:r>
      <w:proofErr w:type="gramEnd"/>
      <w:r>
        <w:rPr>
          <w:sz w:val="14"/>
          <w:szCs w:val="14"/>
        </w:rPr>
        <w:t xml:space="preserve">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 xml:space="preserve">the major nuclear weapons states entered into legally binding restraints on force </w:t>
      </w:r>
      <w:proofErr w:type="gramStart"/>
      <w:r>
        <w:rPr>
          <w:u w:val="single"/>
        </w:rPr>
        <w:t>levels</w:t>
      </w:r>
      <w:proofErr w:type="gramEnd"/>
      <w:r>
        <w:rPr>
          <w:u w:val="single"/>
        </w:rPr>
        <w:t xml:space="preserve">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 xml:space="preserve">The </w:t>
      </w:r>
      <w:proofErr w:type="gramStart"/>
      <w:r>
        <w:rPr>
          <w:sz w:val="14"/>
          <w:szCs w:val="14"/>
        </w:rPr>
        <w:t>first time</w:t>
      </w:r>
      <w:proofErr w:type="gramEnd"/>
      <w:r>
        <w:rPr>
          <w:sz w:val="14"/>
          <w:szCs w:val="14"/>
        </w:rPr>
        <w:t xml:space="preserve"> nuclear weapons are used since 1945 will be shocking, the second time, less so, the third time, the new normal.</w:t>
      </w:r>
    </w:p>
    <w:p w14:paraId="695D8464" w14:textId="670BA354" w:rsidR="00A36186" w:rsidRDefault="00FA22CD" w:rsidP="00FA22CD">
      <w:pPr>
        <w:pStyle w:val="Heading1"/>
      </w:pPr>
      <w:r>
        <w:lastRenderedPageBreak/>
        <w:t>Case</w:t>
      </w:r>
    </w:p>
    <w:p w14:paraId="4485AEFF" w14:textId="57E9D8E8" w:rsidR="00DB209C" w:rsidRPr="00DB209C" w:rsidRDefault="00DB209C" w:rsidP="00DB209C">
      <w:pPr>
        <w:pStyle w:val="Heading2"/>
      </w:pPr>
      <w:r>
        <w:lastRenderedPageBreak/>
        <w:t>Space Wars</w:t>
      </w:r>
    </w:p>
    <w:p w14:paraId="5DD1FF45" w14:textId="77777777" w:rsidR="00DB209C" w:rsidRDefault="00DB209C" w:rsidP="00DB209C">
      <w:pPr>
        <w:pStyle w:val="Heading4"/>
        <w:keepNext w:val="0"/>
        <w:keepLines w:val="0"/>
        <w:spacing w:before="240" w:after="40" w:line="303" w:lineRule="auto"/>
      </w:pPr>
      <w:r>
        <w:t>Legal frameworks such as the EU Horizon 2020 will be able to prevent space wars.</w:t>
      </w:r>
    </w:p>
    <w:p w14:paraId="5C3AD4A8" w14:textId="77777777" w:rsidR="00DB209C" w:rsidRDefault="00DB209C" w:rsidP="00DB209C">
      <w:pPr>
        <w:spacing w:line="256" w:lineRule="auto"/>
      </w:pPr>
      <w:proofErr w:type="spellStart"/>
      <w:r>
        <w:rPr>
          <w:b/>
          <w:sz w:val="26"/>
          <w:szCs w:val="26"/>
        </w:rPr>
        <w:t>Villarino</w:t>
      </w:r>
      <w:proofErr w:type="spellEnd"/>
      <w:r>
        <w:rPr>
          <w:b/>
          <w:sz w:val="26"/>
          <w:szCs w:val="26"/>
        </w:rPr>
        <w:t xml:space="preserve"> 19</w:t>
      </w:r>
      <w:r>
        <w:t xml:space="preserve">, José-Miguel Bello Y </w:t>
      </w:r>
      <w:proofErr w:type="spellStart"/>
      <w:r>
        <w:t>Villarino</w:t>
      </w:r>
      <w:proofErr w:type="spellEnd"/>
      <w:r>
        <w:t>, 6-7-2019, "Preventing a Cold War in Space Using European Research and Innovation Programs," Science &amp; Diplomacy,</w:t>
      </w:r>
      <w:hyperlink r:id="rId10">
        <w:r>
          <w:t xml:space="preserve"> </w:t>
        </w:r>
      </w:hyperlink>
      <w:hyperlink r:id="rId11">
        <w:r>
          <w:rPr>
            <w:color w:val="1155CC"/>
          </w:rPr>
          <w:t>https://www.sciencediplomacy.org/article/2019/preventing-cold-war-in-space-using-european-research-and-innovation-programs</w:t>
        </w:r>
      </w:hyperlink>
      <w:r>
        <w:t xml:space="preserve"> Livingston RB</w:t>
      </w:r>
    </w:p>
    <w:p w14:paraId="1FD14EF1" w14:textId="5ED06B25" w:rsidR="00951713" w:rsidRPr="004673F5" w:rsidRDefault="00DB209C" w:rsidP="004673F5">
      <w:pPr>
        <w:spacing w:line="256" w:lineRule="auto"/>
        <w:rPr>
          <w:sz w:val="8"/>
          <w:szCs w:val="8"/>
        </w:rPr>
      </w:pPr>
      <w:r>
        <w:rPr>
          <w:sz w:val="8"/>
          <w:szCs w:val="8"/>
        </w:rPr>
        <w:t xml:space="preserve">In 2018, the United States President proposed a Space Force </w:t>
      </w:r>
      <w:hyperlink r:id="rId12" w:anchor="note1">
        <w:r>
          <w:rPr>
            <w:color w:val="1155CC"/>
            <w:sz w:val="8"/>
            <w:szCs w:val="8"/>
          </w:rPr>
          <w:t>1</w:t>
        </w:r>
      </w:hyperlink>
      <w:r>
        <w:rPr>
          <w:sz w:val="8"/>
          <w:szCs w:val="8"/>
        </w:rPr>
        <w:t xml:space="preserve"> as a sixth branch of the US military.</w:t>
      </w:r>
      <w:hyperlink r:id="rId13" w:anchor="note2">
        <w:r>
          <w:rPr>
            <w:color w:val="1155CC"/>
            <w:sz w:val="8"/>
            <w:szCs w:val="8"/>
          </w:rPr>
          <w:t>2</w:t>
        </w:r>
      </w:hyperlink>
      <w:r>
        <w:rPr>
          <w:sz w:val="8"/>
          <w:szCs w:val="8"/>
        </w:rPr>
        <w:t xml:space="preserve"> In 2019, the President of India announced that his country had shot down a low-orbit satellite,</w:t>
      </w:r>
      <w:hyperlink r:id="rId14" w:anchor="note3">
        <w:r>
          <w:rPr>
            <w:color w:val="1155CC"/>
            <w:sz w:val="8"/>
            <w:szCs w:val="8"/>
          </w:rPr>
          <w:t>3</w:t>
        </w:r>
      </w:hyperlink>
      <w:r>
        <w:rPr>
          <w:sz w:val="8"/>
          <w:szCs w:val="8"/>
        </w:rPr>
        <w:t xml:space="preserve"> becoming the fourth country to test an anti-satellite (ASAT) technology in a span of twelve years. These events should come as no surprise. </w:t>
      </w:r>
      <w:r>
        <w:rPr>
          <w:b/>
          <w:sz w:val="24"/>
          <w:highlight w:val="green"/>
          <w:u w:val="single"/>
        </w:rPr>
        <w:t>There is a space cold war in the making. Russia, China, and the United States are leading the way, racing to ensure that their space-related asset</w:t>
      </w:r>
      <w:r>
        <w:rPr>
          <w:sz w:val="8"/>
          <w:szCs w:val="8"/>
        </w:rPr>
        <w:t>s, which play an increasingly essential role in modern warfare, can match, surpass, or counterbalance the capabilities of others. These developments present a greater threat of military confrontation than the 1983 launch of the U.S. Strategic Defense Initiative, better known as “Star Wars”. Since 1983, there had been an unspoken Pax Americana in outer space. An informal global moratorium on the testing of anti-satellite weapons had been initiated by Russia</w:t>
      </w:r>
      <w:hyperlink r:id="rId15" w:anchor="note5">
        <w:r>
          <w:rPr>
            <w:color w:val="1155CC"/>
            <w:sz w:val="8"/>
            <w:szCs w:val="8"/>
          </w:rPr>
          <w:t>5</w:t>
        </w:r>
      </w:hyperlink>
      <w:r>
        <w:rPr>
          <w:sz w:val="8"/>
          <w:szCs w:val="8"/>
        </w:rPr>
        <w:t xml:space="preserve"> and generally supported by the international community. There was a global understanding of the benefits of avoiding a weapons escalation in, and towards, space.</w:t>
      </w:r>
      <w:hyperlink r:id="rId16" w:anchor="note6">
        <w:r>
          <w:rPr>
            <w:color w:val="1155CC"/>
            <w:sz w:val="8"/>
            <w:szCs w:val="8"/>
          </w:rPr>
          <w:t>6</w:t>
        </w:r>
      </w:hyperlink>
      <w:r>
        <w:rPr>
          <w:sz w:val="8"/>
          <w:szCs w:val="8"/>
        </w:rPr>
        <w:t xml:space="preserve"> Each year, the General Assembly of the United Nations (UNGA) passed nearly unanimous</w:t>
      </w:r>
      <w:hyperlink r:id="rId17" w:anchor="note7">
        <w:r>
          <w:rPr>
            <w:color w:val="1155CC"/>
            <w:sz w:val="8"/>
            <w:szCs w:val="8"/>
          </w:rPr>
          <w:t>7</w:t>
        </w:r>
      </w:hyperlink>
      <w:r>
        <w:rPr>
          <w:sz w:val="8"/>
          <w:szCs w:val="8"/>
        </w:rPr>
        <w:t xml:space="preserve"> resolutions on the “Prevention of an Arms Race in Outer Space” (PAROS) (Res. 36/97C). There were even attempts to give these efforts legal force. In 2008, Russia and China submitted a draft Treaty on the Prevention of the Placement of Weapons in Outer Space and of the Threat or Use of Force against Outer Space Objects (PPWT) to the Conference on Disarmament. Article II is clear about the treaty’s objective: “The States Parties undertake not to place in orbit around the Earth any objects carrying any kinds of weapons, not to install such weapons on celestial bodies and not to place such weapons in outer space in any other manner, [and] not to resort to the threat or use of force against outer space objects”.</w:t>
      </w:r>
      <w:hyperlink r:id="rId18" w:anchor="note7">
        <w:r>
          <w:rPr>
            <w:color w:val="1155CC"/>
            <w:sz w:val="8"/>
            <w:szCs w:val="8"/>
          </w:rPr>
          <w:t>8</w:t>
        </w:r>
      </w:hyperlink>
      <w:r>
        <w:rPr>
          <w:sz w:val="8"/>
          <w:szCs w:val="8"/>
        </w:rPr>
        <w:t xml:space="preserve"> These declarations reflected a desire to keep space peaceful, meaning either “not </w:t>
      </w:r>
      <w:proofErr w:type="spellStart"/>
      <w:r>
        <w:rPr>
          <w:sz w:val="8"/>
          <w:szCs w:val="8"/>
        </w:rPr>
        <w:t>militarised</w:t>
      </w:r>
      <w:proofErr w:type="spellEnd"/>
      <w:r>
        <w:rPr>
          <w:sz w:val="8"/>
          <w:szCs w:val="8"/>
        </w:rPr>
        <w:t xml:space="preserve">” </w:t>
      </w:r>
      <w:hyperlink r:id="rId19" w:anchor="note9">
        <w:r>
          <w:rPr>
            <w:color w:val="1155CC"/>
            <w:sz w:val="8"/>
            <w:szCs w:val="8"/>
          </w:rPr>
          <w:t>9</w:t>
        </w:r>
      </w:hyperlink>
      <w:r>
        <w:rPr>
          <w:sz w:val="8"/>
          <w:szCs w:val="8"/>
        </w:rPr>
        <w:t xml:space="preserve"> or “non aggressive”. Ironically, this proposal was tabled shortly after China’s confirmation in 2007 that it had destroyed one of its own satellites with a guided missile, as a test.</w:t>
      </w:r>
      <w:hyperlink r:id="rId20" w:anchor="note11">
        <w:r>
          <w:rPr>
            <w:color w:val="1155CC"/>
            <w:sz w:val="8"/>
            <w:szCs w:val="8"/>
          </w:rPr>
          <w:t>11</w:t>
        </w:r>
      </w:hyperlink>
      <w:r>
        <w:rPr>
          <w:sz w:val="8"/>
          <w:szCs w:val="8"/>
        </w:rPr>
        <w:t xml:space="preserve"> In addition to the resulting space debris problem that was generated, this action forced global powers to rethink the challenges of space security.</w:t>
      </w:r>
      <w:hyperlink r:id="rId21" w:anchor="note12">
        <w:r>
          <w:rPr>
            <w:color w:val="1155CC"/>
            <w:sz w:val="8"/>
            <w:szCs w:val="8"/>
          </w:rPr>
          <w:t>12</w:t>
        </w:r>
      </w:hyperlink>
      <w:r>
        <w:rPr>
          <w:sz w:val="8"/>
          <w:szCs w:val="8"/>
        </w:rPr>
        <w:t xml:space="preserve"> The United States quickly followed, demonstrating in 2008 its own anti-satellite system (Aegis Ballistic Missile Defense System) by shooting down its own errant spy satellite as it was falling out of orbit.</w:t>
      </w:r>
      <w:hyperlink r:id="rId22" w:anchor="note13">
        <w:r>
          <w:rPr>
            <w:color w:val="1155CC"/>
            <w:sz w:val="8"/>
            <w:szCs w:val="8"/>
          </w:rPr>
          <w:t>13</w:t>
        </w:r>
      </w:hyperlink>
      <w:r>
        <w:rPr>
          <w:sz w:val="8"/>
          <w:szCs w:val="8"/>
        </w:rPr>
        <w:t xml:space="preserve"> </w:t>
      </w:r>
      <w:hyperlink r:id="rId23" w:anchor="note14">
        <w:r>
          <w:rPr>
            <w:color w:val="1155CC"/>
            <w:sz w:val="8"/>
            <w:szCs w:val="8"/>
          </w:rPr>
          <w:t>14</w:t>
        </w:r>
      </w:hyperlink>
      <w:r>
        <w:rPr>
          <w:sz w:val="8"/>
          <w:szCs w:val="8"/>
        </w:rPr>
        <w:t xml:space="preserve"> The United States has since acknowledged having an anti-satellite system, the Counter Communications Satellite System, and it has several latent capabilities, notably its ground-based missile defense interceptors.</w:t>
      </w:r>
      <w:hyperlink r:id="rId24" w:anchor="note15">
        <w:r>
          <w:rPr>
            <w:color w:val="1155CC"/>
            <w:sz w:val="8"/>
            <w:szCs w:val="8"/>
          </w:rPr>
          <w:t>15</w:t>
        </w:r>
      </w:hyperlink>
      <w:r>
        <w:rPr>
          <w:sz w:val="8"/>
          <w:szCs w:val="8"/>
        </w:rPr>
        <w:t xml:space="preserve"> Russia has also repeatedly tested the PL-19 </w:t>
      </w:r>
      <w:proofErr w:type="spellStart"/>
      <w:r>
        <w:rPr>
          <w:sz w:val="8"/>
          <w:szCs w:val="8"/>
        </w:rPr>
        <w:t>Nudol</w:t>
      </w:r>
      <w:proofErr w:type="spellEnd"/>
      <w:r>
        <w:rPr>
          <w:sz w:val="8"/>
          <w:szCs w:val="8"/>
        </w:rPr>
        <w:t xml:space="preserve"> ballistic missile,</w:t>
      </w:r>
      <w:hyperlink r:id="rId25" w:anchor="note16">
        <w:r>
          <w:rPr>
            <w:color w:val="1155CC"/>
            <w:sz w:val="8"/>
            <w:szCs w:val="8"/>
          </w:rPr>
          <w:t>16</w:t>
        </w:r>
      </w:hyperlink>
      <w:r>
        <w:rPr>
          <w:sz w:val="8"/>
          <w:szCs w:val="8"/>
        </w:rPr>
        <w:t xml:space="preserve"> which can strike objects in orbit.</w:t>
      </w:r>
      <w:hyperlink r:id="rId26" w:anchor="note17">
        <w:r>
          <w:rPr>
            <w:color w:val="1155CC"/>
            <w:sz w:val="8"/>
            <w:szCs w:val="8"/>
          </w:rPr>
          <w:t>17</w:t>
        </w:r>
      </w:hyperlink>
      <w:r>
        <w:rPr>
          <w:sz w:val="8"/>
          <w:szCs w:val="8"/>
        </w:rPr>
        <w:t xml:space="preserve"> </w:t>
      </w:r>
      <w:r>
        <w:rPr>
          <w:b/>
          <w:sz w:val="24"/>
          <w:highlight w:val="green"/>
          <w:u w:val="single"/>
        </w:rPr>
        <w:t>There is also clear evidence that other capabilities are being developed to cripple space assets and make space infrastructure useless, including cyberattacks on satellites,</w:t>
      </w:r>
      <w:hyperlink r:id="rId27" w:anchor="note18">
        <w:r>
          <w:rPr>
            <w:color w:val="1155CC"/>
            <w:sz w:val="8"/>
            <w:szCs w:val="8"/>
          </w:rPr>
          <w:t>18</w:t>
        </w:r>
      </w:hyperlink>
      <w:r>
        <w:rPr>
          <w:sz w:val="8"/>
          <w:szCs w:val="8"/>
        </w:rPr>
        <w:t xml:space="preserve"> lasers capable of knocking down space objects,</w:t>
      </w:r>
      <w:hyperlink r:id="rId28" w:anchor="note19">
        <w:r>
          <w:rPr>
            <w:color w:val="1155CC"/>
            <w:sz w:val="8"/>
            <w:szCs w:val="8"/>
          </w:rPr>
          <w:t>19</w:t>
        </w:r>
      </w:hyperlink>
      <w:r>
        <w:rPr>
          <w:sz w:val="8"/>
          <w:szCs w:val="8"/>
        </w:rPr>
        <w:t xml:space="preserve"> and methods to jam signals from space. As a result of this dynamic, we have today a militarized space, where a quarter of the active satellites have some military use.</w:t>
      </w:r>
      <w:hyperlink r:id="rId29" w:anchor="note21%20rel=">
        <w:r>
          <w:rPr>
            <w:color w:val="1155CC"/>
            <w:sz w:val="8"/>
            <w:szCs w:val="8"/>
          </w:rPr>
          <w:t>21</w:t>
        </w:r>
      </w:hyperlink>
      <w:r>
        <w:rPr>
          <w:sz w:val="8"/>
          <w:szCs w:val="8"/>
        </w:rPr>
        <w:t xml:space="preserve"> Space is today a theatre in war plans. From a legal point of view, this militarization was made possible through a particular interpretation of article IV of the 1967 Outer Space Treaty.</w:t>
      </w:r>
      <w:hyperlink r:id="rId30" w:anchor="note22%20rel=">
        <w:r>
          <w:rPr>
            <w:color w:val="1155CC"/>
            <w:sz w:val="8"/>
            <w:szCs w:val="8"/>
          </w:rPr>
          <w:t>22</w:t>
        </w:r>
      </w:hyperlink>
      <w:r>
        <w:rPr>
          <w:sz w:val="8"/>
          <w:szCs w:val="8"/>
        </w:rPr>
        <w:t xml:space="preserve"> This interpretation distinguishes between “peaceful purposes” – applicable to space in general – and “exclusively peaceful purposes” – restricted to certain celestial bodies. Military uses of the moon and other celestial bodies are then outrightly prohibited, but the “empty space” between celestial bodies can be militarized. This line of reasoning could also justify weaponization of that empty space, for example, placing weapons in a satellite. The only legal limit would be the ban on weapons of mass destruction in space established by the same article IV. To prevent it, the UN Assembly General passed in December 2014 UN Resolution 69/32 calling for “[n]o first placement of weapons in outer space”. This attempt to collectively agree on the non-weaponization of space received more limited support than previous PAROS resolutions. Four states voted against it and another forty-two abstained.</w:t>
      </w:r>
      <w:hyperlink r:id="rId31" w:anchor="note23%20rel=">
        <w:r>
          <w:rPr>
            <w:color w:val="1155CC"/>
            <w:sz w:val="8"/>
            <w:szCs w:val="8"/>
          </w:rPr>
          <w:t>23,</w:t>
        </w:r>
      </w:hyperlink>
      <w:hyperlink r:id="rId32" w:anchor="note24%20rel=">
        <w:r>
          <w:rPr>
            <w:color w:val="1155CC"/>
            <w:sz w:val="8"/>
            <w:szCs w:val="8"/>
          </w:rPr>
          <w:t>24</w:t>
        </w:r>
      </w:hyperlink>
      <w:r>
        <w:rPr>
          <w:sz w:val="8"/>
          <w:szCs w:val="8"/>
        </w:rPr>
        <w:t xml:space="preserve"> It cannot even be excluded that militarization may have already happened. All of this is leading military actors to consider the Earth’s orbit a new “warfighting domain”.</w:t>
      </w:r>
      <w:hyperlink r:id="rId33" w:anchor="note26%20rel=">
        <w:r>
          <w:rPr>
            <w:color w:val="1155CC"/>
            <w:sz w:val="8"/>
            <w:szCs w:val="8"/>
          </w:rPr>
          <w:t>26</w:t>
        </w:r>
      </w:hyperlink>
      <w:r>
        <w:rPr>
          <w:sz w:val="8"/>
          <w:szCs w:val="8"/>
        </w:rPr>
        <w:t xml:space="preserve"> The U.S. Air Force’s “Transformation Flight Plan” of 2003 acknowledged that future adversaries could attack space assets, mainly from the ground, and that weapons in orbit may eventually be required to protect those assets.</w:t>
      </w:r>
      <w:hyperlink r:id="rId34" w:anchor="note27%20rel=">
        <w:r>
          <w:rPr>
            <w:color w:val="1155CC"/>
            <w:sz w:val="8"/>
            <w:szCs w:val="8"/>
          </w:rPr>
          <w:t>27</w:t>
        </w:r>
      </w:hyperlink>
      <w:r>
        <w:rPr>
          <w:sz w:val="8"/>
          <w:szCs w:val="8"/>
        </w:rPr>
        <w:t xml:space="preserve"> The current U.S. National Security Space Strategy refers to systems to “deny and defeat an adversary’s ability” to successfully carry out “attacks targeted at the U.S. space systems”.</w:t>
      </w:r>
      <w:hyperlink r:id="rId35" w:anchor="note28%20rel=">
        <w:r>
          <w:rPr>
            <w:color w:val="1155CC"/>
            <w:sz w:val="8"/>
            <w:szCs w:val="8"/>
          </w:rPr>
          <w:t>28</w:t>
        </w:r>
      </w:hyperlink>
      <w:r>
        <w:rPr>
          <w:sz w:val="8"/>
          <w:szCs w:val="8"/>
        </w:rPr>
        <w:t xml:space="preserve"> The most recent threat assessment of the U.S. intelligence community notes that both Russia and China “aim to have nondestructive and destructive counterspace weapons” to “reduce US and allied military effectiveness” and points to a military trend in China and Russia “designed to integrate attacks against space systems and services with military operations in other domains”. Some believed that the weaponization of space,</w:t>
      </w:r>
      <w:hyperlink r:id="rId36" w:anchor="note30%20rel=">
        <w:r>
          <w:rPr>
            <w:color w:val="1155CC"/>
            <w:sz w:val="8"/>
            <w:szCs w:val="8"/>
          </w:rPr>
          <w:t>30</w:t>
        </w:r>
      </w:hyperlink>
      <w:r>
        <w:rPr>
          <w:sz w:val="8"/>
          <w:szCs w:val="8"/>
        </w:rPr>
        <w:t xml:space="preserve"> the establishment of a space force,</w:t>
      </w:r>
      <w:hyperlink r:id="rId37" w:anchor="note31%20rel=">
        <w:r>
          <w:rPr>
            <w:color w:val="1155CC"/>
            <w:sz w:val="8"/>
            <w:szCs w:val="8"/>
          </w:rPr>
          <w:t>31</w:t>
        </w:r>
      </w:hyperlink>
      <w:r>
        <w:rPr>
          <w:sz w:val="8"/>
          <w:szCs w:val="8"/>
        </w:rPr>
        <w:t xml:space="preserve"> and other non-peaceful space-related activities were inevitable steps in the decades-long development of space warfare capabilities by the United States, China, and Russia. For these authors, this is not a race “to dominate space” but an incremental development of “a range of options to control or deny outer space in a time of open conflict”.</w:t>
      </w:r>
      <w:hyperlink r:id="rId38" w:anchor="note32%20rel=">
        <w:r>
          <w:rPr>
            <w:color w:val="1155CC"/>
            <w:sz w:val="8"/>
            <w:szCs w:val="8"/>
          </w:rPr>
          <w:t>32</w:t>
        </w:r>
      </w:hyperlink>
      <w:r>
        <w:rPr>
          <w:sz w:val="8"/>
          <w:szCs w:val="8"/>
        </w:rPr>
        <w:t xml:space="preserve"> Regardless of the view, space assets will doubtless play a role in future non-peaceful relations between space-faring nations and are already playing a deterrence role. However, a continued and escalating space-based cold war need not occur if more trust can be established among the key players. The European Union as a Broker of Trust. The mistrust that exists among China, Russia, and the United States regarding space-related activities is a logical consequence of the role of space in modern warfare described above. The inability of the participants in these weapons races to adequately assess one another’s capabilities and intentions is driving them to develop even greater capabilities to pre-empt potential adversaries. Yet it is possible to restore a certain degree of trust by allowing space powers to better assess risks, capabilities, and intentions, and break the cycle of escalation. This article contends that cooperation on space-related global challenges can build that trust. Unfortunately, leadership in the domain of space by any one of these three actors is unlikely to be accepted by the others, even if the potential results are beneficial for all. These countries too often present themselves using adversarial language, with media supporting such views.</w:t>
      </w:r>
      <w:hyperlink r:id="rId39" w:anchor="note33%20rel=">
        <w:r>
          <w:rPr>
            <w:color w:val="1155CC"/>
            <w:sz w:val="8"/>
            <w:szCs w:val="8"/>
          </w:rPr>
          <w:t>33</w:t>
        </w:r>
      </w:hyperlink>
      <w:r>
        <w:rPr>
          <w:sz w:val="8"/>
          <w:szCs w:val="8"/>
        </w:rPr>
        <w:t xml:space="preserve"> The European Union (EU) is the only global actor that has all of the tools necessary to assist in the establishment of confidence-building measures between China, Russia, and the US in the domain of space. The EU is a key </w:t>
      </w:r>
      <w:proofErr w:type="spellStart"/>
      <w:r>
        <w:rPr>
          <w:sz w:val="8"/>
          <w:szCs w:val="8"/>
        </w:rPr>
        <w:t>actor</w:t>
      </w:r>
      <w:proofErr w:type="spellEnd"/>
      <w:r>
        <w:rPr>
          <w:sz w:val="8"/>
          <w:szCs w:val="8"/>
        </w:rPr>
        <w:t xml:space="preserve"> in space </w:t>
      </w:r>
      <w:hyperlink r:id="rId40" w:anchor="note34%20rel=">
        <w:r>
          <w:rPr>
            <w:color w:val="1155CC"/>
            <w:sz w:val="8"/>
            <w:szCs w:val="8"/>
          </w:rPr>
          <w:t>34,</w:t>
        </w:r>
      </w:hyperlink>
      <w:hyperlink r:id="rId41" w:anchor="note35%20rel=">
        <w:r>
          <w:rPr>
            <w:color w:val="1155CC"/>
            <w:sz w:val="8"/>
            <w:szCs w:val="8"/>
          </w:rPr>
          <w:t>35</w:t>
        </w:r>
      </w:hyperlink>
      <w:r>
        <w:rPr>
          <w:sz w:val="8"/>
          <w:szCs w:val="8"/>
        </w:rPr>
        <w:t xml:space="preserve"> despite lacking a space agency as such. Other international organization, the European Space Agency (ESA), provides technical support for the flagship EU programs.</w:t>
      </w:r>
      <w:hyperlink r:id="rId42" w:anchor="note36%20rel=">
        <w:r>
          <w:rPr>
            <w:color w:val="1155CC"/>
            <w:sz w:val="8"/>
            <w:szCs w:val="8"/>
          </w:rPr>
          <w:t>36</w:t>
        </w:r>
      </w:hyperlink>
      <w:r>
        <w:rPr>
          <w:sz w:val="8"/>
          <w:szCs w:val="8"/>
        </w:rPr>
        <w:t xml:space="preserve"> The EU has asserted its presence in international space-related policy-making and acted as a diplomatic hinge, for example, in the development of guidelines for an International Code of Conduct for Outer Space from 2008 onwards.</w:t>
      </w:r>
      <w:hyperlink r:id="rId43" w:anchor="note37%20rel=">
        <w:r>
          <w:rPr>
            <w:color w:val="1155CC"/>
            <w:sz w:val="8"/>
            <w:szCs w:val="8"/>
          </w:rPr>
          <w:t>37</w:t>
        </w:r>
      </w:hyperlink>
      <w:r>
        <w:rPr>
          <w:sz w:val="8"/>
          <w:szCs w:val="8"/>
        </w:rPr>
        <w:t xml:space="preserve"> Even though other global actors could offer similar or superior combinations of space-related technology, a skilled workforce, and budgetary capacity, only the EU has the appropriate institutional framework – a multi-country, compromise-driven system of governance – combined with a civilian-only research and innovation program.</w:t>
      </w:r>
      <w:hyperlink r:id="rId44" w:anchor="note38%20rel=">
        <w:r>
          <w:rPr>
            <w:color w:val="1155CC"/>
            <w:sz w:val="8"/>
            <w:szCs w:val="8"/>
          </w:rPr>
          <w:t>38</w:t>
        </w:r>
      </w:hyperlink>
      <w:r>
        <w:rPr>
          <w:sz w:val="8"/>
          <w:szCs w:val="8"/>
        </w:rPr>
        <w:t xml:space="preserve"> Other non-state entities, such as the ESA or the United Nations, are unable to undertake cooperative efforts to build trust among the three nations because they lack either the budgetary capacity or an adequate institutional framework to push forward a foreign affairs agenda. The EU </w:t>
      </w:r>
      <w:proofErr w:type="gramStart"/>
      <w:r>
        <w:rPr>
          <w:sz w:val="8"/>
          <w:szCs w:val="8"/>
        </w:rPr>
        <w:t>in particular can</w:t>
      </w:r>
      <w:proofErr w:type="gramEnd"/>
      <w:r>
        <w:rPr>
          <w:sz w:val="8"/>
          <w:szCs w:val="8"/>
        </w:rPr>
        <w:t xml:space="preserve"> offer a civilian, research-driven, diplomatic tool. Such a tool is already within its current legal and policy framework and would build upon previous EU-sponsored actions in space research and innovation. It would not require significant legislative change or a critical rise in expenditure. The main requirement is a clear commitment to its objectives and the political willingness to engage with international actors that may be seen as more inclined to hostile discourse or behavior than is normally promoted by the EU. An EU-driven approach would offer the image of a peace-loving, supranational entity reluctant to or incapable of acting militarily. Its decision-making process already builds in the different sensitivities among its members in relation to the other three actors. Among the EU countries some are closer to China,</w:t>
      </w:r>
      <w:hyperlink r:id="rId45" w:anchor="note39%20rel=">
        <w:r>
          <w:rPr>
            <w:color w:val="1155CC"/>
            <w:sz w:val="8"/>
            <w:szCs w:val="8"/>
          </w:rPr>
          <w:t>39,</w:t>
        </w:r>
      </w:hyperlink>
      <w:r>
        <w:rPr>
          <w:sz w:val="8"/>
          <w:szCs w:val="8"/>
        </w:rPr>
        <w:t>some to the United States,</w:t>
      </w:r>
      <w:hyperlink r:id="rId46" w:anchor="note40%20rel=">
        <w:r>
          <w:rPr>
            <w:color w:val="1155CC"/>
            <w:sz w:val="8"/>
            <w:szCs w:val="8"/>
          </w:rPr>
          <w:t>40,</w:t>
        </w:r>
      </w:hyperlink>
      <w:r>
        <w:rPr>
          <w:sz w:val="8"/>
          <w:szCs w:val="8"/>
        </w:rPr>
        <w:t>and some to Russia.</w:t>
      </w:r>
      <w:hyperlink r:id="rId47" w:anchor="note41%20rel=">
        <w:r>
          <w:rPr>
            <w:color w:val="1155CC"/>
            <w:sz w:val="8"/>
            <w:szCs w:val="8"/>
          </w:rPr>
          <w:t>41,</w:t>
        </w:r>
      </w:hyperlink>
      <w:r>
        <w:rPr>
          <w:sz w:val="8"/>
          <w:szCs w:val="8"/>
        </w:rPr>
        <w:t xml:space="preserve"> While the EU might be expected to cooperate closely with the United States opposite China and Russia, the EU has in the past “recast problems the US interprets as solvable solely with the hammer of military intervention as problems of trade or diplomacy […] forging its own path in service of its ambition to be considered a global player”. </w:t>
      </w:r>
      <w:hyperlink r:id="rId48" w:anchor="note42%20rel=">
        <w:r>
          <w:rPr>
            <w:color w:val="1155CC"/>
            <w:sz w:val="8"/>
            <w:szCs w:val="8"/>
          </w:rPr>
          <w:t>42,</w:t>
        </w:r>
      </w:hyperlink>
      <w:r>
        <w:rPr>
          <w:sz w:val="8"/>
          <w:szCs w:val="8"/>
        </w:rPr>
        <w:t xml:space="preserve"> Along with the ability to lead, the EU has every reason to act. Against the backdrop of escalating tensions in space, the EU and its member states appear to be peaceful bystanders. However, as one of the leaders in outer space activities, especially commercial satellite activities, the EU and its members have much to lose from an outright conflict. By bringing the three space powers together, the EU could achieve better security and reliability of space assets, which would benefit its population as well as the whole planet. Additionally, it could project its economic and research power as a powerful diplomatic tool, casting itself as a key international player and global broker in space affairs. The “smart” strategy</w:t>
      </w:r>
      <w:hyperlink r:id="rId49" w:anchor="note43%20rel=">
        <w:r>
          <w:rPr>
            <w:color w:val="1155CC"/>
            <w:sz w:val="8"/>
            <w:szCs w:val="8"/>
          </w:rPr>
          <w:t>43,</w:t>
        </w:r>
      </w:hyperlink>
      <w:r>
        <w:rPr>
          <w:sz w:val="8"/>
          <w:szCs w:val="8"/>
        </w:rPr>
        <w:t xml:space="preserve"> envisioned here would combine both hard and soft power under a humble leadership that only the EU seems able to exercise. Europe would not be a resolute leader in the usual sense. Confrontation is beyond its power and not in its DNA. Instead, “[</w:t>
      </w:r>
      <w:proofErr w:type="spellStart"/>
      <w:r>
        <w:rPr>
          <w:sz w:val="8"/>
          <w:szCs w:val="8"/>
        </w:rPr>
        <w:t>i</w:t>
      </w:r>
      <w:proofErr w:type="spellEnd"/>
      <w:r>
        <w:rPr>
          <w:sz w:val="8"/>
          <w:szCs w:val="8"/>
        </w:rPr>
        <w:t>]n a dangerous world, Europe is the holder of the balance”.</w:t>
      </w:r>
      <w:hyperlink r:id="rId50" w:anchor="note44%20rel=">
        <w:r>
          <w:rPr>
            <w:color w:val="1155CC"/>
            <w:sz w:val="8"/>
            <w:szCs w:val="8"/>
          </w:rPr>
          <w:t>44,</w:t>
        </w:r>
      </w:hyperlink>
      <w:r>
        <w:rPr>
          <w:sz w:val="8"/>
          <w:szCs w:val="8"/>
        </w:rPr>
        <w:t xml:space="preserve"> In the context of space, the EU “represents a natural bridge between space competitors and possesses the track record and credibility to serve as the principal ‘middle diplomat’ of the global space community”.</w:t>
      </w:r>
      <w:hyperlink r:id="rId51" w:anchor="note45%20rel=">
        <w:r>
          <w:rPr>
            <w:color w:val="1155CC"/>
            <w:sz w:val="8"/>
            <w:szCs w:val="8"/>
          </w:rPr>
          <w:t>45,</w:t>
        </w:r>
      </w:hyperlink>
      <w:r>
        <w:rPr>
          <w:sz w:val="8"/>
          <w:szCs w:val="8"/>
        </w:rPr>
        <w:t xml:space="preserve"> The European Framework for Enhancing Cooperation. </w:t>
      </w:r>
      <w:r>
        <w:rPr>
          <w:b/>
          <w:sz w:val="24"/>
          <w:highlight w:val="green"/>
          <w:u w:val="single"/>
        </w:rPr>
        <w:t>The framework needed to foster cooperation in space between China, Russia, and the United States</w:t>
      </w:r>
      <w:r>
        <w:rPr>
          <w:sz w:val="8"/>
          <w:szCs w:val="8"/>
        </w:rPr>
        <w:t xml:space="preserve"> (as well as other nations) </w:t>
      </w:r>
      <w:r>
        <w:rPr>
          <w:b/>
          <w:sz w:val="24"/>
          <w:highlight w:val="green"/>
          <w:u w:val="single"/>
        </w:rPr>
        <w:t>is already in place in the EU</w:t>
      </w:r>
      <w:r>
        <w:rPr>
          <w:sz w:val="8"/>
          <w:szCs w:val="8"/>
        </w:rPr>
        <w:t xml:space="preserve">. </w:t>
      </w:r>
      <w:r>
        <w:rPr>
          <w:b/>
          <w:sz w:val="24"/>
          <w:highlight w:val="green"/>
          <w:u w:val="single"/>
        </w:rPr>
        <w:t>The</w:t>
      </w:r>
      <w:r>
        <w:rPr>
          <w:sz w:val="8"/>
          <w:szCs w:val="8"/>
        </w:rPr>
        <w:t xml:space="preserve"> EU’s official </w:t>
      </w:r>
      <w:r>
        <w:rPr>
          <w:b/>
          <w:sz w:val="24"/>
          <w:highlight w:val="green"/>
          <w:u w:val="single"/>
        </w:rPr>
        <w:t>position</w:t>
      </w:r>
      <w:r>
        <w:rPr>
          <w:sz w:val="8"/>
          <w:szCs w:val="8"/>
        </w:rPr>
        <w:t xml:space="preserve"> regarding the international projection of its research and innovation </w:t>
      </w:r>
      <w:r>
        <w:rPr>
          <w:b/>
          <w:sz w:val="24"/>
          <w:highlight w:val="green"/>
          <w:u w:val="single"/>
        </w:rPr>
        <w:t>is formalized in Horizon 2020</w:t>
      </w:r>
      <w:r>
        <w:rPr>
          <w:b/>
          <w:sz w:val="24"/>
          <w:u w:val="single"/>
        </w:rPr>
        <w:t xml:space="preserve"> </w:t>
      </w:r>
      <w:r>
        <w:rPr>
          <w:sz w:val="8"/>
          <w:szCs w:val="8"/>
        </w:rPr>
        <w:t xml:space="preserve">(H2020), the Framework </w:t>
      </w:r>
      <w:proofErr w:type="spellStart"/>
      <w:r>
        <w:rPr>
          <w:sz w:val="8"/>
          <w:szCs w:val="8"/>
        </w:rPr>
        <w:t>Programme</w:t>
      </w:r>
      <w:proofErr w:type="spellEnd"/>
      <w:r>
        <w:rPr>
          <w:sz w:val="8"/>
          <w:szCs w:val="8"/>
        </w:rPr>
        <w:t xml:space="preserve"> for Research and Innovation (2014-2020).</w:t>
      </w:r>
      <w:hyperlink r:id="rId52" w:anchor="note46%20rel=">
        <w:r>
          <w:rPr>
            <w:color w:val="1155CC"/>
            <w:sz w:val="8"/>
            <w:szCs w:val="8"/>
          </w:rPr>
          <w:t>46</w:t>
        </w:r>
      </w:hyperlink>
      <w:r>
        <w:rPr>
          <w:sz w:val="8"/>
          <w:szCs w:val="8"/>
        </w:rPr>
        <w:t xml:space="preserve"> The H2020 Regulation envisions large-scale projects, carried out with international cooperation.</w:t>
      </w:r>
      <w:hyperlink r:id="rId53" w:anchor="note47%20rel=">
        <w:r>
          <w:rPr>
            <w:color w:val="1155CC"/>
            <w:sz w:val="8"/>
            <w:szCs w:val="8"/>
          </w:rPr>
          <w:t>47</w:t>
        </w:r>
      </w:hyperlink>
      <w:r>
        <w:rPr>
          <w:sz w:val="8"/>
          <w:szCs w:val="8"/>
        </w:rPr>
        <w:t xml:space="preserve"> It anticipates working with partners in third countries to address many of its objectives, particularly those relating to the Union’s external and development policies and international commitments.</w:t>
      </w:r>
      <w:hyperlink r:id="rId54" w:anchor="note48%20rel=">
        <w:r>
          <w:rPr>
            <w:color w:val="1155CC"/>
            <w:sz w:val="8"/>
            <w:szCs w:val="8"/>
          </w:rPr>
          <w:t>48</w:t>
        </w:r>
      </w:hyperlink>
      <w:r>
        <w:rPr>
          <w:sz w:val="8"/>
          <w:szCs w:val="8"/>
        </w:rPr>
        <w:t xml:space="preserve"> </w:t>
      </w:r>
      <w:r>
        <w:rPr>
          <w:b/>
          <w:sz w:val="24"/>
          <w:highlight w:val="green"/>
          <w:u w:val="single"/>
        </w:rPr>
        <w:t>It further establishes that space activities should “support the European research and innovation contribution to long term international space partnerships,” acknowledging that “space undertakings have a fundamentally global character”</w:t>
      </w:r>
      <w:r>
        <w:rPr>
          <w:sz w:val="8"/>
          <w:szCs w:val="8"/>
        </w:rPr>
        <w:t>.</w:t>
      </w:r>
      <w:hyperlink r:id="rId55" w:anchor="note49%20rel=">
        <w:r>
          <w:rPr>
            <w:color w:val="1155CC"/>
            <w:sz w:val="8"/>
            <w:szCs w:val="8"/>
          </w:rPr>
          <w:t>49</w:t>
        </w:r>
      </w:hyperlink>
      <w:r>
        <w:rPr>
          <w:sz w:val="8"/>
          <w:szCs w:val="8"/>
        </w:rPr>
        <w:t xml:space="preserve"> </w:t>
      </w:r>
    </w:p>
    <w:sectPr w:rsidR="00951713" w:rsidRPr="004673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42CA9"/>
    <w:multiLevelType w:val="hybridMultilevel"/>
    <w:tmpl w:val="D8ACE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314"/>
    <w:rsid w:val="00085314"/>
    <w:rsid w:val="003638AC"/>
    <w:rsid w:val="004673F5"/>
    <w:rsid w:val="00675F5E"/>
    <w:rsid w:val="008A6B0D"/>
    <w:rsid w:val="008B136A"/>
    <w:rsid w:val="00901699"/>
    <w:rsid w:val="009477CE"/>
    <w:rsid w:val="00951713"/>
    <w:rsid w:val="009D5714"/>
    <w:rsid w:val="00A562B5"/>
    <w:rsid w:val="00B74AA7"/>
    <w:rsid w:val="00D9685D"/>
    <w:rsid w:val="00DA23E0"/>
    <w:rsid w:val="00DB209C"/>
    <w:rsid w:val="00FA2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CA5A24D"/>
  <w15:chartTrackingRefBased/>
  <w15:docId w15:val="{88E3B57D-BBB2-614A-A011-C31DED66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22CD"/>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FA22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22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22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1,No Spacing11,t"/>
    <w:basedOn w:val="Normal"/>
    <w:next w:val="Normal"/>
    <w:link w:val="Heading4Char"/>
    <w:uiPriority w:val="9"/>
    <w:unhideWhenUsed/>
    <w:qFormat/>
    <w:rsid w:val="00FA22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22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2CD"/>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 Char"/>
    <w:basedOn w:val="DefaultParagraphFont"/>
    <w:link w:val="Heading4"/>
    <w:uiPriority w:val="9"/>
    <w:rsid w:val="00FA22CD"/>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FA22CD"/>
    <w:rPr>
      <w:rFonts w:ascii="Calibri" w:hAnsi="Calibri" w:cs="Calibri"/>
      <w:b/>
      <w:i w:val="0"/>
      <w:iCs/>
      <w:sz w:val="22"/>
      <w:u w:val="single"/>
      <w:bdr w:val="single" w:sz="8" w:space="0" w:color="auto"/>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FA22C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uiPriority w:val="99"/>
    <w:unhideWhenUsed/>
    <w:rsid w:val="00FA22CD"/>
    <w:rPr>
      <w:color w:val="auto"/>
      <w:u w:val="none"/>
    </w:rPr>
  </w:style>
  <w:style w:type="paragraph" w:customStyle="1" w:styleId="textbold">
    <w:name w:val="text bold"/>
    <w:basedOn w:val="Normal"/>
    <w:link w:val="Emphasis"/>
    <w:uiPriority w:val="20"/>
    <w:qFormat/>
    <w:rsid w:val="00FA22C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lang w:eastAsia="zh-CN"/>
    </w:rPr>
  </w:style>
  <w:style w:type="character" w:customStyle="1" w:styleId="Heading1Char">
    <w:name w:val="Heading 1 Char"/>
    <w:aliases w:val="Pocket Char"/>
    <w:basedOn w:val="DefaultParagraphFont"/>
    <w:link w:val="Heading1"/>
    <w:uiPriority w:val="9"/>
    <w:rsid w:val="00FA22CD"/>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FA22CD"/>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FA22CD"/>
    <w:rPr>
      <w:rFonts w:ascii="Calibri" w:eastAsiaTheme="majorEastAsia" w:hAnsi="Calibri" w:cstheme="majorBidi"/>
      <w:b/>
      <w:bCs/>
      <w:sz w:val="32"/>
      <w:szCs w:val="32"/>
      <w:u w:val="single"/>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22CD"/>
    <w:rPr>
      <w:b/>
      <w:sz w:val="26"/>
      <w:u w:val="none"/>
    </w:rPr>
  </w:style>
  <w:style w:type="character" w:styleId="FollowedHyperlink">
    <w:name w:val="FollowedHyperlink"/>
    <w:basedOn w:val="DefaultParagraphFont"/>
    <w:uiPriority w:val="99"/>
    <w:semiHidden/>
    <w:unhideWhenUsed/>
    <w:rsid w:val="00FA22CD"/>
    <w:rPr>
      <w:color w:val="auto"/>
      <w:u w:val="none"/>
    </w:rPr>
  </w:style>
  <w:style w:type="paragraph" w:styleId="DocumentMap">
    <w:name w:val="Document Map"/>
    <w:basedOn w:val="Normal"/>
    <w:link w:val="DocumentMapChar"/>
    <w:uiPriority w:val="99"/>
    <w:semiHidden/>
    <w:unhideWhenUsed/>
    <w:rsid w:val="00FA22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22CD"/>
    <w:rPr>
      <w:rFonts w:ascii="Lucida Grande" w:hAnsi="Lucida Grande" w:cs="Lucida Grande"/>
      <w:lang w:eastAsia="en-US"/>
    </w:rPr>
  </w:style>
  <w:style w:type="character" w:styleId="CommentReference">
    <w:name w:val="annotation reference"/>
    <w:basedOn w:val="DefaultParagraphFont"/>
    <w:uiPriority w:val="99"/>
    <w:semiHidden/>
    <w:unhideWhenUsed/>
    <w:rsid w:val="00DB209C"/>
    <w:rPr>
      <w:sz w:val="16"/>
      <w:szCs w:val="16"/>
    </w:rPr>
  </w:style>
  <w:style w:type="paragraph" w:styleId="CommentText">
    <w:name w:val="annotation text"/>
    <w:basedOn w:val="Normal"/>
    <w:link w:val="CommentTextChar"/>
    <w:uiPriority w:val="99"/>
    <w:semiHidden/>
    <w:unhideWhenUsed/>
    <w:rsid w:val="00DB209C"/>
    <w:pPr>
      <w:spacing w:line="240" w:lineRule="auto"/>
    </w:pPr>
    <w:rPr>
      <w:sz w:val="20"/>
      <w:szCs w:val="20"/>
    </w:rPr>
  </w:style>
  <w:style w:type="character" w:customStyle="1" w:styleId="CommentTextChar">
    <w:name w:val="Comment Text Char"/>
    <w:basedOn w:val="DefaultParagraphFont"/>
    <w:link w:val="CommentText"/>
    <w:uiPriority w:val="99"/>
    <w:semiHidden/>
    <w:rsid w:val="00DB209C"/>
    <w:rPr>
      <w:rFonts w:ascii="Calibri" w:hAnsi="Calibri" w:cs="Calibri"/>
      <w:sz w:val="20"/>
      <w:szCs w:val="20"/>
      <w:lang w:eastAsia="en-US"/>
    </w:rPr>
  </w:style>
  <w:style w:type="paragraph" w:styleId="Revision">
    <w:name w:val="Revision"/>
    <w:hidden/>
    <w:uiPriority w:val="99"/>
    <w:semiHidden/>
    <w:rsid w:val="00DA23E0"/>
    <w:rPr>
      <w:rFonts w:ascii="Calibri" w:hAnsi="Calibri" w:cs="Calibri"/>
      <w:sz w:val="22"/>
      <w:lang w:eastAsia="en-US"/>
    </w:rPr>
  </w:style>
  <w:style w:type="character" w:customStyle="1" w:styleId="TitleChar1">
    <w:name w:val="Title Char1"/>
    <w:basedOn w:val="DefaultParagraphFont"/>
    <w:uiPriority w:val="10"/>
    <w:rsid w:val="00DA23E0"/>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plomacy.org/article/2019/preventing-cold-war-in-space-using-european-research-and-innovation-programs" TargetMode="External"/><Relationship Id="rId18" Type="http://schemas.openxmlformats.org/officeDocument/2006/relationships/hyperlink" Target="https://www.sciencediplomacy.org/article/2019/preventing-cold-war-in-space-using-european-research-and-innovation-programs" TargetMode="External"/><Relationship Id="rId26" Type="http://schemas.openxmlformats.org/officeDocument/2006/relationships/hyperlink" Target="https://www.sciencediplomacy.org/article/2019/preventing-cold-war-in-space-using-european-research-and-innovation-programs" TargetMode="External"/><Relationship Id="rId39" Type="http://schemas.openxmlformats.org/officeDocument/2006/relationships/hyperlink" Target="https://www.sciencediplomacy.org/article/2019/preventing-cold-war-in-space-using-european-research-and-innovation-programs" TargetMode="External"/><Relationship Id="rId21" Type="http://schemas.openxmlformats.org/officeDocument/2006/relationships/hyperlink" Target="https://www.sciencediplomacy.org/article/2019/preventing-cold-war-in-space-using-european-research-and-innovation-programs" TargetMode="External"/><Relationship Id="rId34" Type="http://schemas.openxmlformats.org/officeDocument/2006/relationships/hyperlink" Target="https://www.sciencediplomacy.org/article/2019/preventing-cold-war-in-space-using-european-research-and-innovation-programs" TargetMode="External"/><Relationship Id="rId42" Type="http://schemas.openxmlformats.org/officeDocument/2006/relationships/hyperlink" Target="https://www.sciencediplomacy.org/article/2019/preventing-cold-war-in-space-using-european-research-and-innovation-programs" TargetMode="External"/><Relationship Id="rId47" Type="http://schemas.openxmlformats.org/officeDocument/2006/relationships/hyperlink" Target="https://www.sciencediplomacy.org/article/2019/preventing-cold-war-in-space-using-european-research-and-innovation-programs" TargetMode="External"/><Relationship Id="rId50" Type="http://schemas.openxmlformats.org/officeDocument/2006/relationships/hyperlink" Target="https://www.sciencediplomacy.org/article/2019/preventing-cold-war-in-space-using-european-research-and-innovation-programs" TargetMode="External"/><Relationship Id="rId55" Type="http://schemas.openxmlformats.org/officeDocument/2006/relationships/hyperlink" Target="https://www.sciencediplomacy.org/article/2019/preventing-cold-war-in-space-using-european-research-and-innovation-programs" TargetMode="External"/><Relationship Id="rId7" Type="http://schemas.openxmlformats.org/officeDocument/2006/relationships/hyperlink" Target="https://www.forbes.com/sites/johnkoetsier/2021/05/22/space-inc-10000-companies-4t-value--and-52-american/?sh=42d1bb0755ac" TargetMode="External"/><Relationship Id="rId2" Type="http://schemas.openxmlformats.org/officeDocument/2006/relationships/styles" Target="styles.xml"/><Relationship Id="rId16" Type="http://schemas.openxmlformats.org/officeDocument/2006/relationships/hyperlink" Target="https://www.sciencediplomacy.org/article/2019/preventing-cold-war-in-space-using-european-research-and-innovation-programs" TargetMode="External"/><Relationship Id="rId29" Type="http://schemas.openxmlformats.org/officeDocument/2006/relationships/hyperlink" Target="https://www.sciencediplomacy.org/article/2019/preventing-cold-war-in-space-using-european-research-and-innovation-programs" TargetMode="External"/><Relationship Id="rId11" Type="http://schemas.openxmlformats.org/officeDocument/2006/relationships/hyperlink" Target="https://www.sciencediplomacy.org/article/2019/preventing-cold-war-in-space-using-european-research-and-innovation-programs" TargetMode="External"/><Relationship Id="rId24" Type="http://schemas.openxmlformats.org/officeDocument/2006/relationships/hyperlink" Target="https://www.sciencediplomacy.org/article/2019/preventing-cold-war-in-space-using-european-research-and-innovation-programs" TargetMode="External"/><Relationship Id="rId32" Type="http://schemas.openxmlformats.org/officeDocument/2006/relationships/hyperlink" Target="https://www.sciencediplomacy.org/article/2019/preventing-cold-war-in-space-using-european-research-and-innovation-programs" TargetMode="External"/><Relationship Id="rId37" Type="http://schemas.openxmlformats.org/officeDocument/2006/relationships/hyperlink" Target="https://www.sciencediplomacy.org/article/2019/preventing-cold-war-in-space-using-european-research-and-innovation-programs" TargetMode="External"/><Relationship Id="rId40" Type="http://schemas.openxmlformats.org/officeDocument/2006/relationships/hyperlink" Target="https://www.sciencediplomacy.org/article/2019/preventing-cold-war-in-space-using-european-research-and-innovation-programs" TargetMode="External"/><Relationship Id="rId45" Type="http://schemas.openxmlformats.org/officeDocument/2006/relationships/hyperlink" Target="https://www.sciencediplomacy.org/article/2019/preventing-cold-war-in-space-using-european-research-and-innovation-programs" TargetMode="External"/><Relationship Id="rId53" Type="http://schemas.openxmlformats.org/officeDocument/2006/relationships/hyperlink" Target="https://www.sciencediplomacy.org/article/2019/preventing-cold-war-in-space-using-european-research-and-innovation-programs" TargetMode="External"/><Relationship Id="rId5" Type="http://schemas.openxmlformats.org/officeDocument/2006/relationships/hyperlink" Target="http://www.spacex.com/" TargetMode="External"/><Relationship Id="rId19" Type="http://schemas.openxmlformats.org/officeDocument/2006/relationships/hyperlink" Target="https://www.sciencediplomacy.org/article/2019/preventing-cold-war-in-space-using-european-research-and-innovation-programs" TargetMode="External"/><Relationship Id="rId4" Type="http://schemas.openxmlformats.org/officeDocument/2006/relationships/webSettings" Target="webSettings.xml"/><Relationship Id="rId9" Type="http://schemas.openxmlformats.org/officeDocument/2006/relationships/hyperlink" Target="https://www.tandfonline.com/doi/full/10.1080/25751654.2018.1532525%20recut%2012-10-2021" TargetMode="External"/><Relationship Id="rId14" Type="http://schemas.openxmlformats.org/officeDocument/2006/relationships/hyperlink" Target="https://www.sciencediplomacy.org/article/2019/preventing-cold-war-in-space-using-european-research-and-innovation-programs" TargetMode="External"/><Relationship Id="rId22" Type="http://schemas.openxmlformats.org/officeDocument/2006/relationships/hyperlink" Target="https://www.sciencediplomacy.org/article/2019/preventing-cold-war-in-space-using-european-research-and-innovation-programs" TargetMode="External"/><Relationship Id="rId27" Type="http://schemas.openxmlformats.org/officeDocument/2006/relationships/hyperlink" Target="https://www.sciencediplomacy.org/article/2019/preventing-cold-war-in-space-using-european-research-and-innovation-programs" TargetMode="External"/><Relationship Id="rId30" Type="http://schemas.openxmlformats.org/officeDocument/2006/relationships/hyperlink" Target="https://www.sciencediplomacy.org/article/2019/preventing-cold-war-in-space-using-european-research-and-innovation-programs" TargetMode="External"/><Relationship Id="rId35" Type="http://schemas.openxmlformats.org/officeDocument/2006/relationships/hyperlink" Target="https://www.sciencediplomacy.org/article/2019/preventing-cold-war-in-space-using-european-research-and-innovation-programs" TargetMode="External"/><Relationship Id="rId43" Type="http://schemas.openxmlformats.org/officeDocument/2006/relationships/hyperlink" Target="https://www.sciencediplomacy.org/article/2019/preventing-cold-war-in-space-using-european-research-and-innovation-programs" TargetMode="External"/><Relationship Id="rId48" Type="http://schemas.openxmlformats.org/officeDocument/2006/relationships/hyperlink" Target="https://www.sciencediplomacy.org/article/2019/preventing-cold-war-in-space-using-european-research-and-innovation-programs" TargetMode="External"/><Relationship Id="rId56" Type="http://schemas.openxmlformats.org/officeDocument/2006/relationships/fontTable" Target="fontTable.xml"/><Relationship Id="rId8" Type="http://schemas.openxmlformats.org/officeDocument/2006/relationships/hyperlink" Target="https://tnsr.org/2019/02/after-the-responsible-stakeholder-what-debating-americas-china-strategy-2/" TargetMode="External"/><Relationship Id="rId51" Type="http://schemas.openxmlformats.org/officeDocument/2006/relationships/hyperlink" Target="https://www.sciencediplomacy.org/article/2019/preventing-cold-war-in-space-using-european-research-and-innovation-programs" TargetMode="External"/><Relationship Id="rId3" Type="http://schemas.openxmlformats.org/officeDocument/2006/relationships/settings" Target="settings.xml"/><Relationship Id="rId12" Type="http://schemas.openxmlformats.org/officeDocument/2006/relationships/hyperlink" Target="https://www.sciencediplomacy.org/article/2019/preventing-cold-war-in-space-using-european-research-and-innovation-programs" TargetMode="External"/><Relationship Id="rId17" Type="http://schemas.openxmlformats.org/officeDocument/2006/relationships/hyperlink" Target="https://www.sciencediplomacy.org/article/2019/preventing-cold-war-in-space-using-european-research-and-innovation-programs" TargetMode="External"/><Relationship Id="rId25" Type="http://schemas.openxmlformats.org/officeDocument/2006/relationships/hyperlink" Target="https://www.sciencediplomacy.org/article/2019/preventing-cold-war-in-space-using-european-research-and-innovation-programs" TargetMode="External"/><Relationship Id="rId33" Type="http://schemas.openxmlformats.org/officeDocument/2006/relationships/hyperlink" Target="https://www.sciencediplomacy.org/article/2019/preventing-cold-war-in-space-using-european-research-and-innovation-programs" TargetMode="External"/><Relationship Id="rId38" Type="http://schemas.openxmlformats.org/officeDocument/2006/relationships/hyperlink" Target="https://www.sciencediplomacy.org/article/2019/preventing-cold-war-in-space-using-european-research-and-innovation-programs" TargetMode="External"/><Relationship Id="rId46" Type="http://schemas.openxmlformats.org/officeDocument/2006/relationships/hyperlink" Target="https://www.sciencediplomacy.org/article/2019/preventing-cold-war-in-space-using-european-research-and-innovation-programs" TargetMode="External"/><Relationship Id="rId20" Type="http://schemas.openxmlformats.org/officeDocument/2006/relationships/hyperlink" Target="https://www.sciencediplomacy.org/article/2019/preventing-cold-war-in-space-using-european-research-and-innovation-programs" TargetMode="External"/><Relationship Id="rId41" Type="http://schemas.openxmlformats.org/officeDocument/2006/relationships/hyperlink" Target="https://www.sciencediplomacy.org/article/2019/preventing-cold-war-in-space-using-european-research-and-innovation-programs" TargetMode="External"/><Relationship Id="rId54" Type="http://schemas.openxmlformats.org/officeDocument/2006/relationships/hyperlink" Target="https://www.sciencediplomacy.org/article/2019/preventing-cold-war-in-space-using-european-research-and-innovation-programs" TargetMode="External"/><Relationship Id="rId1" Type="http://schemas.openxmlformats.org/officeDocument/2006/relationships/numbering" Target="numbering.xml"/><Relationship Id="rId6" Type="http://schemas.openxmlformats.org/officeDocument/2006/relationships/hyperlink" Target="http://www.unoosa.org/oosa/en/ourwork/spacelaw/treaties/outerspacetreaty.html.)//DebateDrills" TargetMode="External"/><Relationship Id="rId15" Type="http://schemas.openxmlformats.org/officeDocument/2006/relationships/hyperlink" Target="https://www.sciencediplomacy.org/article/2019/preventing-cold-war-in-space-using-european-research-and-innovation-programs" TargetMode="External"/><Relationship Id="rId23" Type="http://schemas.openxmlformats.org/officeDocument/2006/relationships/hyperlink" Target="https://www.sciencediplomacy.org/article/2019/preventing-cold-war-in-space-using-european-research-and-innovation-programs" TargetMode="External"/><Relationship Id="rId28" Type="http://schemas.openxmlformats.org/officeDocument/2006/relationships/hyperlink" Target="https://www.sciencediplomacy.org/article/2019/preventing-cold-war-in-space-using-european-research-and-innovation-programs" TargetMode="External"/><Relationship Id="rId36" Type="http://schemas.openxmlformats.org/officeDocument/2006/relationships/hyperlink" Target="https://www.sciencediplomacy.org/article/2019/preventing-cold-war-in-space-using-european-research-and-innovation-programs" TargetMode="External"/><Relationship Id="rId49" Type="http://schemas.openxmlformats.org/officeDocument/2006/relationships/hyperlink" Target="https://www.sciencediplomacy.org/article/2019/preventing-cold-war-in-space-using-european-research-and-innovation-programs" TargetMode="External"/><Relationship Id="rId57" Type="http://schemas.openxmlformats.org/officeDocument/2006/relationships/theme" Target="theme/theme1.xml"/><Relationship Id="rId10" Type="http://schemas.openxmlformats.org/officeDocument/2006/relationships/hyperlink" Target="https://www.sciencediplomacy.org/article/2019/preventing-cold-war-in-space-using-european-research-and-innovation-programs" TargetMode="External"/><Relationship Id="rId31" Type="http://schemas.openxmlformats.org/officeDocument/2006/relationships/hyperlink" Target="https://www.sciencediplomacy.org/article/2019/preventing-cold-war-in-space-using-european-research-and-innovation-programs" TargetMode="External"/><Relationship Id="rId44" Type="http://schemas.openxmlformats.org/officeDocument/2006/relationships/hyperlink" Target="https://www.sciencediplomacy.org/article/2019/preventing-cold-war-in-space-using-european-research-and-innovation-programs" TargetMode="External"/><Relationship Id="rId52" Type="http://schemas.openxmlformats.org/officeDocument/2006/relationships/hyperlink" Target="https://www.sciencediplomacy.org/article/2019/preventing-cold-war-in-space-using-european-research-and-innovation-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19</Pages>
  <Words>10882</Words>
  <Characters>62034</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6</cp:revision>
  <dcterms:created xsi:type="dcterms:W3CDTF">2022-02-20T02:05:00Z</dcterms:created>
  <dcterms:modified xsi:type="dcterms:W3CDTF">2022-02-20T03:15:00Z</dcterms:modified>
</cp:coreProperties>
</file>