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EE032" w14:textId="260D5E5E" w:rsidR="00547196" w:rsidRDefault="00547196" w:rsidP="00D17C88">
      <w:pPr>
        <w:pStyle w:val="Heading1"/>
      </w:pPr>
      <w:r>
        <w:t>1AR</w:t>
      </w:r>
    </w:p>
    <w:p w14:paraId="51DF192A" w14:textId="77777777" w:rsidR="00547196" w:rsidRPr="00466EB8" w:rsidRDefault="00547196" w:rsidP="00547196">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76D52FAE" w14:textId="77777777" w:rsidR="00547196" w:rsidRPr="00466EB8" w:rsidRDefault="00547196" w:rsidP="00547196">
      <w:pPr>
        <w:pStyle w:val="Heading4"/>
        <w:rPr>
          <w:rFonts w:cs="Times New Roman"/>
        </w:rPr>
      </w:pPr>
      <w:r w:rsidRPr="00466EB8">
        <w:rPr>
          <w:rFonts w:cs="Times New Roman"/>
        </w:rPr>
        <w:t xml:space="preserve">2. NC collapses to the AC—if each person has infinite value, having more of that value is a good thing so you </w:t>
      </w:r>
      <w:proofErr w:type="gramStart"/>
      <w:r w:rsidRPr="00466EB8">
        <w:rPr>
          <w:rFonts w:cs="Times New Roman"/>
        </w:rPr>
        <w:t>have to</w:t>
      </w:r>
      <w:proofErr w:type="gramEnd"/>
      <w:r w:rsidRPr="00466EB8">
        <w:rPr>
          <w:rFonts w:cs="Times New Roman"/>
        </w:rPr>
        <w:t xml:space="preserve"> aggregate</w:t>
      </w:r>
    </w:p>
    <w:p w14:paraId="6B9314BA" w14:textId="77777777" w:rsidR="00547196" w:rsidRPr="00466EB8" w:rsidRDefault="00547196" w:rsidP="00547196">
      <w:pPr>
        <w:pStyle w:val="Heading4"/>
        <w:rPr>
          <w:rFonts w:cs="Times New Roman"/>
        </w:rPr>
      </w:pPr>
      <w:r w:rsidRPr="00466EB8">
        <w:rPr>
          <w:rFonts w:cs="Times New Roman"/>
        </w:rPr>
        <w:t xml:space="preserve">3. Epistemology hijack—epistemology outweighs in terms of </w:t>
      </w:r>
      <w:proofErr w:type="spellStart"/>
      <w:r w:rsidRPr="00466EB8">
        <w:rPr>
          <w:rFonts w:cs="Times New Roman"/>
        </w:rPr>
        <w:t>fw</w:t>
      </w:r>
      <w:proofErr w:type="spellEnd"/>
      <w:r w:rsidRPr="00466EB8">
        <w:rPr>
          <w:rFonts w:cs="Times New Roman"/>
        </w:rPr>
        <w:t xml:space="preserve"> justifications—it determines how we create knowledge and determine a </w:t>
      </w:r>
      <w:proofErr w:type="spellStart"/>
      <w:r w:rsidRPr="00466EB8">
        <w:rPr>
          <w:rFonts w:cs="Times New Roman"/>
        </w:rPr>
        <w:t>fw</w:t>
      </w:r>
      <w:proofErr w:type="spellEnd"/>
      <w:r w:rsidRPr="00466EB8">
        <w:rPr>
          <w:rFonts w:cs="Times New Roman"/>
        </w:rPr>
        <w:t xml:space="preserve"> in the first place; only util accounts for all forms of epistemology such as </w:t>
      </w:r>
      <w:proofErr w:type="spellStart"/>
      <w:r w:rsidRPr="00466EB8">
        <w:rPr>
          <w:rFonts w:cs="Times New Roman"/>
        </w:rPr>
        <w:t>aposteriori</w:t>
      </w:r>
      <w:proofErr w:type="spellEnd"/>
      <w:r w:rsidRPr="00466EB8">
        <w:rPr>
          <w:rFonts w:cs="Times New Roman"/>
        </w:rPr>
        <w:t xml:space="preserve"> knowledge</w:t>
      </w:r>
    </w:p>
    <w:p w14:paraId="048F20C8" w14:textId="77777777" w:rsidR="00547196" w:rsidRPr="00466EB8" w:rsidRDefault="00547196" w:rsidP="00547196">
      <w:pPr>
        <w:pStyle w:val="Heading4"/>
        <w:rPr>
          <w:rFonts w:cs="Times New Roman"/>
        </w:rPr>
      </w:pPr>
      <w:r w:rsidRPr="00466EB8">
        <w:rPr>
          <w:rFonts w:cs="Times New Roman"/>
        </w:rPr>
        <w:t xml:space="preserve">4. Actor spec—even if Kant were true, our </w:t>
      </w:r>
      <w:proofErr w:type="spellStart"/>
      <w:r w:rsidRPr="00466EB8">
        <w:rPr>
          <w:rFonts w:cs="Times New Roman"/>
        </w:rPr>
        <w:t>aspec</w:t>
      </w:r>
      <w:proofErr w:type="spellEnd"/>
      <w:r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Pr="00466EB8">
        <w:rPr>
          <w:rFonts w:cs="Times New Roman"/>
        </w:rPr>
        <w:t>fw</w:t>
      </w:r>
      <w:proofErr w:type="spellEnd"/>
      <w:r w:rsidRPr="00466EB8">
        <w:rPr>
          <w:rFonts w:cs="Times New Roman"/>
        </w:rPr>
        <w:t xml:space="preserve"> since agency is the basis of your </w:t>
      </w:r>
      <w:proofErr w:type="spellStart"/>
      <w:r w:rsidRPr="00466EB8">
        <w:rPr>
          <w:rFonts w:cs="Times New Roman"/>
        </w:rPr>
        <w:t>fw</w:t>
      </w:r>
      <w:proofErr w:type="spellEnd"/>
    </w:p>
    <w:p w14:paraId="01E939DB" w14:textId="77777777" w:rsidR="00547196" w:rsidRPr="00466EB8" w:rsidRDefault="00547196" w:rsidP="00547196">
      <w:pPr>
        <w:pStyle w:val="Heading4"/>
        <w:rPr>
          <w:rFonts w:cs="Times New Roman"/>
        </w:rPr>
      </w:pPr>
      <w:r w:rsidRPr="00466EB8">
        <w:rPr>
          <w:rFonts w:cs="Times New Roman"/>
        </w:rPr>
        <w:t>5. Choice architecture like pulling on a push door proves instinct comes before rationality and maintaining it is an impossible burden</w:t>
      </w:r>
    </w:p>
    <w:p w14:paraId="69EA056D" w14:textId="6F77803F" w:rsidR="00547196" w:rsidRPr="00547196" w:rsidRDefault="00547196" w:rsidP="00547196">
      <w:pPr>
        <w:pStyle w:val="Heading4"/>
        <w:rPr>
          <w:rFonts w:cs="Times New Roman"/>
        </w:rPr>
      </w:pPr>
      <w:r w:rsidRPr="00466EB8">
        <w:rPr>
          <w:rFonts w:cs="Times New Roman"/>
        </w:rPr>
        <w:t xml:space="preserve">6. Kantian philosophy is homophobic—universality justifies homophobic actions since Kant held that actions like gay sex weren’t </w:t>
      </w:r>
      <w:proofErr w:type="spellStart"/>
      <w:r w:rsidRPr="00466EB8">
        <w:rPr>
          <w:rFonts w:cs="Times New Roman"/>
        </w:rPr>
        <w:t>universizable</w:t>
      </w:r>
      <w:proofErr w:type="spellEnd"/>
      <w:r w:rsidRPr="00466EB8">
        <w:rPr>
          <w:rFonts w:cs="Times New Roman"/>
        </w:rPr>
        <w:t xml:space="preserve"> and means you should reject their </w:t>
      </w:r>
      <w:proofErr w:type="spellStart"/>
      <w:r w:rsidRPr="00466EB8">
        <w:rPr>
          <w:rFonts w:cs="Times New Roman"/>
        </w:rPr>
        <w:t>fw</w:t>
      </w:r>
      <w:proofErr w:type="spellEnd"/>
      <w:r w:rsidRPr="00466EB8">
        <w:rPr>
          <w:rFonts w:cs="Times New Roman"/>
        </w:rPr>
        <w:t xml:space="preserve"> because </w:t>
      </w:r>
      <w:proofErr w:type="spellStart"/>
      <w:r w:rsidRPr="00466EB8">
        <w:rPr>
          <w:rFonts w:cs="Times New Roman"/>
        </w:rPr>
        <w:t>its</w:t>
      </w:r>
      <w:proofErr w:type="spellEnd"/>
      <w:r w:rsidRPr="00466EB8">
        <w:rPr>
          <w:rFonts w:cs="Times New Roman"/>
        </w:rPr>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Pr="00466EB8">
        <w:rPr>
          <w:rFonts w:cs="Times New Roman"/>
        </w:rPr>
        <w:t>apriori</w:t>
      </w:r>
      <w:proofErr w:type="spellEnd"/>
      <w:r w:rsidRPr="00466EB8">
        <w:rPr>
          <w:rFonts w:cs="Times New Roman"/>
        </w:rPr>
        <w:t xml:space="preserve">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7C167C72" w14:textId="0112687B" w:rsidR="00D17C88" w:rsidRDefault="00D17C88" w:rsidP="00D17C88">
      <w:pPr>
        <w:pStyle w:val="Heading1"/>
      </w:pPr>
      <w:r>
        <w:lastRenderedPageBreak/>
        <w:t>Asteroid Mining</w:t>
      </w:r>
    </w:p>
    <w:p w14:paraId="05B11C86" w14:textId="77777777" w:rsidR="00D17C88" w:rsidRPr="00AD4C5F" w:rsidRDefault="00D17C88" w:rsidP="00D17C88">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76A004F0" w14:textId="77777777" w:rsidR="00D17C88" w:rsidRPr="00AD4C5F" w:rsidRDefault="00D17C88" w:rsidP="00D17C88">
      <w:pPr>
        <w:rPr>
          <w:rFonts w:asciiTheme="majorHAnsi" w:hAnsiTheme="majorHAnsi" w:cstheme="majorHAnsi"/>
        </w:rPr>
      </w:pPr>
    </w:p>
    <w:p w14:paraId="73EA573B" w14:textId="77777777" w:rsidR="00D17C88" w:rsidRPr="00AD4C5F" w:rsidRDefault="00D17C88" w:rsidP="00D17C88">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00216FF1" w14:textId="77777777" w:rsidR="00D17C88" w:rsidRPr="00AD4C5F" w:rsidRDefault="00D17C88" w:rsidP="00D17C88">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5"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1DD02D9F" w14:textId="77777777" w:rsidR="00D17C88" w:rsidRDefault="00D17C88" w:rsidP="00D17C88">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675BA3A6" w14:textId="77777777" w:rsidR="00D17C88" w:rsidRPr="00355308" w:rsidRDefault="00D17C88" w:rsidP="00D17C88">
      <w:pPr>
        <w:pStyle w:val="Heading3"/>
        <w:rPr>
          <w:rFonts w:cs="Calibri"/>
          <w:color w:val="000000" w:themeColor="text1"/>
        </w:rPr>
      </w:pPr>
      <w:r w:rsidRPr="00355308">
        <w:rPr>
          <w:rFonts w:cs="Calibri"/>
          <w:color w:val="000000" w:themeColor="text1"/>
        </w:rPr>
        <w:lastRenderedPageBreak/>
        <w:t>Advantage – US/Russia</w:t>
      </w:r>
    </w:p>
    <w:p w14:paraId="41A20E71" w14:textId="77777777" w:rsidR="00D17C88" w:rsidRPr="00355308" w:rsidRDefault="00D17C88" w:rsidP="00D17C88">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0110D78D" w14:textId="77777777" w:rsidR="00D17C88" w:rsidRPr="00355308" w:rsidRDefault="00D17C88" w:rsidP="00D17C88">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7E29EF2C" w14:textId="77777777" w:rsidR="00D17C88" w:rsidRPr="00355308" w:rsidRDefault="00D17C88" w:rsidP="00D17C88">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29C9589B" w14:textId="77777777" w:rsidR="00D17C88" w:rsidRPr="00355308" w:rsidRDefault="00D17C88" w:rsidP="00D17C88">
      <w:pPr>
        <w:rPr>
          <w:color w:val="000000" w:themeColor="text1"/>
        </w:rPr>
      </w:pPr>
    </w:p>
    <w:p w14:paraId="2C590DCC" w14:textId="77777777" w:rsidR="00D17C88" w:rsidRPr="00355308" w:rsidRDefault="00D17C88" w:rsidP="00D17C88">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6F731CA1" w14:textId="77777777" w:rsidR="00D17C88" w:rsidRPr="00355308" w:rsidRDefault="00D17C88" w:rsidP="00D17C8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E1E3E4E" w14:textId="77777777" w:rsidR="00D17C88" w:rsidRPr="00355308" w:rsidRDefault="00D17C88" w:rsidP="00D17C88">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9490CE0" w14:textId="77777777" w:rsidR="00D17C88" w:rsidRPr="00355308" w:rsidRDefault="00D17C88" w:rsidP="00D17C88">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627FE5B5" w14:textId="77777777" w:rsidR="00D17C88" w:rsidRPr="00355308" w:rsidRDefault="00D17C88" w:rsidP="00D17C88">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5F9C4604" w14:textId="77777777" w:rsidR="00D17C88" w:rsidRPr="00355308" w:rsidRDefault="00D17C88" w:rsidP="00D17C88">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0936EB90" w14:textId="77777777" w:rsidR="00D17C88" w:rsidRPr="00355308" w:rsidRDefault="00D17C88" w:rsidP="00D17C88">
      <w:pPr>
        <w:rPr>
          <w:color w:val="000000" w:themeColor="text1"/>
        </w:rPr>
      </w:pPr>
    </w:p>
    <w:p w14:paraId="1AF79A34" w14:textId="77777777" w:rsidR="00D17C88" w:rsidRPr="00355308" w:rsidRDefault="00D17C88" w:rsidP="00D17C88">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27E37AC8" w14:textId="77777777" w:rsidR="00D17C88" w:rsidRPr="00355308" w:rsidRDefault="00D17C88" w:rsidP="00D17C8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5CEA25D8" w14:textId="77777777" w:rsidR="00D17C88" w:rsidRPr="00C87D2D" w:rsidRDefault="00D17C88" w:rsidP="00D17C88">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DBAAB7C" w14:textId="77777777" w:rsidR="00D17C88" w:rsidRPr="00355308" w:rsidRDefault="00D17C88" w:rsidP="00D17C88">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1D5169A0" w14:textId="77777777" w:rsidR="00D17C88" w:rsidRPr="00355308" w:rsidRDefault="00D17C88" w:rsidP="00D17C88">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574DCDBB" w14:textId="77777777" w:rsidR="00D17C88" w:rsidRPr="00355308" w:rsidRDefault="00D17C88" w:rsidP="00D17C88">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5EDA5806" w14:textId="77777777" w:rsidR="00D17C88" w:rsidRPr="00355308" w:rsidRDefault="00D17C88" w:rsidP="00D17C88">
      <w:pPr>
        <w:pStyle w:val="Heading4"/>
        <w:rPr>
          <w:rFonts w:cs="Calibri"/>
          <w:color w:val="000000" w:themeColor="text1"/>
        </w:rPr>
      </w:pPr>
      <w:r w:rsidRPr="00355308">
        <w:rPr>
          <w:rFonts w:cs="Calibri"/>
          <w:color w:val="000000" w:themeColor="text1"/>
        </w:rPr>
        <w:t>That causes draw-in through great power wars—goes nuclear.</w:t>
      </w:r>
    </w:p>
    <w:p w14:paraId="796FB6E4" w14:textId="77777777" w:rsidR="00D17C88" w:rsidRPr="00355308" w:rsidRDefault="00D17C88" w:rsidP="00D17C88">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4DC84B6D" w14:textId="77777777" w:rsidR="00D17C88" w:rsidRPr="007016C6" w:rsidRDefault="00D17C88" w:rsidP="00D17C88">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8028584" w14:textId="77777777" w:rsidR="00D17C88" w:rsidRPr="00355308" w:rsidRDefault="00D17C88" w:rsidP="00D17C88">
      <w:pPr>
        <w:pStyle w:val="Heading3"/>
        <w:rPr>
          <w:rFonts w:cs="Calibri"/>
        </w:rPr>
      </w:pPr>
      <w:r w:rsidRPr="00355308">
        <w:rPr>
          <w:rFonts w:cs="Calibri"/>
        </w:rPr>
        <w:lastRenderedPageBreak/>
        <w:t>Advantage – Collisions</w:t>
      </w:r>
    </w:p>
    <w:p w14:paraId="33C8E887" w14:textId="77777777" w:rsidR="00D17C88" w:rsidRPr="00355308" w:rsidRDefault="00D17C88" w:rsidP="00D17C88">
      <w:pPr>
        <w:pStyle w:val="Heading4"/>
        <w:rPr>
          <w:rFonts w:cs="Calibri"/>
          <w:color w:val="000000" w:themeColor="text1"/>
        </w:rPr>
      </w:pPr>
      <w:r w:rsidRPr="00355308">
        <w:rPr>
          <w:rFonts w:cs="Calibri"/>
          <w:color w:val="000000" w:themeColor="text1"/>
        </w:rPr>
        <w:t>Unregulated mining is existential and causes collisions – multiple scenarios</w:t>
      </w:r>
    </w:p>
    <w:p w14:paraId="3D8D5923" w14:textId="77777777" w:rsidR="00D17C88" w:rsidRPr="00355308" w:rsidRDefault="00D17C88" w:rsidP="00D17C88">
      <w:pPr>
        <w:pStyle w:val="Heading4"/>
        <w:rPr>
          <w:rFonts w:cs="Calibri"/>
        </w:rPr>
      </w:pPr>
      <w:r w:rsidRPr="00355308">
        <w:rPr>
          <w:rFonts w:cs="Calibri"/>
        </w:rPr>
        <w:t>Scenario 1 is deflection</w:t>
      </w:r>
    </w:p>
    <w:p w14:paraId="72A1623D" w14:textId="77777777" w:rsidR="00D17C88" w:rsidRPr="00355308" w:rsidRDefault="00D17C88" w:rsidP="00D17C88">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3442A5C9" w14:textId="77777777" w:rsidR="00D17C88" w:rsidRPr="00355308" w:rsidRDefault="00D17C88" w:rsidP="00D17C88">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6" w:history="1">
        <w:r w:rsidRPr="00355308">
          <w:rPr>
            <w:color w:val="000000" w:themeColor="text1"/>
          </w:rPr>
          <w:t>https://academic.oup.com/astrogeo/article/56/5/5.15/235650</w:t>
        </w:r>
      </w:hyperlink>
    </w:p>
    <w:p w14:paraId="7BDEF1F3" w14:textId="77777777" w:rsidR="00D17C88" w:rsidRPr="00355308" w:rsidRDefault="00D17C88" w:rsidP="00D17C88">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32F4E0A1" w14:textId="77777777" w:rsidR="00D17C88" w:rsidRPr="00355308" w:rsidRDefault="00D17C88" w:rsidP="00D17C88">
      <w:pPr>
        <w:pStyle w:val="Heading4"/>
        <w:rPr>
          <w:rFonts w:cs="Calibri"/>
          <w:color w:val="000000" w:themeColor="text1"/>
        </w:rPr>
      </w:pPr>
      <w:r w:rsidRPr="00355308">
        <w:rPr>
          <w:rFonts w:cs="Calibri"/>
          <w:color w:val="000000" w:themeColor="text1"/>
        </w:rPr>
        <w:t>Major collisions cause extinction</w:t>
      </w:r>
    </w:p>
    <w:p w14:paraId="775A42F2" w14:textId="77777777" w:rsidR="00D17C88" w:rsidRPr="00355308" w:rsidRDefault="00D17C88" w:rsidP="00D17C88">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5CC74289" w14:textId="77777777" w:rsidR="00D17C88" w:rsidRPr="00355308" w:rsidRDefault="00D17C88" w:rsidP="00D17C88">
      <w:r w:rsidRPr="00355308">
        <w:t xml:space="preserve">Seth Baum, “Risk-Risk Tradeoff Analysis of Nuclear Explosives for Asteroid Deflection,” SSRN Scholarly Paper (Rochester, NY: Social Science Research Network, May 31, 2019), </w:t>
      </w:r>
      <w:hyperlink r:id="rId7" w:history="1">
        <w:r w:rsidRPr="00355308">
          <w:rPr>
            <w:rStyle w:val="Hyperlink"/>
          </w:rPr>
          <w:t>https://papers.ssrn.com/abstract=3397559</w:t>
        </w:r>
      </w:hyperlink>
      <w:r w:rsidRPr="00355308">
        <w:t>.</w:t>
      </w:r>
    </w:p>
    <w:p w14:paraId="63506F17" w14:textId="77777777" w:rsidR="00D17C88" w:rsidRPr="00355308" w:rsidRDefault="00D17C88" w:rsidP="00D17C88">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F48C19A" w14:textId="6B3A6BAE" w:rsidR="00D17C88" w:rsidRPr="008F353D" w:rsidRDefault="00D17C88" w:rsidP="008F353D">
      <w:pPr>
        <w:pStyle w:val="Heading4"/>
        <w:rPr>
          <w:rFonts w:cs="Calibri"/>
        </w:rPr>
      </w:pPr>
      <w:r w:rsidRPr="00355308">
        <w:rPr>
          <w:rFonts w:cs="Calibri"/>
        </w:rPr>
        <w:t>Scenario 2 is satellite collision</w:t>
      </w:r>
    </w:p>
    <w:p w14:paraId="6537F9A0" w14:textId="77777777" w:rsidR="00D17C88" w:rsidRPr="00355308" w:rsidRDefault="00D17C88" w:rsidP="00D17C88">
      <w:pPr>
        <w:pStyle w:val="Heading4"/>
        <w:rPr>
          <w:rFonts w:cs="Calibri"/>
        </w:rPr>
      </w:pPr>
      <w:r w:rsidRPr="00355308">
        <w:rPr>
          <w:rFonts w:cs="Calibri"/>
        </w:rPr>
        <w:t xml:space="preserve">An increase in space debris and dust from mining collides with key defense satellites </w:t>
      </w:r>
    </w:p>
    <w:p w14:paraId="2F70504F" w14:textId="77777777" w:rsidR="00D17C88" w:rsidRPr="00355308" w:rsidRDefault="00D17C88" w:rsidP="00D17C88">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8" w:history="1">
        <w:r w:rsidRPr="00355308">
          <w:rPr>
            <w:rStyle w:val="Hyperlink"/>
            <w:sz w:val="16"/>
          </w:rPr>
          <w:t>https://www.newscientist.com/article/mg22630235-100-dust-from-asteroid-mining-spells-danger-for-satellites/</w:t>
        </w:r>
      </w:hyperlink>
      <w:r w:rsidRPr="00355308">
        <w:rPr>
          <w:sz w:val="16"/>
        </w:rPr>
        <w:t xml:space="preserve"> DD AG</w:t>
      </w:r>
    </w:p>
    <w:p w14:paraId="02C5B0BC" w14:textId="77777777" w:rsidR="00D17C88" w:rsidRPr="00355308" w:rsidRDefault="00D17C88" w:rsidP="00D17C8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519BB17" w14:textId="77777777" w:rsidR="00D17C88" w:rsidRPr="00355308" w:rsidRDefault="00D17C88" w:rsidP="00D17C88">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772B544B" w14:textId="77777777" w:rsidR="00D17C88" w:rsidRPr="00355308" w:rsidRDefault="00D17C88" w:rsidP="00D17C8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44DCA97" w14:textId="77777777" w:rsidR="00D17C88" w:rsidRPr="00355308" w:rsidRDefault="00D17C88" w:rsidP="00D17C88">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 xml:space="preserve">debris will end up in regions </w:t>
      </w:r>
      <w:r w:rsidRPr="00355308">
        <w:rPr>
          <w:rStyle w:val="Emphasis"/>
          <w:highlight w:val="green"/>
        </w:rPr>
        <w:lastRenderedPageBreak/>
        <w:t>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761DABF" w14:textId="77777777" w:rsidR="00D17C88" w:rsidRPr="00355308" w:rsidRDefault="00D17C88" w:rsidP="00D17C88">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011ADB4" w14:textId="77777777" w:rsidR="00D17C88" w:rsidRDefault="00D17C88" w:rsidP="00D17C8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0A097885" w14:textId="77777777" w:rsidR="00D17C88" w:rsidRDefault="00D17C88" w:rsidP="00D17C88">
      <w:pPr>
        <w:pStyle w:val="Heading1"/>
      </w:pPr>
      <w:r>
        <w:lastRenderedPageBreak/>
        <w:t>Framework</w:t>
      </w:r>
    </w:p>
    <w:p w14:paraId="28613A2C" w14:textId="77777777" w:rsidR="00D17C88" w:rsidRDefault="00D17C88" w:rsidP="00D17C88">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350168C4" w14:textId="77777777" w:rsidR="00D17C88" w:rsidRPr="006727CE" w:rsidRDefault="00D17C88" w:rsidP="00D17C88">
      <w:pPr>
        <w:pStyle w:val="Heading4"/>
      </w:pPr>
      <w:r w:rsidRPr="006727CE">
        <w:t>Utilitarianism respects the moral equality of individuals.</w:t>
      </w:r>
    </w:p>
    <w:p w14:paraId="121CFA0A" w14:textId="77777777" w:rsidR="00D17C88" w:rsidRPr="00731E9E" w:rsidRDefault="00D17C88" w:rsidP="00D17C88">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7CB110C2" w14:textId="77777777" w:rsidR="00D17C88" w:rsidRPr="003E2B9C" w:rsidRDefault="00D17C88" w:rsidP="00D17C88">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3489A8AB" w14:textId="77777777" w:rsidR="00A36186" w:rsidRDefault="00547196"/>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08"/>
    <w:rsid w:val="00547196"/>
    <w:rsid w:val="00675F5E"/>
    <w:rsid w:val="008A6B0D"/>
    <w:rsid w:val="008F353D"/>
    <w:rsid w:val="00905A08"/>
    <w:rsid w:val="009D5714"/>
    <w:rsid w:val="00A562B5"/>
    <w:rsid w:val="00B74AA7"/>
    <w:rsid w:val="00D17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52DA3D5"/>
  <w15:chartTrackingRefBased/>
  <w15:docId w15:val="{82FEB995-DA9E-3D46-B19E-147029D9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7C88"/>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D17C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7C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17C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D17C8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17C8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17C8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D17C88"/>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17C88"/>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D17C88"/>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D17C88"/>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17C8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17C8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17C88"/>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D17C8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17C88"/>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17C88"/>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D17C88"/>
    <w:rPr>
      <w:color w:val="auto"/>
      <w:u w:val="none"/>
    </w:rPr>
  </w:style>
  <w:style w:type="paragraph" w:styleId="DocumentMap">
    <w:name w:val="Document Map"/>
    <w:basedOn w:val="Normal"/>
    <w:link w:val="DocumentMapChar"/>
    <w:uiPriority w:val="99"/>
    <w:semiHidden/>
    <w:unhideWhenUsed/>
    <w:rsid w:val="00D17C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7C88"/>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mg22630235-100-dust-from-asteroid-mining-spells-danger-for-satellites/" TargetMode="External"/><Relationship Id="rId3" Type="http://schemas.openxmlformats.org/officeDocument/2006/relationships/settings" Target="settings.xml"/><Relationship Id="rId7" Type="http://schemas.openxmlformats.org/officeDocument/2006/relationships/hyperlink" Target="https://papers.ssrn.com/abstract=33975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ademic.oup.com/astrogeo/article/56/5/5.15/235650" TargetMode="External"/><Relationship Id="rId5" Type="http://schemas.openxmlformats.org/officeDocument/2006/relationships/hyperlink" Target="https://iislweb.org/docs/Diederiks2007.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10126</Words>
  <Characters>57723</Characters>
  <Application>Microsoft Office Word</Application>
  <DocSecurity>0</DocSecurity>
  <Lines>481</Lines>
  <Paragraphs>135</Paragraphs>
  <ScaleCrop>false</ScaleCrop>
  <Company/>
  <LinksUpToDate>false</LinksUpToDate>
  <CharactersWithSpaces>67714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dcterms:created xsi:type="dcterms:W3CDTF">2022-01-29T15:36:00Z</dcterms:created>
  <dcterms:modified xsi:type="dcterms:W3CDTF">2022-01-29T16:28:00Z</dcterms:modified>
</cp:coreProperties>
</file>