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8EBEC" w14:textId="6FFE53B8" w:rsidR="001241CE" w:rsidRDefault="001241CE" w:rsidP="001241CE">
      <w:pPr>
        <w:pStyle w:val="Heading4"/>
        <w:rPr>
          <w:shd w:val="clear" w:color="auto" w:fill="FFFFFF"/>
          <w:lang w:eastAsia="zh-CN"/>
        </w:rPr>
      </w:pPr>
      <w:r>
        <w:rPr>
          <w:shd w:val="clear" w:color="auto" w:fill="FFFFFF"/>
          <w:lang w:eastAsia="zh-CN"/>
        </w:rPr>
        <w:t>The alt is unconditional, I can’t kick it.</w:t>
      </w:r>
      <w:r w:rsidR="00291F39">
        <w:rPr>
          <w:shd w:val="clear" w:color="auto" w:fill="FFFFFF"/>
          <w:lang w:eastAsia="zh-CN"/>
        </w:rPr>
        <w:t xml:space="preserve"> </w:t>
      </w:r>
    </w:p>
    <w:p w14:paraId="0B4FAE14" w14:textId="532BBCFD" w:rsidR="00262598" w:rsidRDefault="00262598" w:rsidP="00CB5D9E">
      <w:pPr>
        <w:pStyle w:val="Heading3"/>
      </w:pPr>
      <w:r>
        <w:lastRenderedPageBreak/>
        <w:t>1</w:t>
      </w:r>
    </w:p>
    <w:p w14:paraId="0AD5F7E1" w14:textId="77777777" w:rsidR="00262598" w:rsidRDefault="00262598" w:rsidP="00262598">
      <w:pPr>
        <w:pStyle w:val="Heading4"/>
      </w:pPr>
      <w:r>
        <w:t>Interpretation: debaters must read their plan text as written on their documents</w:t>
      </w:r>
    </w:p>
    <w:p w14:paraId="4D933892" w14:textId="77777777" w:rsidR="00262598" w:rsidRDefault="00262598" w:rsidP="00262598">
      <w:pPr>
        <w:pStyle w:val="Heading4"/>
      </w:pPr>
      <w:r>
        <w:t>Violation: You didn’t.</w:t>
      </w:r>
    </w:p>
    <w:p w14:paraId="23EE1DF8" w14:textId="77777777" w:rsidR="00262598" w:rsidRDefault="00262598" w:rsidP="00262598">
      <w:pPr>
        <w:pStyle w:val="Heading4"/>
        <w:rPr>
          <w:lang w:eastAsia="zh-CN"/>
        </w:rPr>
      </w:pPr>
      <w:r>
        <w:t xml:space="preserve">What you read: </w:t>
      </w:r>
      <w:r>
        <w:rPr>
          <w:rFonts w:hint="eastAsia"/>
          <w:lang w:eastAsia="zh-CN"/>
        </w:rPr>
        <w:t>我不知道我</w:t>
      </w:r>
      <w:r>
        <w:rPr>
          <w:rFonts w:ascii="Microsoft JhengHei" w:eastAsia="Microsoft JhengHei" w:hAnsi="Microsoft JhengHei" w:cs="Microsoft JhengHei" w:hint="eastAsia"/>
          <w:lang w:eastAsia="zh-CN"/>
        </w:rPr>
        <w:t>说</w:t>
      </w:r>
      <w:r>
        <w:rPr>
          <w:rFonts w:hint="eastAsia"/>
          <w:lang w:eastAsia="zh-CN"/>
        </w:rPr>
        <w:t>什么但是我很</w:t>
      </w:r>
      <w:r>
        <w:rPr>
          <w:rFonts w:ascii="Yu Gothic" w:eastAsia="Yu Gothic" w:hAnsi="Yu Gothic" w:cs="Yu Gothic" w:hint="eastAsia"/>
          <w:lang w:eastAsia="zh-CN"/>
        </w:rPr>
        <w:t>厉</w:t>
      </w:r>
      <w:r>
        <w:rPr>
          <w:rFonts w:hint="eastAsia"/>
          <w:lang w:eastAsia="zh-CN"/>
        </w:rPr>
        <w:t>害。</w:t>
      </w:r>
    </w:p>
    <w:p w14:paraId="01008046" w14:textId="77777777" w:rsidR="00262598" w:rsidRDefault="00262598" w:rsidP="00262598">
      <w:pPr>
        <w:pStyle w:val="Heading4"/>
        <w:rPr>
          <w:lang w:eastAsia="zh-CN"/>
        </w:rPr>
      </w:pPr>
      <w:r>
        <w:rPr>
          <w:lang w:eastAsia="zh-CN"/>
        </w:rPr>
        <w:t xml:space="preserve">Written on the document: </w:t>
      </w:r>
      <w:r w:rsidRPr="00CB7272">
        <w:rPr>
          <w:rFonts w:hint="eastAsia"/>
          <w:lang w:eastAsia="zh-CN"/>
        </w:rPr>
        <w:t>已解决：世界</w:t>
      </w:r>
      <w:r w:rsidRPr="00CB7272">
        <w:rPr>
          <w:rFonts w:ascii="Microsoft JhengHei" w:eastAsia="Microsoft JhengHei" w:hAnsi="Microsoft JhengHei" w:cs="Microsoft JhengHei" w:hint="eastAsia"/>
          <w:lang w:eastAsia="zh-CN"/>
        </w:rPr>
        <w:t>贸</w:t>
      </w:r>
      <w:r w:rsidRPr="00CB7272">
        <w:rPr>
          <w:rFonts w:hint="eastAsia"/>
          <w:lang w:eastAsia="zh-CN"/>
        </w:rPr>
        <w:t>易</w:t>
      </w:r>
      <w:r w:rsidRPr="00CB7272">
        <w:rPr>
          <w:rFonts w:ascii="Microsoft JhengHei" w:eastAsia="Microsoft JhengHei" w:hAnsi="Microsoft JhengHei" w:cs="Microsoft JhengHei" w:hint="eastAsia"/>
          <w:lang w:eastAsia="zh-CN"/>
        </w:rPr>
        <w:t>组织</w:t>
      </w:r>
      <w:r w:rsidRPr="00CB7272">
        <w:rPr>
          <w:rFonts w:hint="eastAsia"/>
          <w:lang w:eastAsia="zh-CN"/>
        </w:rPr>
        <w:t>成</w:t>
      </w:r>
      <w:r w:rsidRPr="00CB7272">
        <w:rPr>
          <w:rFonts w:ascii="Microsoft JhengHei" w:eastAsia="Microsoft JhengHei" w:hAnsi="Microsoft JhengHei" w:cs="Microsoft JhengHei" w:hint="eastAsia"/>
          <w:lang w:eastAsia="zh-CN"/>
        </w:rPr>
        <w:t>员</w:t>
      </w:r>
      <w:r w:rsidRPr="00CB7272">
        <w:rPr>
          <w:rFonts w:hint="eastAsia"/>
          <w:lang w:eastAsia="zh-CN"/>
        </w:rPr>
        <w:t>国</w:t>
      </w:r>
      <w:r w:rsidRPr="00CB7272">
        <w:rPr>
          <w:rFonts w:ascii="Microsoft JhengHei" w:eastAsia="Microsoft JhengHei" w:hAnsi="Microsoft JhengHei" w:cs="Microsoft JhengHei" w:hint="eastAsia"/>
          <w:lang w:eastAsia="zh-CN"/>
        </w:rPr>
        <w:t>应该</w:t>
      </w:r>
      <w:r w:rsidRPr="00CB7272">
        <w:rPr>
          <w:rFonts w:hint="eastAsia"/>
          <w:lang w:eastAsia="zh-CN"/>
        </w:rPr>
        <w:t>减少</w:t>
      </w:r>
      <w:r w:rsidRPr="00CB7272">
        <w:rPr>
          <w:rFonts w:ascii="Microsoft JhengHei" w:eastAsia="Microsoft JhengHei" w:hAnsi="Microsoft JhengHei" w:cs="Microsoft JhengHei" w:hint="eastAsia"/>
          <w:lang w:eastAsia="zh-CN"/>
        </w:rPr>
        <w:t>对药</w:t>
      </w:r>
      <w:r w:rsidRPr="00CB7272">
        <w:rPr>
          <w:rFonts w:hint="eastAsia"/>
          <w:lang w:eastAsia="zh-CN"/>
        </w:rPr>
        <w:t>品的知</w:t>
      </w:r>
      <w:r w:rsidRPr="00CB7272">
        <w:rPr>
          <w:rFonts w:ascii="Microsoft JhengHei" w:eastAsia="Microsoft JhengHei" w:hAnsi="Microsoft JhengHei" w:cs="Microsoft JhengHei" w:hint="eastAsia"/>
          <w:lang w:eastAsia="zh-CN"/>
        </w:rPr>
        <w:t>识产</w:t>
      </w:r>
      <w:r w:rsidRPr="00CB7272">
        <w:rPr>
          <w:rFonts w:ascii="Yu Gothic" w:eastAsia="Yu Gothic" w:hAnsi="Yu Gothic" w:cs="Yu Gothic" w:hint="eastAsia"/>
          <w:lang w:eastAsia="zh-CN"/>
        </w:rPr>
        <w:t>权</w:t>
      </w:r>
      <w:r w:rsidRPr="00CB7272">
        <w:rPr>
          <w:rFonts w:hint="eastAsia"/>
          <w:lang w:eastAsia="zh-CN"/>
        </w:rPr>
        <w:t>保</w:t>
      </w:r>
      <w:r w:rsidRPr="00CB7272">
        <w:rPr>
          <w:rFonts w:ascii="Microsoft JhengHei" w:eastAsia="Microsoft JhengHei" w:hAnsi="Microsoft JhengHei" w:cs="Microsoft JhengHei" w:hint="eastAsia"/>
          <w:lang w:eastAsia="zh-CN"/>
        </w:rPr>
        <w:t>护</w:t>
      </w:r>
      <w:r w:rsidRPr="00CB7272">
        <w:rPr>
          <w:rFonts w:hint="eastAsia"/>
          <w:lang w:eastAsia="zh-CN"/>
        </w:rPr>
        <w:t>。</w:t>
      </w:r>
    </w:p>
    <w:p w14:paraId="0B45B45B" w14:textId="77777777" w:rsidR="00262598" w:rsidRDefault="00262598" w:rsidP="00262598">
      <w:pPr>
        <w:pStyle w:val="Heading4"/>
      </w:pPr>
      <w:r>
        <w:t xml:space="preserve">1] </w:t>
      </w:r>
      <w:r>
        <w:rPr>
          <w:u w:val="single"/>
        </w:rPr>
        <w:t>Shiftiness</w:t>
      </w:r>
      <w:r>
        <w:t>-They can shift around their advocacy and justify different versions since it’s not set. CX doesn’t solve A] Not flowed B] skews all preround prep C] they can proactively lie or be shady</w:t>
      </w:r>
    </w:p>
    <w:p w14:paraId="0C24C002" w14:textId="77777777" w:rsidR="00262598" w:rsidRDefault="00262598" w:rsidP="00262598">
      <w:pPr>
        <w:pStyle w:val="Heading4"/>
      </w:pPr>
      <w:r>
        <w:t>2] Fairness: The only way to maintain substance is if the plan is in English, which everyone debating is required to understand. Alt args not topical.</w:t>
      </w:r>
    </w:p>
    <w:p w14:paraId="78E6CD80" w14:textId="77777777" w:rsidR="00262598" w:rsidRDefault="00262598" w:rsidP="00262598">
      <w:pPr>
        <w:pStyle w:val="Heading4"/>
      </w:pPr>
      <w:r>
        <w:t xml:space="preserve">3] Safety: If I don’t understand your language, you could be reading scarring or abusive arguments that I wouldn’t understand until after the round. </w:t>
      </w:r>
    </w:p>
    <w:p w14:paraId="4966959B" w14:textId="77777777" w:rsidR="00262598" w:rsidRDefault="00262598" w:rsidP="00262598">
      <w:pPr>
        <w:pStyle w:val="Heading4"/>
      </w:pPr>
      <w:r>
        <w:t>Fairness is a voter because the judge needs to evaluate the better debater.</w:t>
      </w:r>
    </w:p>
    <w:p w14:paraId="7F864554" w14:textId="77777777" w:rsidR="00262598" w:rsidRDefault="00262598" w:rsidP="00262598">
      <w:pPr>
        <w:pStyle w:val="Heading4"/>
      </w:pPr>
      <w:r>
        <w:t>Education is a voter because it’s the only portable impact</w:t>
      </w:r>
    </w:p>
    <w:p w14:paraId="5D1EA88A" w14:textId="77777777" w:rsidR="00262598" w:rsidRDefault="00262598" w:rsidP="00262598">
      <w:pPr>
        <w:pStyle w:val="Heading4"/>
      </w:pPr>
      <w:r>
        <w:t>Drop the debater to deter future abuse since it’s the most severe form of punishment</w:t>
      </w:r>
    </w:p>
    <w:p w14:paraId="7C34AE3D" w14:textId="77777777" w:rsidR="00262598" w:rsidRDefault="00262598" w:rsidP="00262598">
      <w:pPr>
        <w:pStyle w:val="Heading4"/>
      </w:pPr>
      <w:r>
        <w:t>No RVIs 1) its illogical you don’t win by proving that you’re fair 2) encourages abusive args where debaters bait the RVI to win</w:t>
      </w:r>
    </w:p>
    <w:p w14:paraId="0C0D60E2" w14:textId="77777777" w:rsidR="00262598" w:rsidRDefault="00262598" w:rsidP="00262598">
      <w:pPr>
        <w:pStyle w:val="Heading4"/>
      </w:pPr>
      <w:r>
        <w:t>Use competing interps it creates a race to the top so we set the best norms</w:t>
      </w:r>
    </w:p>
    <w:p w14:paraId="784A885A" w14:textId="77777777" w:rsidR="00262598" w:rsidRDefault="00262598" w:rsidP="00262598">
      <w:pPr>
        <w:pStyle w:val="Heading4"/>
      </w:pPr>
      <w:r>
        <w:t>NC theory outweighs – 1] norming 2] aff abuse frames neg</w:t>
      </w:r>
    </w:p>
    <w:p w14:paraId="5E5DE51F" w14:textId="77777777" w:rsidR="00262598" w:rsidRPr="00EB7B98" w:rsidRDefault="00262598" w:rsidP="00262598">
      <w:pPr>
        <w:pStyle w:val="Heading4"/>
      </w:pPr>
      <w:r>
        <w:t>1AR theory outweighs – 1] prevents infinite abuse 2] time skew</w:t>
      </w:r>
    </w:p>
    <w:p w14:paraId="05A47A4B" w14:textId="60DA287B" w:rsidR="00CB5D9E" w:rsidRDefault="00262598" w:rsidP="00CB5D9E">
      <w:pPr>
        <w:pStyle w:val="Heading3"/>
      </w:pPr>
      <w:r>
        <w:lastRenderedPageBreak/>
        <w:t>2</w:t>
      </w:r>
    </w:p>
    <w:p w14:paraId="37FA7451" w14:textId="77777777" w:rsidR="00CB5D9E" w:rsidRPr="00AE3F77" w:rsidRDefault="00CB5D9E" w:rsidP="00CB5D9E">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1E4D1ECB" w14:textId="77777777" w:rsidR="00CB5D9E" w:rsidRPr="006948C8" w:rsidRDefault="00CB5D9E" w:rsidP="00CB5D9E">
      <w:pPr>
        <w:spacing w:after="0" w:line="240" w:lineRule="auto"/>
        <w:rPr>
          <w:color w:val="000000" w:themeColor="text1"/>
          <w:szCs w:val="16"/>
        </w:rPr>
      </w:pPr>
      <w:r w:rsidRPr="006948C8">
        <w:rPr>
          <w:b/>
          <w:bCs/>
          <w:color w:val="000000" w:themeColor="text1"/>
          <w:sz w:val="26"/>
          <w:szCs w:val="26"/>
        </w:rPr>
        <w:t>Mollow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0FA323A5" w14:textId="77777777" w:rsidR="00CB5D9E" w:rsidRPr="006948C8" w:rsidRDefault="00CB5D9E" w:rsidP="00CB5D9E">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enter into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one’s self. </w:t>
      </w:r>
      <w:r w:rsidRPr="00AE3F77">
        <w:rPr>
          <w:rStyle w:val="Emphasis"/>
          <w:color w:val="000000" w:themeColor="text1"/>
        </w:rPr>
        <w:t>This affective response can feel unbearable, as seen in Siebers’s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r>
        <w:rPr>
          <w:color w:val="000000" w:themeColor="text1"/>
          <w:sz w:val="14"/>
        </w:rPr>
        <w:t>x</w:t>
      </w:r>
      <w:r w:rsidRPr="006948C8">
        <w:rPr>
          <w:color w:val="000000" w:themeColor="text1"/>
          <w:sz w:val="14"/>
        </w:rPr>
        <w:t xml:space="preserve">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09B38E0" w14:textId="77777777" w:rsidR="00CB5D9E" w:rsidRPr="0038556A" w:rsidRDefault="00CB5D9E" w:rsidP="00CB5D9E">
      <w:pPr>
        <w:pStyle w:val="Heading4"/>
        <w:rPr>
          <w:rFonts w:cs="Calibri"/>
          <w:color w:val="000000" w:themeColor="text1"/>
        </w:rPr>
      </w:pPr>
      <w:r>
        <w:rPr>
          <w:rFonts w:cs="Calibri"/>
          <w:color w:val="000000" w:themeColor="text1"/>
        </w:rPr>
        <w:t>The affirmatives optimistic hope of a better future is complicit in rehabilitative futurism, as the disabled object is seen through a lens of nonproduction – this discludes disability from the political and notions of reformism. They don’t get to weigh case – if we win their starting point is violent then they shouldn’t be able to weigh their endpoint.</w:t>
      </w:r>
    </w:p>
    <w:p w14:paraId="5DE1AB3C" w14:textId="77777777" w:rsidR="00CB5D9E" w:rsidRPr="006948C8" w:rsidRDefault="00CB5D9E" w:rsidP="00CB5D9E">
      <w:pPr>
        <w:spacing w:after="0" w:line="240" w:lineRule="auto"/>
        <w:rPr>
          <w:color w:val="000000" w:themeColor="text1"/>
          <w:szCs w:val="16"/>
        </w:rPr>
      </w:pPr>
      <w:r w:rsidRPr="006948C8">
        <w:rPr>
          <w:b/>
          <w:bCs/>
          <w:color w:val="000000" w:themeColor="text1"/>
          <w:sz w:val="26"/>
          <w:szCs w:val="26"/>
        </w:rPr>
        <w:t>Mollow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3573100A" w14:textId="77777777" w:rsidR="00CB5D9E" w:rsidRDefault="00CB5D9E" w:rsidP="00CB5D9E">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ntersect with Edelman’s notion of “reproductive futurism.” If, as Edelman maintains, the future is envisaged in terms of a fantasmatic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60360E1F" w14:textId="77777777" w:rsidR="00F45466" w:rsidRPr="00B60288" w:rsidRDefault="00F45466" w:rsidP="00F45466">
      <w:pPr>
        <w:pStyle w:val="Heading4"/>
        <w:rPr>
          <w:rFonts w:cs="Calibri"/>
          <w:highlight w:val="green"/>
        </w:rPr>
      </w:pPr>
      <w:r w:rsidRPr="006948C8">
        <w:rPr>
          <w:rFonts w:cs="Calibri"/>
        </w:rPr>
        <w:lastRenderedPageBreak/>
        <w:t xml:space="preserve">The </w:t>
      </w:r>
      <w:r>
        <w:rPr>
          <w:rFonts w:cs="Calibri"/>
        </w:rPr>
        <w:t>1ACs</w:t>
      </w:r>
      <w:r w:rsidRPr="006948C8">
        <w:rPr>
          <w:rFonts w:cs="Calibri"/>
        </w:rPr>
        <w:t xml:space="preserve"> focus on epistemic performativity erases the material conditions of disability </w:t>
      </w:r>
    </w:p>
    <w:p w14:paraId="14C8B506" w14:textId="77777777" w:rsidR="00F45466" w:rsidRPr="00A461B5" w:rsidRDefault="00F45466" w:rsidP="00F45466">
      <w:pPr>
        <w:rPr>
          <w:bCs/>
          <w:sz w:val="26"/>
          <w:u w:val="single"/>
        </w:rPr>
      </w:pPr>
      <w:r w:rsidRPr="006948C8">
        <w:rPr>
          <w:rStyle w:val="Style13ptBold"/>
        </w:rPr>
        <w:t xml:space="preserve">Siebers 6 </w:t>
      </w:r>
      <w:r w:rsidRPr="00A461B5">
        <w:rPr>
          <w:bCs/>
        </w:rPr>
        <w:t>(Tobin, Prof of Literary and Cultural Criticism at the U of Michigan, “Disability Studies and the Future of Identity Politics”) DR 16</w:t>
      </w:r>
    </w:p>
    <w:p w14:paraId="0A7FB456" w14:textId="7EF805B5" w:rsidR="00F45466" w:rsidRPr="00F45466" w:rsidRDefault="00F45466" w:rsidP="00F45466">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“indeterminancy”</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disability are immaterial as long as the imagination is free</w:t>
      </w:r>
      <w:r w:rsidRPr="00A461B5">
        <w:rPr>
          <w:b/>
          <w:sz w:val="26"/>
          <w:szCs w:val="26"/>
          <w:u w:val="single"/>
        </w:rPr>
        <w:t xml:space="preserve">. Doctors and medical professionals have the habit of coaxing sick people to cure </w:t>
      </w:r>
      <w:r w:rsidRPr="00A461B5">
        <w:rPr>
          <w:b/>
          <w:sz w:val="26"/>
          <w:szCs w:val="26"/>
          <w:u w:val="single"/>
        </w:rPr>
        <w:lastRenderedPageBreak/>
        <w:t>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1A3B1C83" w14:textId="3E92381E" w:rsidR="00CB5D9E" w:rsidRPr="006948C8" w:rsidRDefault="00CB5D9E" w:rsidP="00CB5D9E">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8C18F00" w14:textId="77777777" w:rsidR="00CB5D9E" w:rsidRPr="006948C8" w:rsidRDefault="00CB5D9E" w:rsidP="00CB5D9E">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6497E2CB" w14:textId="77777777" w:rsidR="00CB5D9E" w:rsidRPr="006948C8" w:rsidRDefault="00CB5D9E" w:rsidP="00CB5D9E">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w:t>
      </w:r>
      <w:r w:rsidRPr="006948C8">
        <w:rPr>
          <w:rStyle w:val="Emphasis"/>
        </w:rPr>
        <w:lastRenderedPageBreak/>
        <w:t>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31E45FE3" w14:textId="77777777" w:rsidR="00CB5D9E" w:rsidRPr="006948C8" w:rsidRDefault="00CB5D9E" w:rsidP="00CB5D9E">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213F4EA6" w14:textId="77777777" w:rsidR="00CB5D9E" w:rsidRPr="006948C8" w:rsidRDefault="00CB5D9E" w:rsidP="00CB5D9E">
      <w:r w:rsidRPr="006948C8">
        <w:rPr>
          <w:rFonts w:eastAsiaTheme="majorEastAsia"/>
          <w:b/>
          <w:bCs/>
          <w:sz w:val="26"/>
          <w:szCs w:val="26"/>
        </w:rPr>
        <w:t>Selck 16</w:t>
      </w:r>
      <w:r w:rsidRPr="006948C8">
        <w:t xml:space="preserve"> </w:t>
      </w:r>
      <w:r w:rsidRPr="006948C8">
        <w:rPr>
          <w:szCs w:val="16"/>
        </w:rPr>
        <w:t>Michael (2016): Crip Pessimism: The Language of Dis/ability and the Culture that Isn't, Southern Illinois University Carbondale, SJCP//JG</w:t>
      </w:r>
    </w:p>
    <w:p w14:paraId="14B8FF36" w14:textId="77777777" w:rsidR="00CB5D9E" w:rsidRPr="006948C8" w:rsidRDefault="00CB5D9E" w:rsidP="00CB5D9E">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w:t>
      </w:r>
      <w:r w:rsidRPr="006948C8">
        <w:rPr>
          <w:sz w:val="14"/>
        </w:rPr>
        <w:lastRenderedPageBreak/>
        <w:t xml:space="preserve">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w:t>
      </w:r>
      <w:r w:rsidRPr="006948C8">
        <w:rPr>
          <w:rStyle w:val="Emphasis"/>
        </w:rPr>
        <w:lastRenderedPageBreak/>
        <w:t>(Dienstag,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18238A58" w14:textId="77777777" w:rsidR="00CB5D9E" w:rsidRPr="006948C8" w:rsidRDefault="00CB5D9E" w:rsidP="00CB5D9E">
      <w:pPr>
        <w:pStyle w:val="Heading4"/>
        <w:rPr>
          <w:rFonts w:cs="Calibri"/>
        </w:rPr>
      </w:pPr>
      <w:r w:rsidRPr="006948C8">
        <w:rPr>
          <w:rFonts w:cs="Calibri"/>
        </w:rPr>
        <w:t>Psychoanalysis is both falsifiable and accurate – studies prove.</w:t>
      </w:r>
    </w:p>
    <w:p w14:paraId="267F0FA3" w14:textId="77777777" w:rsidR="00CB5D9E" w:rsidRPr="006948C8" w:rsidRDefault="00CB5D9E" w:rsidP="00CB5D9E">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387A67F" w14:textId="78345DE2" w:rsidR="00CB5D9E" w:rsidRDefault="00CB5D9E" w:rsidP="00CB5D9E">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116DAFB5" w14:textId="493CB898" w:rsidR="00CB5D9E" w:rsidRDefault="00CB5D9E" w:rsidP="00CB5D9E">
      <w:pPr>
        <w:pStyle w:val="Heading3"/>
      </w:pPr>
      <w:r>
        <w:lastRenderedPageBreak/>
        <w:t>Case</w:t>
      </w:r>
    </w:p>
    <w:p w14:paraId="5F5F2F9E" w14:textId="77777777" w:rsidR="00F45466" w:rsidRPr="00F34E58" w:rsidRDefault="00F45466" w:rsidP="00F45466">
      <w:pPr>
        <w:pStyle w:val="Heading4"/>
        <w:rPr>
          <w:rStyle w:val="Style13ptBold"/>
          <w:rFonts w:cs="Calibri"/>
          <w:b/>
          <w:color w:val="000000" w:themeColor="text1"/>
        </w:rPr>
      </w:pPr>
      <w:r w:rsidRPr="006948C8">
        <w:rPr>
          <w:rFonts w:cs="Calibri"/>
          <w:color w:val="000000" w:themeColor="text1"/>
        </w:rPr>
        <w:t xml:space="preserve">Disability controls proximate cause to and explains all other violence – </w:t>
      </w:r>
      <w:r>
        <w:rPr>
          <w:rFonts w:cs="Calibri"/>
          <w:color w:val="000000" w:themeColor="text1"/>
        </w:rPr>
        <w:t>exclusion is explained only through biological inferiority.</w:t>
      </w:r>
    </w:p>
    <w:p w14:paraId="61B2A5A0" w14:textId="77777777" w:rsidR="00F45466" w:rsidRDefault="00F45466" w:rsidP="00F45466">
      <w:r w:rsidRPr="002B4769">
        <w:rPr>
          <w:rStyle w:val="Style13ptBold"/>
        </w:rPr>
        <w:t xml:space="preserve">Siebers 9 </w:t>
      </w:r>
      <w:r w:rsidRPr="002B4769">
        <w:t>(Tobin Siebers, “The Aesthetics of Human Disqualification”, p. 5-8)</w:t>
      </w:r>
      <w:r>
        <w:t xml:space="preserve"> //Jia</w:t>
      </w:r>
    </w:p>
    <w:p w14:paraId="1D88D42D" w14:textId="77777777" w:rsidR="00F45466" w:rsidRPr="004D6FBA" w:rsidRDefault="00F45466" w:rsidP="00F45466">
      <w:pPr>
        <w:rPr>
          <w:rStyle w:val="Emphasis"/>
        </w:rPr>
      </w:pPr>
      <w:r w:rsidRPr="004401A9">
        <w:rPr>
          <w:rStyle w:val="Emphasis"/>
        </w:rPr>
        <w:t xml:space="preserve">The </w:t>
      </w:r>
      <w:r w:rsidRPr="004401A9">
        <w:rPr>
          <w:rStyle w:val="Emphasis"/>
          <w:highlight w:val="green"/>
        </w:rPr>
        <w:t>appearance of lesser mental and physical abilities</w:t>
      </w:r>
      <w:r w:rsidRPr="004401A9">
        <w:rPr>
          <w:rStyle w:val="Emphasis"/>
        </w:rPr>
        <w:t xml:space="preserve"> </w:t>
      </w:r>
      <w:r w:rsidRPr="004401A9">
        <w:rPr>
          <w:rStyle w:val="Emphasis"/>
          <w:highlight w:val="green"/>
        </w:rPr>
        <w:t>disqualifies people</w:t>
      </w:r>
      <w:r w:rsidRPr="004401A9">
        <w:rPr>
          <w:rStyle w:val="Emphasis"/>
        </w:rPr>
        <w:t xml:space="preserve"> as inferior </w:t>
      </w:r>
      <w:r w:rsidRPr="004401A9">
        <w:rPr>
          <w:rStyle w:val="Emphasis"/>
          <w:highlight w:val="green"/>
        </w:rPr>
        <w:t>and justifies</w:t>
      </w:r>
      <w:r w:rsidRPr="004401A9">
        <w:rPr>
          <w:rStyle w:val="Emphasis"/>
        </w:rPr>
        <w:t xml:space="preserve"> their </w:t>
      </w:r>
      <w:r w:rsidRPr="004401A9">
        <w:rPr>
          <w:rStyle w:val="Emphasis"/>
          <w:highlight w:val="green"/>
        </w:rPr>
        <w:t>oppressio</w:t>
      </w:r>
      <w:r w:rsidRPr="004401A9">
        <w:rPr>
          <w:rStyle w:val="Emphasis"/>
        </w:rPr>
        <w:t xml:space="preserve">n. It is now possible to recognize </w:t>
      </w:r>
      <w:r w:rsidRPr="004401A9">
        <w:rPr>
          <w:rStyle w:val="Emphasis"/>
          <w:highlight w:val="green"/>
        </w:rPr>
        <w:t>disability as a trope</w:t>
      </w:r>
      <w:r w:rsidRPr="004401A9">
        <w:rPr>
          <w:rStyle w:val="Emphasis"/>
        </w:rPr>
        <w:t xml:space="preserve"> used </w:t>
      </w:r>
      <w:r w:rsidRPr="004401A9">
        <w:rPr>
          <w:rStyle w:val="Emphasis"/>
          <w:highlight w:val="green"/>
        </w:rPr>
        <w:t>to posit</w:t>
      </w:r>
      <w:r w:rsidRPr="004401A9">
        <w:rPr>
          <w:rStyle w:val="Emphasis"/>
        </w:rPr>
        <w:t xml:space="preserve"> </w:t>
      </w:r>
      <w:r w:rsidRPr="004401A9">
        <w:rPr>
          <w:rStyle w:val="Emphasis"/>
          <w:highlight w:val="green"/>
        </w:rPr>
        <w:t>the inferiority of</w:t>
      </w:r>
      <w:r w:rsidRPr="004401A9">
        <w:rPr>
          <w:rStyle w:val="Emphasis"/>
        </w:rPr>
        <w:t xml:space="preserve"> certain </w:t>
      </w:r>
      <w:r w:rsidRPr="004401A9">
        <w:rPr>
          <w:rStyle w:val="Emphasis"/>
          <w:highlight w:val="green"/>
        </w:rPr>
        <w:t>minority populations</w:t>
      </w:r>
      <w:r w:rsidRPr="004401A9">
        <w:t xml:space="preserve">, but it remains extremely difficult to understand that mental and physical markers of inferiority are also tropes placed in the service of disability oppression. Before disability can be used as a disqualifier, disability, too, has to be disqualified. </w:t>
      </w:r>
      <w:r w:rsidRPr="004401A9">
        <w:rPr>
          <w:rStyle w:val="Emphasis"/>
        </w:rPr>
        <w:t xml:space="preserve">Beneath the troping of blackness as inbuilt inferiority, for example, lies the troping of disability as inferior. Beneath the troping of femininity as biological deficiency lies the troping of disability as deficiency. The mental and physical properties of bodies become the natural </w:t>
      </w:r>
      <w:r w:rsidRPr="004401A9">
        <w:rPr>
          <w:rStyle w:val="Emphasis"/>
          <w:highlight w:val="green"/>
        </w:rPr>
        <w:t>symbols of inferiority</w:t>
      </w:r>
      <w:r w:rsidRPr="004401A9">
        <w:rPr>
          <w:rStyle w:val="Emphasis"/>
        </w:rPr>
        <w:t xml:space="preserve"> via a process of disqualification that </w:t>
      </w:r>
      <w:r w:rsidRPr="004401A9">
        <w:rPr>
          <w:rStyle w:val="Emphasis"/>
          <w:highlight w:val="green"/>
        </w:rPr>
        <w:t>seem</w:t>
      </w:r>
      <w:r w:rsidRPr="004401A9">
        <w:rPr>
          <w:rStyle w:val="Emphasis"/>
        </w:rPr>
        <w:t xml:space="preserve">s </w:t>
      </w:r>
      <w:r w:rsidRPr="004401A9">
        <w:rPr>
          <w:rStyle w:val="Emphasis"/>
          <w:highlight w:val="green"/>
        </w:rPr>
        <w:t>biological, not cultural</w:t>
      </w:r>
      <w:r w:rsidRPr="004401A9">
        <w:rPr>
          <w:rStyle w:val="Emphasis"/>
        </w:rPr>
        <w:t>—which is why disability discrimination seems to be a medical rather than a social problem.</w:t>
      </w:r>
      <w:r w:rsidRPr="004401A9">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bodies make other bodies feel. Bodies, minimally defined, are what appear in the world. They involve manifestations of physical appearance,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feelings produced in bodies by other bodies are involuntary, as if they represented a form of unconscious communication between bodies,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w:t>
      </w:r>
      <w:r w:rsidRPr="004401A9">
        <w:rPr>
          <w:rStyle w:val="Emphasis"/>
        </w:rPr>
        <w:t>Of course, when bodies produce feelings of pleasure or pain, they also invite judgments about whether they should be accepted or rejected in the human community.</w:t>
      </w:r>
      <w:r w:rsidRPr="004401A9">
        <w:t xml:space="preserve"> </w:t>
      </w:r>
      <w:r w:rsidRPr="004401A9">
        <w:rPr>
          <w:rStyle w:val="Emphasis"/>
        </w:rPr>
        <w:t>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Disabled people, but also sex workers, gay, lesbian, bisexual, and transgendered people, and people of color, are tortured and killed because of beliefs about their relationship to pain and pleasure (Siebers 2009)</w:t>
      </w:r>
      <w:r w:rsidRPr="004401A9">
        <w:t>. This is why aesthetic disqualification is not merely a matter for art critics or museum directors but a political process of concern to us all. An understanding of aesthetics is crucial because it reveals the operative principles of disqualification used in minority oppression. Oppression is the systematic victimization of one group by another. It is a form of intergroup violence. That oppression involves “groups,” and not “individuals,” means that it concerns identities, and this means, furthermore</w:t>
      </w:r>
      <w:r w:rsidRPr="004401A9">
        <w:rPr>
          <w:rStyle w:val="Emphasis"/>
        </w:rPr>
        <w:t xml:space="preserve">, that oppression always focuses on how the body appears, both on how it appears as a public and physical presence and on its specific and various appearances. Oppression is </w:t>
      </w:r>
      <w:r w:rsidRPr="00682160">
        <w:rPr>
          <w:rStyle w:val="Emphasis"/>
          <w:highlight w:val="green"/>
        </w:rPr>
        <w:t>justified</w:t>
      </w:r>
      <w:r w:rsidRPr="004401A9">
        <w:rPr>
          <w:rStyle w:val="Emphasis"/>
        </w:rPr>
        <w:t xml:space="preserve"> most often </w:t>
      </w:r>
      <w:r w:rsidRPr="00682160">
        <w:rPr>
          <w:rStyle w:val="Emphasis"/>
          <w:highlight w:val="green"/>
        </w:rPr>
        <w:t>by</w:t>
      </w:r>
      <w:r w:rsidRPr="004401A9">
        <w:rPr>
          <w:rStyle w:val="Emphasis"/>
        </w:rPr>
        <w:t xml:space="preserve"> the attribution of </w:t>
      </w:r>
      <w:r w:rsidRPr="00682160">
        <w:rPr>
          <w:rStyle w:val="Emphasis"/>
          <w:highlight w:val="green"/>
        </w:rPr>
        <w:t>natural inferiority</w:t>
      </w:r>
      <w:r w:rsidRPr="004401A9">
        <w:rPr>
          <w:rStyle w:val="Emphasis"/>
        </w:rPr>
        <w:t xml:space="preserve">—what some call “in-built” </w:t>
      </w:r>
      <w:r w:rsidRPr="00682160">
        <w:rPr>
          <w:rStyle w:val="Emphasis"/>
          <w:highlight w:val="green"/>
        </w:rPr>
        <w:t>or “biological” inferiority</w:t>
      </w:r>
      <w:r w:rsidRPr="004401A9">
        <w:rPr>
          <w:rStyle w:val="Emphasis"/>
        </w:rPr>
        <w:t>. Natural inferiority is always somatic, focusing on the mental and physical features of the group, and it figures as disability</w:t>
      </w:r>
      <w:r w:rsidRPr="004401A9">
        <w:t xml:space="preserve">. </w:t>
      </w:r>
      <w:r w:rsidRPr="004401A9">
        <w:rPr>
          <w:rStyle w:val="Emphasis"/>
        </w:rPr>
        <w:t>The prototype of biological inferiority is disability.</w:t>
      </w:r>
      <w:r w:rsidRPr="004401A9">
        <w:t xml:space="preserve"> The </w:t>
      </w:r>
      <w:r w:rsidRPr="004401A9">
        <w:rPr>
          <w:rStyle w:val="Emphasis"/>
        </w:rPr>
        <w:t>representation of inferiority always comes back to the appearance of the body and the way the body makes other bodies feel.</w:t>
      </w:r>
      <w:r w:rsidRPr="004401A9">
        <w:t xml:space="preserve"> This is why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w:t>
      </w:r>
      <w:r w:rsidRPr="004401A9">
        <w:lastRenderedPageBreak/>
        <w:t>disqualification</w:t>
      </w:r>
      <w:r w:rsidRPr="004401A9">
        <w:rPr>
          <w:rStyle w:val="Emphasis"/>
        </w:rPr>
        <w:t>, it is not a matter of reducing other minority identities to disability identity. Rather, it is a matter of understanding the work done by disability in oppressive systems.</w:t>
      </w:r>
      <w:r w:rsidRPr="004401A9">
        <w:t xml:space="preserve"> In disability oppression, the physical and mental properties of the body are socially constructed as disqualifying defects, but this specific type of social construction happens to be integral at the present moment to the symbolic requirements of oppression in general. In every oppressive system of our day, </w:t>
      </w:r>
      <w:r w:rsidRPr="004401A9">
        <w:rPr>
          <w:rStyle w:val="Emphasis"/>
        </w:rPr>
        <w:t xml:space="preserve">I want to claim, </w:t>
      </w:r>
      <w:r w:rsidRPr="00682160">
        <w:rPr>
          <w:rStyle w:val="Emphasis"/>
          <w:highlight w:val="green"/>
        </w:rPr>
        <w:t>the oppressed identity is</w:t>
      </w:r>
      <w:r w:rsidRPr="004401A9">
        <w:rPr>
          <w:rStyle w:val="Emphasis"/>
        </w:rPr>
        <w:t xml:space="preserve"> represented </w:t>
      </w:r>
      <w:r w:rsidRPr="00682160">
        <w:rPr>
          <w:rStyle w:val="Emphasis"/>
          <w:highlight w:val="green"/>
        </w:rPr>
        <w:t>in some way</w:t>
      </w:r>
      <w:r w:rsidRPr="004401A9">
        <w:rPr>
          <w:rStyle w:val="Emphasis"/>
        </w:rPr>
        <w:t xml:space="preserve"> as </w:t>
      </w:r>
      <w:r w:rsidRPr="00682160">
        <w:rPr>
          <w:rStyle w:val="Emphasis"/>
          <w:highlight w:val="green"/>
        </w:rPr>
        <w:t>disabled</w:t>
      </w:r>
      <w:r w:rsidRPr="004401A9">
        <w:rPr>
          <w:rStyle w:val="Emphasis"/>
        </w:rPr>
        <w:t>, and although it is hard to understand, the same process obtains when disability is the oppressed identity. “</w:t>
      </w:r>
      <w:r w:rsidRPr="00682160">
        <w:rPr>
          <w:rStyle w:val="Emphasis"/>
          <w:highlight w:val="green"/>
        </w:rPr>
        <w:t>Racism</w:t>
      </w:r>
      <w:r w:rsidRPr="004401A9">
        <w:rPr>
          <w:rStyle w:val="Emphasis"/>
        </w:rPr>
        <w:t xml:space="preserve">” disqualifies on the basis of race, providing </w:t>
      </w:r>
      <w:r w:rsidRPr="00682160">
        <w:rPr>
          <w:rStyle w:val="Emphasis"/>
          <w:highlight w:val="green"/>
        </w:rPr>
        <w:t>justification for</w:t>
      </w:r>
      <w:r w:rsidRPr="004401A9">
        <w:rPr>
          <w:rStyle w:val="Emphasis"/>
        </w:rPr>
        <w:t xml:space="preserve"> the </w:t>
      </w:r>
      <w:r w:rsidRPr="00682160">
        <w:rPr>
          <w:rStyle w:val="Emphasis"/>
          <w:highlight w:val="green"/>
        </w:rPr>
        <w:t>inferiority of</w:t>
      </w:r>
      <w:r w:rsidRPr="004401A9">
        <w:rPr>
          <w:rStyle w:val="Emphasis"/>
        </w:rPr>
        <w:t xml:space="preserve"> certain </w:t>
      </w:r>
      <w:r w:rsidRPr="00682160">
        <w:rPr>
          <w:rStyle w:val="Emphasis"/>
          <w:highlight w:val="green"/>
        </w:rPr>
        <w:t>skin</w:t>
      </w:r>
      <w:r w:rsidRPr="004401A9">
        <w:rPr>
          <w:rStyle w:val="Emphasis"/>
        </w:rPr>
        <w:t xml:space="preserve"> colors, </w:t>
      </w:r>
      <w:r w:rsidRPr="00682160">
        <w:rPr>
          <w:rStyle w:val="Emphasis"/>
          <w:highlight w:val="green"/>
        </w:rPr>
        <w:t>bloodlines</w:t>
      </w:r>
      <w:r w:rsidRPr="004401A9">
        <w:rPr>
          <w:rStyle w:val="Emphasis"/>
        </w:rPr>
        <w:t xml:space="preserve">, </w:t>
      </w:r>
      <w:r w:rsidRPr="00682160">
        <w:rPr>
          <w:rStyle w:val="Emphasis"/>
          <w:highlight w:val="green"/>
        </w:rPr>
        <w:t>and</w:t>
      </w:r>
      <w:r w:rsidRPr="004401A9">
        <w:rPr>
          <w:rStyle w:val="Emphasis"/>
        </w:rPr>
        <w:t xml:space="preserve"> physical </w:t>
      </w:r>
      <w:r w:rsidRPr="00682160">
        <w:rPr>
          <w:rStyle w:val="Emphasis"/>
          <w:highlight w:val="green"/>
        </w:rPr>
        <w:t>features</w:t>
      </w:r>
      <w:r w:rsidRPr="004401A9">
        <w:rPr>
          <w:rStyle w:val="Emphasis"/>
        </w:rPr>
        <w:t>. “</w:t>
      </w:r>
      <w:r w:rsidRPr="00682160">
        <w:rPr>
          <w:rStyle w:val="Emphasis"/>
          <w:highlight w:val="green"/>
        </w:rPr>
        <w:t>Sexism</w:t>
      </w:r>
      <w:r w:rsidRPr="004401A9">
        <w:rPr>
          <w:rStyle w:val="Emphasis"/>
        </w:rPr>
        <w:t xml:space="preserve">” disqualifies </w:t>
      </w:r>
      <w:r w:rsidRPr="00682160">
        <w:rPr>
          <w:rStyle w:val="Emphasis"/>
          <w:highlight w:val="green"/>
        </w:rPr>
        <w:t>on</w:t>
      </w:r>
      <w:r w:rsidRPr="004401A9">
        <w:rPr>
          <w:rStyle w:val="Emphasis"/>
        </w:rPr>
        <w:t xml:space="preserve"> the basis of sex/</w:t>
      </w:r>
      <w:r w:rsidRPr="00682160">
        <w:rPr>
          <w:rStyle w:val="Emphasis"/>
          <w:highlight w:val="green"/>
        </w:rPr>
        <w:t>gender as</w:t>
      </w:r>
      <w:r w:rsidRPr="004401A9">
        <w:rPr>
          <w:rStyle w:val="Emphasis"/>
        </w:rPr>
        <w:t xml:space="preserve"> a direct </w:t>
      </w:r>
      <w:r w:rsidRPr="00682160">
        <w:rPr>
          <w:rStyle w:val="Emphasis"/>
          <w:highlight w:val="green"/>
        </w:rPr>
        <w:t>representation of mental and physical inferiority</w:t>
      </w:r>
      <w:r w:rsidRPr="004401A9">
        <w:rPr>
          <w:rStyle w:val="Emphasis"/>
        </w:rPr>
        <w:t>. “</w:t>
      </w:r>
      <w:r w:rsidRPr="00682160">
        <w:rPr>
          <w:rStyle w:val="Emphasis"/>
          <w:highlight w:val="green"/>
        </w:rPr>
        <w:t>Classism</w:t>
      </w:r>
      <w:r w:rsidRPr="004401A9">
        <w:rPr>
          <w:rStyle w:val="Emphasis"/>
        </w:rPr>
        <w:t xml:space="preserve">” disqualifies </w:t>
      </w:r>
      <w:r w:rsidRPr="00682160">
        <w:rPr>
          <w:rStyle w:val="Emphasis"/>
          <w:highlight w:val="green"/>
        </w:rPr>
        <w:t>on</w:t>
      </w:r>
      <w:r w:rsidRPr="004401A9">
        <w:rPr>
          <w:rStyle w:val="Emphasis"/>
        </w:rPr>
        <w:t xml:space="preserve"> the basis of </w:t>
      </w:r>
      <w:r w:rsidRPr="00682160">
        <w:rPr>
          <w:rStyle w:val="Emphasis"/>
          <w:highlight w:val="green"/>
        </w:rPr>
        <w:t>family</w:t>
      </w:r>
      <w:r w:rsidRPr="004401A9">
        <w:rPr>
          <w:rStyle w:val="Emphasis"/>
        </w:rPr>
        <w:t xml:space="preserve"> lineage </w:t>
      </w:r>
      <w:r w:rsidRPr="00682160">
        <w:rPr>
          <w:rStyle w:val="Emphasis"/>
          <w:highlight w:val="green"/>
        </w:rPr>
        <w:t>and</w:t>
      </w:r>
      <w:r w:rsidRPr="004401A9">
        <w:rPr>
          <w:rStyle w:val="Emphasis"/>
        </w:rPr>
        <w:t xml:space="preserve"> socioeconomic </w:t>
      </w:r>
      <w:r w:rsidRPr="00682160">
        <w:rPr>
          <w:rStyle w:val="Emphasis"/>
          <w:highlight w:val="green"/>
        </w:rPr>
        <w:t>power</w:t>
      </w:r>
      <w:r w:rsidRPr="004401A9">
        <w:rPr>
          <w:rStyle w:val="Emphasis"/>
        </w:rPr>
        <w:t xml:space="preserve"> as </w:t>
      </w:r>
      <w:r w:rsidRPr="00682160">
        <w:rPr>
          <w:rStyle w:val="Emphasis"/>
          <w:highlight w:val="green"/>
        </w:rPr>
        <w:t>proof of</w:t>
      </w:r>
      <w:r w:rsidRPr="004401A9">
        <w:rPr>
          <w:rStyle w:val="Emphasis"/>
        </w:rPr>
        <w:t xml:space="preserve"> inferior </w:t>
      </w:r>
      <w:r w:rsidRPr="00682160">
        <w:rPr>
          <w:rStyle w:val="Emphasis"/>
          <w:highlight w:val="green"/>
        </w:rPr>
        <w:t>gene</w:t>
      </w:r>
      <w:r w:rsidRPr="004401A9">
        <w:rPr>
          <w:rStyle w:val="Emphasis"/>
        </w:rPr>
        <w:t xml:space="preserve">alogical </w:t>
      </w:r>
      <w:r w:rsidRPr="00682160">
        <w:rPr>
          <w:rStyle w:val="Emphasis"/>
          <w:highlight w:val="green"/>
        </w:rPr>
        <w:t>s</w:t>
      </w:r>
      <w:r w:rsidRPr="004401A9">
        <w:rPr>
          <w:rStyle w:val="Emphasis"/>
        </w:rPr>
        <w:t>tatus. “Ableism” disqualifies on the basis of mental and physical differences, first selecting and then stigmatizing them as disabilities</w:t>
      </w:r>
      <w:r w:rsidRPr="004401A9">
        <w:t xml:space="preserve">. The </w:t>
      </w:r>
      <w:r w:rsidRPr="00682160">
        <w:t>oppressive system occults in each case the fact that the disqualified identity is socially constructed, a mere convention, representing signs of incompetence, weakness, or inferiority as undeniable facts of nature.</w:t>
      </w:r>
      <w:r w:rsidRPr="004401A9">
        <w:rPr>
          <w:rStyle w:val="Emphasis"/>
        </w:rPr>
        <w:t xml:space="preserve"> </w:t>
      </w:r>
    </w:p>
    <w:p w14:paraId="25408F27" w14:textId="77777777" w:rsidR="00F45466" w:rsidRPr="006948C8" w:rsidRDefault="00F45466" w:rsidP="00F45466">
      <w:pPr>
        <w:rPr>
          <w:color w:val="000000" w:themeColor="text1"/>
          <w:sz w:val="14"/>
        </w:rPr>
      </w:pPr>
    </w:p>
    <w:p w14:paraId="39828619" w14:textId="77777777" w:rsidR="00F45466" w:rsidRPr="00F45466" w:rsidRDefault="00F45466" w:rsidP="00F45466"/>
    <w:p w14:paraId="62162CF8" w14:textId="3DA83C64" w:rsidR="00294AA5" w:rsidRDefault="00294AA5" w:rsidP="00294AA5">
      <w:r>
        <w:t>You get 1AR theory but paradigm issues are contextual</w:t>
      </w:r>
    </w:p>
    <w:p w14:paraId="07C81D9C" w14:textId="19EC9E9B" w:rsidR="00294AA5" w:rsidRDefault="00294AA5" w:rsidP="00294AA5">
      <w:r>
        <w:t>[1] 7-6 skew means you’ll always have advantage</w:t>
      </w:r>
    </w:p>
    <w:p w14:paraId="23249249" w14:textId="02E6F58B" w:rsidR="00294AA5" w:rsidRDefault="00294AA5" w:rsidP="00294AA5">
      <w:r>
        <w:t>[2] 2ar persuasion you get the last speech which means judges are psychologically biased towards you</w:t>
      </w:r>
    </w:p>
    <w:p w14:paraId="7D11038F" w14:textId="08CA3A9E" w:rsidR="00294AA5" w:rsidRDefault="00294AA5" w:rsidP="00294AA5">
      <w:r>
        <w:t>[3] 2ar responses will be new which neccitates judge intervention which means giving us paradigm issues key to check</w:t>
      </w:r>
    </w:p>
    <w:p w14:paraId="10C28FF2" w14:textId="485C0D2E" w:rsidR="00294AA5" w:rsidRDefault="00294AA5" w:rsidP="00294AA5">
      <w:r>
        <w:t>No time skew – we both get the same speech times</w:t>
      </w:r>
    </w:p>
    <w:p w14:paraId="1318E84B" w14:textId="0A350910" w:rsidR="00294AA5" w:rsidRDefault="00294AA5" w:rsidP="00294AA5">
      <w:r>
        <w:t>2nr has to be split if u do a good job</w:t>
      </w:r>
    </w:p>
    <w:p w14:paraId="3D94539F" w14:textId="6E83149C" w:rsidR="00294AA5" w:rsidRDefault="00294AA5" w:rsidP="00294AA5">
      <w:r>
        <w:t>1ar strategic collpase can moot all the adv</w:t>
      </w:r>
    </w:p>
    <w:p w14:paraId="6816FDC1" w14:textId="77777777" w:rsidR="00A30D46" w:rsidRPr="00A30D46" w:rsidRDefault="00A30D46" w:rsidP="00A30D46"/>
    <w:p w14:paraId="18283740" w14:textId="77777777" w:rsidR="00C97999" w:rsidRPr="00C97999" w:rsidRDefault="00C97999" w:rsidP="00C97999"/>
    <w:p w14:paraId="396D82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D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A22"/>
    <w:rsid w:val="00117316"/>
    <w:rsid w:val="001209B4"/>
    <w:rsid w:val="001241CE"/>
    <w:rsid w:val="0014201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A9A"/>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D4"/>
    <w:rsid w:val="00262598"/>
    <w:rsid w:val="00267EBB"/>
    <w:rsid w:val="0027023B"/>
    <w:rsid w:val="00272F3F"/>
    <w:rsid w:val="00274EDB"/>
    <w:rsid w:val="0027729E"/>
    <w:rsid w:val="002843B2"/>
    <w:rsid w:val="00284ED6"/>
    <w:rsid w:val="00290C5A"/>
    <w:rsid w:val="00290C92"/>
    <w:rsid w:val="00291F39"/>
    <w:rsid w:val="00294AA5"/>
    <w:rsid w:val="0029647A"/>
    <w:rsid w:val="00296504"/>
    <w:rsid w:val="002B5511"/>
    <w:rsid w:val="002B7ACF"/>
    <w:rsid w:val="002E0643"/>
    <w:rsid w:val="002E392E"/>
    <w:rsid w:val="002E6BBC"/>
    <w:rsid w:val="002F1BA9"/>
    <w:rsid w:val="002F2D55"/>
    <w:rsid w:val="002F6E74"/>
    <w:rsid w:val="003106B3"/>
    <w:rsid w:val="0031385D"/>
    <w:rsid w:val="003171AB"/>
    <w:rsid w:val="003223B2"/>
    <w:rsid w:val="00322A67"/>
    <w:rsid w:val="00330E13"/>
    <w:rsid w:val="00335A23"/>
    <w:rsid w:val="00340707"/>
    <w:rsid w:val="00341C61"/>
    <w:rsid w:val="0035006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80B"/>
    <w:rsid w:val="006E6D0B"/>
    <w:rsid w:val="006F126E"/>
    <w:rsid w:val="006F32C9"/>
    <w:rsid w:val="006F3834"/>
    <w:rsid w:val="006F5693"/>
    <w:rsid w:val="006F5D4C"/>
    <w:rsid w:val="00717B01"/>
    <w:rsid w:val="007227D9"/>
    <w:rsid w:val="0072491F"/>
    <w:rsid w:val="00725598"/>
    <w:rsid w:val="007362A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87F"/>
    <w:rsid w:val="008266F9"/>
    <w:rsid w:val="008267E2"/>
    <w:rsid w:val="00826A9B"/>
    <w:rsid w:val="00834842"/>
    <w:rsid w:val="00840E7B"/>
    <w:rsid w:val="00852E8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6CF"/>
    <w:rsid w:val="008E414D"/>
    <w:rsid w:val="008E7A3E"/>
    <w:rsid w:val="008F41FD"/>
    <w:rsid w:val="008F4479"/>
    <w:rsid w:val="008F4BA0"/>
    <w:rsid w:val="00901726"/>
    <w:rsid w:val="009048F3"/>
    <w:rsid w:val="00920E6A"/>
    <w:rsid w:val="00931816"/>
    <w:rsid w:val="00932C71"/>
    <w:rsid w:val="009509D5"/>
    <w:rsid w:val="009538F5"/>
    <w:rsid w:val="00957187"/>
    <w:rsid w:val="00960255"/>
    <w:rsid w:val="009603E1"/>
    <w:rsid w:val="00961C9D"/>
    <w:rsid w:val="00963065"/>
    <w:rsid w:val="0097151F"/>
    <w:rsid w:val="0097208D"/>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D46"/>
    <w:rsid w:val="00A431C6"/>
    <w:rsid w:val="00A54315"/>
    <w:rsid w:val="00A60FBC"/>
    <w:rsid w:val="00A65C0B"/>
    <w:rsid w:val="00A776BA"/>
    <w:rsid w:val="00A81FD2"/>
    <w:rsid w:val="00A8441A"/>
    <w:rsid w:val="00A8674A"/>
    <w:rsid w:val="00A96E24"/>
    <w:rsid w:val="00AA6F6E"/>
    <w:rsid w:val="00AB122B"/>
    <w:rsid w:val="00AB21B0"/>
    <w:rsid w:val="00AB48D3"/>
    <w:rsid w:val="00AD0B94"/>
    <w:rsid w:val="00AE0243"/>
    <w:rsid w:val="00AE1BAD"/>
    <w:rsid w:val="00AE2124"/>
    <w:rsid w:val="00AE24BC"/>
    <w:rsid w:val="00AE3E3F"/>
    <w:rsid w:val="00AF01B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B7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898"/>
    <w:rsid w:val="00C5172D"/>
    <w:rsid w:val="00C56DCC"/>
    <w:rsid w:val="00C57075"/>
    <w:rsid w:val="00C66F31"/>
    <w:rsid w:val="00C72AFE"/>
    <w:rsid w:val="00C81619"/>
    <w:rsid w:val="00C97999"/>
    <w:rsid w:val="00CA013C"/>
    <w:rsid w:val="00CA6D6D"/>
    <w:rsid w:val="00CB5D9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A422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04D"/>
    <w:rsid w:val="00E353A2"/>
    <w:rsid w:val="00E36881"/>
    <w:rsid w:val="00E42E4C"/>
    <w:rsid w:val="00E47013"/>
    <w:rsid w:val="00E541F9"/>
    <w:rsid w:val="00E57B79"/>
    <w:rsid w:val="00E61E95"/>
    <w:rsid w:val="00E63419"/>
    <w:rsid w:val="00E64496"/>
    <w:rsid w:val="00E72115"/>
    <w:rsid w:val="00E8075F"/>
    <w:rsid w:val="00E8322E"/>
    <w:rsid w:val="00E849F8"/>
    <w:rsid w:val="00E903E0"/>
    <w:rsid w:val="00EA1115"/>
    <w:rsid w:val="00EA39EB"/>
    <w:rsid w:val="00EA58CE"/>
    <w:rsid w:val="00EB33FF"/>
    <w:rsid w:val="00EB3D1A"/>
    <w:rsid w:val="00EC2759"/>
    <w:rsid w:val="00EC7106"/>
    <w:rsid w:val="00ED0120"/>
    <w:rsid w:val="00ED1D3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466"/>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A5ED0"/>
  <w14:defaultImageDpi w14:val="300"/>
  <w15:docId w15:val="{7273839C-A3D0-EA4A-BA5A-FDE75CB9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0B9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D0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0B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D0B94"/>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D0B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0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0B94"/>
  </w:style>
  <w:style w:type="character" w:customStyle="1" w:styleId="Heading1Char">
    <w:name w:val="Heading 1 Char"/>
    <w:aliases w:val="Pocket Char"/>
    <w:basedOn w:val="DefaultParagraphFont"/>
    <w:link w:val="Heading1"/>
    <w:uiPriority w:val="9"/>
    <w:rsid w:val="00AD0B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0B9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D0B94"/>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D0B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0B94"/>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AD0B9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D0B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0B9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AD0B94"/>
    <w:rPr>
      <w:color w:val="auto"/>
      <w:u w:val="none"/>
    </w:rPr>
  </w:style>
  <w:style w:type="paragraph" w:styleId="DocumentMap">
    <w:name w:val="Document Map"/>
    <w:basedOn w:val="Normal"/>
    <w:link w:val="DocumentMapChar"/>
    <w:uiPriority w:val="99"/>
    <w:semiHidden/>
    <w:unhideWhenUsed/>
    <w:rsid w:val="00AD0B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0B94"/>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CB5D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5D9E"/>
    <w:pPr>
      <w:spacing w:after="0" w:line="240" w:lineRule="auto"/>
      <w:ind w:left="720"/>
      <w:jc w:val="both"/>
    </w:pPr>
    <w:rPr>
      <w:b/>
      <w:iCs/>
      <w:sz w:val="22"/>
      <w:u w:val="single"/>
    </w:rPr>
  </w:style>
  <w:style w:type="paragraph" w:styleId="NoSpacing">
    <w:name w:val="No Spacing"/>
    <w:aliases w:val="Card Format,ClearFormatting,Clear,DDI Tag,Tag Title,CD - Cite,No Spacing6,No Spacing7,Very Small Text,No Spacing8,Dont u,No Spacing311,No Spacing51,ca"/>
    <w:basedOn w:val="Heading1"/>
    <w:autoRedefine/>
    <w:uiPriority w:val="99"/>
    <w:qFormat/>
    <w:rsid w:val="00A30D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12</Pages>
  <Words>8039</Words>
  <Characters>45825</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53757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5</cp:revision>
  <dcterms:created xsi:type="dcterms:W3CDTF">2021-10-15T22:26:00Z</dcterms:created>
  <dcterms:modified xsi:type="dcterms:W3CDTF">2021-10-16T00:19:00Z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