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FAA7D" w14:textId="713FD849" w:rsidR="00A94AEA" w:rsidRDefault="00A94AEA" w:rsidP="00986A21">
      <w:pPr>
        <w:pStyle w:val="Heading4"/>
      </w:pPr>
      <w:r>
        <w:t>The alt is unconditional – we can’t kick it.</w:t>
      </w:r>
    </w:p>
    <w:p w14:paraId="39FDBB73" w14:textId="23AE309A" w:rsidR="00986A21" w:rsidRPr="006948C8" w:rsidRDefault="00986A21" w:rsidP="00986A21">
      <w:pPr>
        <w:pStyle w:val="Heading2"/>
        <w:rPr>
          <w:rFonts w:cs="Calibri"/>
          <w:color w:val="000000" w:themeColor="text1"/>
        </w:rPr>
      </w:pPr>
      <w:r w:rsidRPr="0044713E">
        <w:rPr>
          <w:rFonts w:cs="Calibri"/>
          <w:color w:val="000000" w:themeColor="text1"/>
        </w:rPr>
        <w:lastRenderedPageBreak/>
        <w:t>1NC Shell</w:t>
      </w:r>
    </w:p>
    <w:p w14:paraId="560D025E" w14:textId="77777777" w:rsidR="00986A21" w:rsidRPr="00AE3F77" w:rsidRDefault="00986A21" w:rsidP="00986A21">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4C20B6F3" w14:textId="7FE95817" w:rsidR="00986A21" w:rsidRPr="006948C8" w:rsidRDefault="00986A21" w:rsidP="00986A21">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9"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w:t>
      </w:r>
      <w:r w:rsidR="003056A0">
        <w:rPr>
          <w:color w:val="000000" w:themeColor="text1"/>
          <w:szCs w:val="16"/>
        </w:rPr>
        <w:t>Brookfield East DJ</w:t>
      </w:r>
    </w:p>
    <w:p w14:paraId="1E176A36" w14:textId="77777777" w:rsidR="00986A21" w:rsidRPr="006948C8" w:rsidRDefault="00986A21" w:rsidP="00986A21">
      <w:pPr>
        <w:rPr>
          <w:color w:val="000000" w:themeColor="text1"/>
          <w:sz w:val="14"/>
        </w:rPr>
      </w:pPr>
      <w:r w:rsidRPr="006948C8">
        <w:rPr>
          <w:color w:val="000000" w:themeColor="text1"/>
          <w:sz w:val="14"/>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 xml:space="preserve">Primary pity </w:t>
      </w:r>
      <w:r w:rsidRPr="00AE3F77">
        <w:rPr>
          <w:rStyle w:val="Emphasis"/>
          <w:color w:val="000000" w:themeColor="text1"/>
        </w:rPr>
        <w:t>arises</w:t>
      </w:r>
      <w:r w:rsidRPr="00B60288">
        <w:rPr>
          <w:rStyle w:val="Emphasis"/>
          <w:color w:val="000000" w:themeColor="text1"/>
          <w:highlight w:val="green"/>
        </w:rPr>
        <w:t xml:space="preserve"> when one witnesses </w:t>
      </w:r>
      <w:r w:rsidRPr="00AE3F77">
        <w:rPr>
          <w:rStyle w:val="Emphasis"/>
          <w:color w:val="000000" w:themeColor="text1"/>
        </w:rPr>
        <w:t>a fall of the self,</w:t>
      </w:r>
      <w:r w:rsidRPr="006948C8">
        <w:rPr>
          <w:rStyle w:val="Emphasis"/>
          <w:color w:val="000000" w:themeColor="text1"/>
        </w:rPr>
        <w:t xml:space="preserve"> </w:t>
      </w:r>
      <w:r w:rsidRPr="00AE3F77">
        <w:rPr>
          <w:rStyle w:val="Emphasis"/>
          <w:color w:val="000000" w:themeColor="text1"/>
          <w:highlight w:val="green"/>
        </w:rPr>
        <w:t>a collapse of the ego</w:t>
      </w:r>
      <w:r w:rsidRPr="006948C8">
        <w:rPr>
          <w:rStyle w:val="Emphasis"/>
          <w:color w:val="000000" w:themeColor="text1"/>
        </w:rPr>
        <w:t xml:space="preserve">; such </w:t>
      </w:r>
      <w:r w:rsidRPr="00086C91">
        <w:rPr>
          <w:rStyle w:val="Emphasis"/>
          <w:color w:val="000000" w:themeColor="text1"/>
        </w:rPr>
        <w:t xml:space="preserve">falling is at </w:t>
      </w:r>
      <w:r w:rsidRPr="00AE3F77">
        <w:rPr>
          <w:rStyle w:val="Emphasis"/>
          <w:color w:val="000000" w:themeColor="text1"/>
        </w:rPr>
        <w:t>once painful and pleasurable to observe</w:t>
      </w:r>
      <w:r w:rsidRPr="006948C8">
        <w:rPr>
          <w:rStyle w:val="Emphasis"/>
          <w:color w:val="000000" w:themeColor="text1"/>
        </w:rPr>
        <w:t xml:space="preserve">. In other words, primary pity could be described as a vicarious experience of the tragedy of disability. A great deal of the pain and pleasure of primary pity </w:t>
      </w:r>
      <w:r w:rsidRPr="00086C91">
        <w:rPr>
          <w:rStyle w:val="Emphasis"/>
          <w:color w:val="000000" w:themeColor="text1"/>
        </w:rPr>
        <w:t>center on questions about what, or who, this fallen self is</w:t>
      </w:r>
      <w:r w:rsidRPr="00086C91">
        <w:rPr>
          <w:color w:val="000000" w:themeColor="text1"/>
          <w:sz w:val="14"/>
        </w:rPr>
        <w:t xml:space="preserve">. When most people think about pity, we refer to an affect in which, to adopt Edelman’s phrase, </w:t>
      </w:r>
      <w:r w:rsidRPr="00086C91">
        <w:rPr>
          <w:rStyle w:val="Emphasis"/>
          <w:color w:val="000000" w:themeColor="text1"/>
        </w:rPr>
        <w:t>we purport to “feel for the other.”</w:t>
      </w:r>
      <w:r w:rsidRPr="00086C91">
        <w:rPr>
          <w:color w:val="000000" w:themeColor="text1"/>
          <w:sz w:val="14"/>
        </w:rPr>
        <w:t xml:space="preserve"> But as with primary narcissism, in which the self has not yet been</w:t>
      </w:r>
      <w:r w:rsidRPr="006948C8">
        <w:rPr>
          <w:color w:val="000000" w:themeColor="text1"/>
          <w:sz w:val="14"/>
        </w:rPr>
        <w:t xml:space="preserve"> constituted, and therefore cannot be said to </w:t>
      </w:r>
      <w:proofErr w:type="gramStart"/>
      <w:r w:rsidRPr="006948C8">
        <w:rPr>
          <w:color w:val="000000" w:themeColor="text1"/>
          <w:sz w:val="14"/>
        </w:rPr>
        <w:t>enter into</w:t>
      </w:r>
      <w:proofErr w:type="gramEnd"/>
      <w:r w:rsidRPr="006948C8">
        <w:rPr>
          <w:color w:val="000000" w:themeColor="text1"/>
          <w:sz w:val="14"/>
        </w:rPr>
        <w:t xml:space="preserve"> intersubjective relations with an “other,” </w:t>
      </w:r>
      <w:r w:rsidRPr="006948C8">
        <w:rPr>
          <w:rStyle w:val="Emphasis"/>
          <w:color w:val="000000" w:themeColor="text1"/>
        </w:rPr>
        <w:t xml:space="preserve">primary </w:t>
      </w:r>
      <w:r w:rsidRPr="00AE3F77">
        <w:rPr>
          <w:rStyle w:val="Emphasis"/>
          <w:color w:val="000000" w:themeColor="text1"/>
        </w:rPr>
        <w:t>pity entails a mixing up of self and other such that the ego, in becoming permeable to pain that may properly belong to “someone else,” is profoundly threatened in its integrity</w:t>
      </w:r>
      <w:r w:rsidRPr="00AE3F77">
        <w:rPr>
          <w:color w:val="000000" w:themeColor="text1"/>
          <w:sz w:val="14"/>
        </w:rPr>
        <w:t xml:space="preserve">. Primary pity is that intense pain-pleasure complex that is provoked by the image of a suffering other who, it seems momentarily, both is and is not </w:t>
      </w:r>
      <w:proofErr w:type="gramStart"/>
      <w:r w:rsidRPr="00AE3F77">
        <w:rPr>
          <w:color w:val="000000" w:themeColor="text1"/>
          <w:sz w:val="14"/>
        </w:rPr>
        <w:t>one’s self</w:t>
      </w:r>
      <w:proofErr w:type="gramEnd"/>
      <w:r w:rsidRPr="00AE3F77">
        <w:rPr>
          <w:color w:val="000000" w:themeColor="text1"/>
          <w:sz w:val="14"/>
        </w:rPr>
        <w:t xml:space="preserve">. </w:t>
      </w:r>
      <w:r w:rsidRPr="00AE3F77">
        <w:rPr>
          <w:rStyle w:val="Emphasis"/>
          <w:color w:val="000000" w:themeColor="text1"/>
        </w:rPr>
        <w:t xml:space="preserve">This affective response can feel unbearable, as seen in </w:t>
      </w:r>
      <w:proofErr w:type="spellStart"/>
      <w:r w:rsidRPr="00AE3F77">
        <w:rPr>
          <w:rStyle w:val="Emphasis"/>
          <w:color w:val="000000" w:themeColor="text1"/>
        </w:rPr>
        <w:t>Siebers’s</w:t>
      </w:r>
      <w:proofErr w:type="spellEnd"/>
      <w:r w:rsidRPr="00AE3F77">
        <w:rPr>
          <w:rStyle w:val="Emphasis"/>
          <w:color w:val="000000" w:themeColor="text1"/>
        </w:rPr>
        <w:t xml:space="preserve"> formulation: one “cannot bear to look…but also cannot bear 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 xml:space="preserve">Secondary pity attempts to heal </w:t>
      </w:r>
      <w:r w:rsidRPr="00AE3F77">
        <w:rPr>
          <w:rStyle w:val="Emphasis"/>
          <w:color w:val="000000" w:themeColor="text1"/>
        </w:rPr>
        <w:t>primary pity’s self</w:t>
      </w:r>
      <w:r w:rsidRPr="006948C8">
        <w:rPr>
          <w:rStyle w:val="Emphasis"/>
          <w:color w:val="000000" w:themeColor="text1"/>
        </w:rPr>
        <w:t>-</w:t>
      </w:r>
      <w:r w:rsidRPr="00086C91">
        <w:rPr>
          <w:rStyle w:val="Emphasis"/>
          <w:color w:val="000000" w:themeColor="text1"/>
        </w:rPr>
        <w:t xml:space="preserve">rupturing effects </w:t>
      </w:r>
      <w:r w:rsidRPr="00B60288">
        <w:rPr>
          <w:rStyle w:val="Emphasis"/>
          <w:color w:val="000000" w:themeColor="text1"/>
          <w:highlight w:val="green"/>
        </w:rPr>
        <w:t>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w:t>
      </w:r>
      <w:r w:rsidRPr="006948C8">
        <w:rPr>
          <w:color w:val="000000" w:themeColor="text1"/>
          <w:sz w:val="14"/>
        </w:rPr>
        <w:lastRenderedPageBreak/>
        <w:t xml:space="preserve">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 xml:space="preserve">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be—and,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proofErr w:type="spellStart"/>
      <w:r>
        <w:rPr>
          <w:color w:val="000000" w:themeColor="text1"/>
          <w:sz w:val="14"/>
        </w:rPr>
        <w:t>x</w:t>
      </w:r>
      <w:r w:rsidRPr="006948C8">
        <w:rPr>
          <w:color w:val="000000" w:themeColor="text1"/>
          <w:sz w:val="14"/>
        </w:rPr>
        <w:t>A</w:t>
      </w:r>
      <w:proofErr w:type="spellEnd"/>
      <w:r w:rsidRPr="006948C8">
        <w:rPr>
          <w:color w:val="000000" w:themeColor="text1"/>
          <w:sz w:val="14"/>
        </w:rPr>
        <w:t xml:space="preserve">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w:t>
      </w:r>
      <w:r w:rsidRPr="006948C8">
        <w:rPr>
          <w:color w:val="000000" w:themeColor="text1"/>
          <w:sz w:val="14"/>
        </w:rPr>
        <w:lastRenderedPageBreak/>
        <w:t xml:space="preserve">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produce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03525C9B" w14:textId="77777777" w:rsidR="00986A21" w:rsidRPr="0038556A" w:rsidRDefault="00986A21" w:rsidP="00986A21">
      <w:pPr>
        <w:pStyle w:val="Heading4"/>
        <w:rPr>
          <w:rFonts w:cs="Calibri"/>
          <w:color w:val="000000" w:themeColor="text1"/>
        </w:rPr>
      </w:pPr>
      <w:r>
        <w:rPr>
          <w:rFonts w:cs="Calibri"/>
          <w:color w:val="000000" w:themeColor="text1"/>
        </w:rPr>
        <w:t xml:space="preserve">The affirmatives optimistic hope of a better future is complicit in rehabilitative futurism, as the disabled object is seen through a lens of nonproduction – this </w:t>
      </w:r>
      <w:proofErr w:type="spellStart"/>
      <w:r>
        <w:rPr>
          <w:rFonts w:cs="Calibri"/>
          <w:color w:val="000000" w:themeColor="text1"/>
        </w:rPr>
        <w:t>discludes</w:t>
      </w:r>
      <w:proofErr w:type="spellEnd"/>
      <w:r>
        <w:rPr>
          <w:rFonts w:cs="Calibri"/>
          <w:color w:val="000000" w:themeColor="text1"/>
        </w:rPr>
        <w:t xml:space="preserve"> disability from the political and notions of reformism. They don’t get to weigh case – if we win their starting point is violent then they shouldn’t be able to weigh their endpoint.</w:t>
      </w:r>
    </w:p>
    <w:p w14:paraId="09B768A0" w14:textId="76FAEA54" w:rsidR="00986A21" w:rsidRPr="006948C8" w:rsidRDefault="00986A21" w:rsidP="00986A21">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0"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w:t>
      </w:r>
      <w:r w:rsidR="003056A0">
        <w:rPr>
          <w:color w:val="000000" w:themeColor="text1"/>
          <w:szCs w:val="16"/>
        </w:rPr>
        <w:t>Brookfield East DJ</w:t>
      </w:r>
    </w:p>
    <w:p w14:paraId="5C356C16" w14:textId="2AF17FAE" w:rsidR="00986A21" w:rsidRDefault="00986A21" w:rsidP="00986A21">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w:t>
      </w:r>
      <w:r w:rsidRPr="00542B95">
        <w:rPr>
          <w:rStyle w:val="Emphasis"/>
          <w:color w:val="000000" w:themeColor="text1"/>
        </w:rPr>
        <w:t xml:space="preserve">but also from </w:t>
      </w:r>
      <w:r w:rsidRPr="00B60288">
        <w:rPr>
          <w:rStyle w:val="Emphasis"/>
          <w:color w:val="000000" w:themeColor="text1"/>
          <w:highlight w:val="green"/>
        </w:rPr>
        <w:t>disability</w:t>
      </w:r>
      <w:r w:rsidRPr="006948C8">
        <w:rPr>
          <w:color w:val="000000" w:themeColor="text1"/>
          <w:sz w:val="14"/>
        </w:rPr>
        <w:t xml:space="preserve"> (19). </w:t>
      </w:r>
      <w:r w:rsidRPr="006948C8">
        <w:rPr>
          <w:rStyle w:val="Emphasis"/>
          <w:color w:val="000000" w:themeColor="text1"/>
        </w:rPr>
        <w:t xml:space="preserve">For example, </w:t>
      </w:r>
      <w:r w:rsidRPr="00542B95">
        <w:rPr>
          <w:rStyle w:val="Emphasis"/>
          <w:color w:val="000000" w:themeColor="text1"/>
          <w:highlight w:val="green"/>
        </w:rPr>
        <w:t>the Child is the centerpiece</w:t>
      </w:r>
      <w:r w:rsidRPr="006948C8">
        <w:rPr>
          <w:rStyle w:val="Emphasis"/>
          <w:color w:val="000000" w:themeColor="text1"/>
        </w:rPr>
        <w:t xml:space="preserve"> of the telethon, </w:t>
      </w:r>
      <w:r w:rsidRPr="00542B95">
        <w:rPr>
          <w:rStyle w:val="Emphasis"/>
          <w:color w:val="000000" w:themeColor="text1"/>
          <w:highlight w:val="green"/>
        </w:rPr>
        <w:t>a</w:t>
      </w:r>
      <w:r w:rsidRPr="006948C8">
        <w:rPr>
          <w:rStyle w:val="Emphasis"/>
          <w:color w:val="000000" w:themeColor="text1"/>
        </w:rPr>
        <w:t xml:space="preserve"> ritual </w:t>
      </w:r>
      <w:r w:rsidRPr="00542B95">
        <w:rPr>
          <w:rStyle w:val="Emphasis"/>
          <w:color w:val="000000" w:themeColor="text1"/>
          <w:highlight w:val="green"/>
        </w:rPr>
        <w:t>display</w:t>
      </w:r>
      <w:r w:rsidRPr="006948C8">
        <w:rPr>
          <w:rStyle w:val="Emphasis"/>
          <w:color w:val="000000" w:themeColor="text1"/>
        </w:rPr>
        <w:t xml:space="preserve"> of pity </w:t>
      </w:r>
      <w:r w:rsidRPr="00542B95">
        <w:rPr>
          <w:rStyle w:val="Emphasis"/>
          <w:color w:val="000000" w:themeColor="text1"/>
          <w:highlight w:val="green"/>
        </w:rPr>
        <w:t>that demeans</w:t>
      </w:r>
      <w:r w:rsidRPr="006948C8">
        <w:rPr>
          <w:rStyle w:val="Emphasis"/>
          <w:color w:val="000000" w:themeColor="text1"/>
        </w:rPr>
        <w:t xml:space="preserve"> disabled people. </w:t>
      </w:r>
      <w:r w:rsidRPr="00542B95">
        <w:rPr>
          <w:rStyle w:val="Emphasis"/>
          <w:color w:val="000000" w:themeColor="text1"/>
        </w:rPr>
        <w:t>When Jerry Lewis counters disability activists’ objections to his assertion that a disabled person is “half a person,” he insists that he is only fighting for the Children: “Please, I’m begging for survival. I want my kids alive,” he implores</w:t>
      </w:r>
      <w:r w:rsidRPr="00542B95">
        <w:rPr>
          <w:color w:val="000000" w:themeColor="text1"/>
          <w:sz w:val="14"/>
        </w:rPr>
        <w:t xml:space="preserve"> (in Joh</w:t>
      </w:r>
      <w:r w:rsidRPr="006948C8">
        <w:rPr>
          <w:color w:val="000000" w:themeColor="text1"/>
          <w:sz w:val="14"/>
        </w:rPr>
        <w:t xml:space="preserve">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similar to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a term that I coin to overlap and i</w:t>
      </w:r>
      <w:r w:rsidRPr="00542B95">
        <w:rPr>
          <w:rStyle w:val="Emphasis"/>
          <w:color w:val="000000" w:themeColor="text1"/>
        </w:rPr>
        <w:t xml:space="preserve">ntersect with Edelman’s notion of “reproductive futurism.” If, as Edelman maintains, the future is envisaged in terms of a </w:t>
      </w:r>
      <w:proofErr w:type="spellStart"/>
      <w:r w:rsidRPr="00542B95">
        <w:rPr>
          <w:rStyle w:val="Emphasis"/>
          <w:color w:val="000000" w:themeColor="text1"/>
        </w:rPr>
        <w:t>fantasmatic</w:t>
      </w:r>
      <w:proofErr w:type="spellEnd"/>
      <w:r w:rsidRPr="00542B95">
        <w:rPr>
          <w:rStyle w:val="Emphasis"/>
          <w:color w:val="000000" w:themeColor="text1"/>
        </w:rPr>
        <w:t xml:space="preserve"> “Child,” then the survival of this future-figured-as-Child is threatened by both queerness and 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w:t>
      </w:r>
      <w:r w:rsidRPr="00542B95">
        <w:rPr>
          <w:rStyle w:val="Emphasis"/>
          <w:color w:val="000000" w:themeColor="text1"/>
        </w:rPr>
        <w:t>a “crippled</w:t>
      </w:r>
      <w:r w:rsidRPr="00D842CE">
        <w:rPr>
          <w:rStyle w:val="Emphasis"/>
          <w:color w:val="000000" w:themeColor="text1"/>
        </w:rPr>
        <w:t>”</w:t>
      </w:r>
      <w:r w:rsidRPr="006948C8">
        <w:rPr>
          <w:rStyle w:val="Emphasis"/>
          <w:color w:val="000000" w:themeColor="text1"/>
        </w:rPr>
        <w:t xml:space="preserve"> </w:t>
      </w:r>
      <w:r w:rsidRPr="00542B95">
        <w:rPr>
          <w:rStyle w:val="Emphasis"/>
          <w:color w:val="000000" w:themeColor="text1"/>
        </w:rPr>
        <w:t>or “hobbled” economy, a 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t>
      </w:r>
      <w:r w:rsidRPr="00542B95">
        <w:rPr>
          <w:rStyle w:val="StyleUnderline"/>
          <w:b/>
          <w:bCs/>
          <w:highlight w:val="green"/>
        </w:rPr>
        <w:t>would bring forth a better future</w:t>
      </w:r>
      <w:r w:rsidRPr="006948C8">
        <w:rPr>
          <w:color w:val="000000" w:themeColor="text1"/>
          <w:sz w:val="14"/>
        </w:rPr>
        <w:t xml:space="preserve">.110 </w:t>
      </w:r>
    </w:p>
    <w:p w14:paraId="0081AE44" w14:textId="77777777" w:rsidR="00892DB3" w:rsidRPr="00267CA0" w:rsidRDefault="00892DB3" w:rsidP="00892DB3">
      <w:pPr>
        <w:pStyle w:val="Heading4"/>
        <w:rPr>
          <w:rFonts w:cs="Calibri"/>
          <w:highlight w:val="green"/>
        </w:rPr>
      </w:pPr>
      <w:r w:rsidRPr="006948C8">
        <w:rPr>
          <w:rFonts w:cs="Calibri"/>
        </w:rPr>
        <w:lastRenderedPageBreak/>
        <w:t xml:space="preserve">The </w:t>
      </w:r>
      <w:r>
        <w:rPr>
          <w:rFonts w:cs="Calibri"/>
        </w:rPr>
        <w:t>1ACs</w:t>
      </w:r>
      <w:r w:rsidRPr="006948C8">
        <w:rPr>
          <w:rFonts w:cs="Calibri"/>
        </w:rPr>
        <w:t xml:space="preserve"> focus on epistemic performativity erases the material conditions of disability</w:t>
      </w:r>
      <w:r>
        <w:rPr>
          <w:rFonts w:cs="Calibri"/>
        </w:rPr>
        <w:t>.</w:t>
      </w:r>
    </w:p>
    <w:p w14:paraId="0A0705F4" w14:textId="77777777" w:rsidR="00892DB3" w:rsidRPr="00A461B5" w:rsidRDefault="00892DB3" w:rsidP="00892DB3">
      <w:pPr>
        <w:rPr>
          <w:bCs/>
          <w:sz w:val="26"/>
          <w:u w:val="single"/>
        </w:rPr>
      </w:pPr>
      <w:proofErr w:type="spellStart"/>
      <w:r w:rsidRPr="006948C8">
        <w:rPr>
          <w:rStyle w:val="Style13ptBold"/>
        </w:rPr>
        <w:t>Siebers</w:t>
      </w:r>
      <w:proofErr w:type="spellEnd"/>
      <w:r w:rsidRPr="006948C8">
        <w:rPr>
          <w:rStyle w:val="Style13ptBold"/>
        </w:rPr>
        <w:t xml:space="preserve"> 6 </w:t>
      </w:r>
      <w:r w:rsidRPr="00A461B5">
        <w:rPr>
          <w:bCs/>
        </w:rPr>
        <w:t>(Tobin, Prof of Literary and Cultural Criticism at the U of Michigan, “Disability Studies and the Future of Identity Politics”) DR 16</w:t>
      </w:r>
    </w:p>
    <w:p w14:paraId="4A7C0B4D" w14:textId="77777777" w:rsidR="00892DB3" w:rsidRPr="00A461B5" w:rsidRDefault="00892DB3" w:rsidP="00892DB3">
      <w:pPr>
        <w:rPr>
          <w:sz w:val="14"/>
          <w:szCs w:val="26"/>
        </w:rPr>
      </w:pPr>
      <w:r w:rsidRPr="00A461B5">
        <w:rPr>
          <w:b/>
          <w:sz w:val="26"/>
          <w:szCs w:val="26"/>
          <w:u w:val="single"/>
        </w:rPr>
        <w:t>The attack on identity by social constructionists is designed to liberate individuals constrained by unjust stereotypes and social prejudices. The example of disability in particular reveals with great vividness the unjust stereotypes imposed on identity by cultural norms and languages as well as the violence exercised by them.</w:t>
      </w:r>
      <w:r w:rsidRPr="00A461B5">
        <w:rPr>
          <w:sz w:val="14"/>
          <w:szCs w:val="26"/>
        </w:rPr>
        <w:t xml:space="preserve"> It also provides compelling evidence for the veracity of the social model</w:t>
      </w:r>
      <w:r w:rsidRPr="00A461B5">
        <w:rPr>
          <w:b/>
          <w:sz w:val="26"/>
          <w:szCs w:val="26"/>
          <w:u w:val="single"/>
        </w:rPr>
        <w:t>. Deafness was not, for instance, a disability on Martha’s Vineyard for most of the eighteenth century because 1 in 25 residents was deaf and everyone in the community knew how to sign</w:t>
      </w:r>
      <w:r w:rsidRPr="00A461B5">
        <w:rPr>
          <w:sz w:val="14"/>
          <w:szCs w:val="26"/>
        </w:rPr>
        <w:t xml:space="preserve">. Deaf villagers had the same occupations and incomes as people who could hear.3 This example shows to what extent </w:t>
      </w:r>
      <w:r w:rsidRPr="00A461B5">
        <w:rPr>
          <w:b/>
          <w:sz w:val="26"/>
          <w:szCs w:val="26"/>
          <w:u w:val="single"/>
        </w:rPr>
        <w:t>disability is socially produced.</w:t>
      </w:r>
      <w:r w:rsidRPr="00A461B5">
        <w:rPr>
          <w:sz w:val="14"/>
          <w:szCs w:val="26"/>
        </w:rPr>
        <w:t xml:space="preserve"> In fact, </w:t>
      </w:r>
      <w:r w:rsidRPr="00A461B5">
        <w:rPr>
          <w:b/>
          <w:sz w:val="26"/>
          <w:szCs w:val="26"/>
          <w:u w:val="single"/>
        </w:rPr>
        <w:t xml:space="preserve">it is tempting to see disability exclusively as the product of a bad match between society and some human bodies because it is so often the case. But disability also frustrates theorists of social construction because the </w:t>
      </w:r>
      <w:r w:rsidRPr="00267CA0">
        <w:rPr>
          <w:b/>
          <w:sz w:val="26"/>
          <w:szCs w:val="26"/>
          <w:highlight w:val="green"/>
          <w:u w:val="single"/>
        </w:rPr>
        <w:t>disabled body and mind are not easily aligned with cultural norms</w:t>
      </w:r>
      <w:r w:rsidRPr="00A461B5">
        <w:rPr>
          <w:b/>
          <w:sz w:val="26"/>
          <w:szCs w:val="26"/>
          <w:u w:val="single"/>
        </w:rPr>
        <w:t xml:space="preserve"> and codes. Many disability scholars have begun to insist that the social model either </w:t>
      </w:r>
      <w:r w:rsidRPr="00267CA0">
        <w:rPr>
          <w:b/>
          <w:sz w:val="26"/>
          <w:szCs w:val="26"/>
          <w:highlight w:val="green"/>
          <w:u w:val="single"/>
        </w:rPr>
        <w:t>fails to account for</w:t>
      </w:r>
      <w:r w:rsidRPr="00A461B5">
        <w:rPr>
          <w:b/>
          <w:sz w:val="26"/>
          <w:szCs w:val="26"/>
          <w:u w:val="single"/>
        </w:rPr>
        <w:t xml:space="preserve"> the difficult physical </w:t>
      </w:r>
      <w:r w:rsidRPr="00267CA0">
        <w:rPr>
          <w:b/>
          <w:sz w:val="26"/>
          <w:szCs w:val="26"/>
          <w:highlight w:val="green"/>
          <w:u w:val="single"/>
        </w:rPr>
        <w:t>realities</w:t>
      </w:r>
      <w:r w:rsidRPr="00A461B5">
        <w:rPr>
          <w:b/>
          <w:sz w:val="26"/>
          <w:szCs w:val="26"/>
          <w:u w:val="single"/>
        </w:rPr>
        <w:t xml:space="preserve"> faced by people with disabilities or presents their body and mind in ways that are conventional, conformist, and unrecognizable to them. These include the habits of privileging pleasure over pain, making work a condition of independence, </w:t>
      </w:r>
      <w:r w:rsidRPr="00267CA0">
        <w:rPr>
          <w:b/>
          <w:sz w:val="26"/>
          <w:szCs w:val="26"/>
          <w:highlight w:val="green"/>
          <w:u w:val="single"/>
        </w:rPr>
        <w:t>favoring performativity to corporeality</w:t>
      </w:r>
      <w:r w:rsidRPr="00A461B5">
        <w:rPr>
          <w:b/>
          <w:sz w:val="26"/>
          <w:szCs w:val="26"/>
          <w:u w:val="single"/>
        </w:rPr>
        <w:t xml:space="preserve">, and </w:t>
      </w:r>
      <w:r w:rsidRPr="00267CA0">
        <w:rPr>
          <w:b/>
          <w:sz w:val="26"/>
          <w:szCs w:val="26"/>
          <w:highlight w:val="green"/>
          <w:u w:val="single"/>
        </w:rPr>
        <w:t>describing</w:t>
      </w:r>
      <w:r w:rsidRPr="00A461B5">
        <w:rPr>
          <w:b/>
          <w:sz w:val="26"/>
          <w:szCs w:val="26"/>
          <w:u w:val="single"/>
        </w:rPr>
        <w:t xml:space="preserve"> </w:t>
      </w:r>
      <w:r w:rsidRPr="00267CA0">
        <w:rPr>
          <w:b/>
          <w:sz w:val="26"/>
          <w:szCs w:val="26"/>
          <w:highlight w:val="green"/>
          <w:u w:val="single"/>
        </w:rPr>
        <w:t xml:space="preserve">social </w:t>
      </w:r>
      <w:r w:rsidRPr="00A461B5">
        <w:rPr>
          <w:b/>
          <w:sz w:val="26"/>
          <w:szCs w:val="26"/>
          <w:u w:val="single"/>
        </w:rPr>
        <w:t xml:space="preserve">success in terms </w:t>
      </w:r>
      <w:r w:rsidRPr="00267CA0">
        <w:rPr>
          <w:b/>
          <w:sz w:val="26"/>
          <w:szCs w:val="26"/>
          <w:highlight w:val="green"/>
          <w:u w:val="single"/>
        </w:rPr>
        <w:t>of intellectual achievement</w:t>
      </w:r>
      <w:r w:rsidRPr="00A461B5">
        <w:rPr>
          <w:b/>
          <w:sz w:val="26"/>
          <w:szCs w:val="26"/>
          <w:u w:val="single"/>
        </w:rPr>
        <w:t xml:space="preserve">, bodily adaptability, </w:t>
      </w:r>
      <w:r w:rsidRPr="00267CA0">
        <w:rPr>
          <w:b/>
          <w:sz w:val="26"/>
          <w:szCs w:val="26"/>
          <w:highlight w:val="green"/>
          <w:u w:val="single"/>
        </w:rPr>
        <w:t>and active political participation</w:t>
      </w:r>
      <w:r w:rsidRPr="00A461B5">
        <w:rPr>
          <w:b/>
          <w:sz w:val="26"/>
          <w:szCs w:val="26"/>
          <w:u w:val="single"/>
        </w:rPr>
        <w:t>.</w:t>
      </w:r>
      <w:r w:rsidRPr="00A461B5">
        <w:rPr>
          <w:sz w:val="14"/>
          <w:szCs w:val="26"/>
        </w:rPr>
        <w:t xml:space="preserve"> David Mitchell and Sharon Snyder have noticed that </w:t>
      </w:r>
      <w:r w:rsidRPr="00A461B5">
        <w:rPr>
          <w:b/>
          <w:sz w:val="26"/>
          <w:szCs w:val="26"/>
          <w:u w:val="single"/>
        </w:rPr>
        <w:t xml:space="preserve">the push to </w:t>
      </w:r>
      <w:r w:rsidRPr="00267CA0">
        <w:rPr>
          <w:b/>
          <w:sz w:val="26"/>
          <w:szCs w:val="26"/>
          <w:highlight w:val="green"/>
          <w:u w:val="single"/>
        </w:rPr>
        <w:t>link physical difference to</w:t>
      </w:r>
      <w:r w:rsidRPr="00A461B5">
        <w:rPr>
          <w:b/>
          <w:sz w:val="26"/>
          <w:szCs w:val="26"/>
          <w:u w:val="single"/>
        </w:rPr>
        <w:t xml:space="preserve"> cultural and </w:t>
      </w:r>
      <w:r w:rsidRPr="00267CA0">
        <w:rPr>
          <w:b/>
          <w:sz w:val="26"/>
          <w:szCs w:val="26"/>
          <w:highlight w:val="green"/>
          <w:u w:val="single"/>
        </w:rPr>
        <w:t>social constructs</w:t>
      </w:r>
      <w:r w:rsidRPr="00A461B5">
        <w:rPr>
          <w:b/>
          <w:sz w:val="26"/>
          <w:szCs w:val="26"/>
          <w:u w:val="single"/>
        </w:rPr>
        <w:t xml:space="preserve">, especially ideological ones, has actually </w:t>
      </w:r>
      <w:r w:rsidRPr="00267CA0">
        <w:rPr>
          <w:b/>
          <w:sz w:val="26"/>
          <w:szCs w:val="26"/>
          <w:highlight w:val="green"/>
          <w:u w:val="single"/>
        </w:rPr>
        <w:t xml:space="preserve">made disability </w:t>
      </w:r>
      <w:r w:rsidRPr="00267CA0">
        <w:rPr>
          <w:rStyle w:val="Emphasis"/>
          <w:highlight w:val="green"/>
        </w:rPr>
        <w:t>disappear</w:t>
      </w:r>
      <w:r w:rsidRPr="00A461B5">
        <w:rPr>
          <w:rStyle w:val="Emphasis"/>
        </w:rPr>
        <w:t xml:space="preserve"> from the social model</w:t>
      </w:r>
      <w:r w:rsidRPr="00A461B5">
        <w:rPr>
          <w:sz w:val="14"/>
          <w:szCs w:val="26"/>
        </w:rPr>
        <w:t xml:space="preserve">.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A461B5">
        <w:rPr>
          <w:b/>
          <w:sz w:val="26"/>
          <w:szCs w:val="26"/>
          <w:u w:val="single"/>
        </w:rPr>
        <w:t>cultural theory abounds with “the fluids of sexuality, the gloss of lubrication, the glossary of the body as text,</w:t>
      </w:r>
      <w:r w:rsidRPr="00A461B5">
        <w:rPr>
          <w:sz w:val="14"/>
          <w:szCs w:val="26"/>
        </w:rPr>
        <w:t xml:space="preserve"> the heteroglossia of the intertext, the glossolalia of the schizophrenic. </w:t>
      </w:r>
      <w:r w:rsidRPr="00A461B5">
        <w:rPr>
          <w:b/>
          <w:sz w:val="26"/>
          <w:szCs w:val="26"/>
          <w:u w:val="single"/>
        </w:rPr>
        <w:t xml:space="preserve">But almost never the body of the differently abled.”5 Recent theoretical emphases on </w:t>
      </w:r>
      <w:r w:rsidRPr="00267CA0">
        <w:rPr>
          <w:b/>
          <w:sz w:val="26"/>
          <w:szCs w:val="26"/>
          <w:highlight w:val="green"/>
          <w:u w:val="single"/>
        </w:rPr>
        <w:t xml:space="preserve">“performativity,” </w:t>
      </w:r>
      <w:r w:rsidRPr="00A461B5">
        <w:rPr>
          <w:b/>
          <w:sz w:val="26"/>
          <w:szCs w:val="26"/>
          <w:u w:val="single"/>
        </w:rPr>
        <w:t>“heterogeneity,” and “</w:t>
      </w:r>
      <w:proofErr w:type="spellStart"/>
      <w:r w:rsidRPr="00A461B5">
        <w:rPr>
          <w:b/>
          <w:sz w:val="26"/>
          <w:szCs w:val="26"/>
          <w:u w:val="single"/>
        </w:rPr>
        <w:t>indeterminancy</w:t>
      </w:r>
      <w:proofErr w:type="spellEnd"/>
      <w:r w:rsidRPr="00A461B5">
        <w:rPr>
          <w:b/>
          <w:sz w:val="26"/>
          <w:szCs w:val="26"/>
          <w:u w:val="single"/>
        </w:rPr>
        <w:t>”</w:t>
      </w:r>
      <w:r w:rsidRPr="00267CA0">
        <w:rPr>
          <w:b/>
          <w:sz w:val="26"/>
          <w:szCs w:val="26"/>
          <w:highlight w:val="green"/>
          <w:u w:val="single"/>
        </w:rPr>
        <w:t xml:space="preserve"> privilege a disembodied ideal of freedom, suggesting </w:t>
      </w:r>
      <w:r w:rsidRPr="00A461B5">
        <w:rPr>
          <w:b/>
          <w:sz w:val="26"/>
          <w:szCs w:val="26"/>
          <w:u w:val="single"/>
        </w:rPr>
        <w:t xml:space="preserve">that </w:t>
      </w:r>
      <w:r w:rsidRPr="00267CA0">
        <w:rPr>
          <w:b/>
          <w:sz w:val="26"/>
          <w:szCs w:val="26"/>
          <w:highlight w:val="green"/>
          <w:u w:val="single"/>
        </w:rPr>
        <w:t xml:space="preserve">emancipation from social codes </w:t>
      </w:r>
      <w:r w:rsidRPr="00A461B5">
        <w:rPr>
          <w:b/>
          <w:sz w:val="26"/>
          <w:szCs w:val="26"/>
          <w:u w:val="single"/>
        </w:rPr>
        <w:t xml:space="preserve">and norms may be </w:t>
      </w:r>
      <w:r w:rsidRPr="00267CA0">
        <w:rPr>
          <w:b/>
          <w:sz w:val="26"/>
          <w:szCs w:val="26"/>
          <w:highlight w:val="green"/>
          <w:u w:val="single"/>
        </w:rPr>
        <w:t>achieved by imagining the body as</w:t>
      </w:r>
      <w:r w:rsidRPr="00A461B5">
        <w:rPr>
          <w:b/>
          <w:sz w:val="26"/>
          <w:szCs w:val="26"/>
          <w:u w:val="single"/>
        </w:rPr>
        <w:t xml:space="preserve"> a </w:t>
      </w:r>
      <w:r w:rsidRPr="00267CA0">
        <w:rPr>
          <w:b/>
          <w:sz w:val="26"/>
          <w:szCs w:val="26"/>
          <w:highlight w:val="green"/>
          <w:u w:val="single"/>
        </w:rPr>
        <w:t>subversive</w:t>
      </w:r>
      <w:r w:rsidRPr="00A461B5">
        <w:rPr>
          <w:b/>
          <w:sz w:val="26"/>
          <w:szCs w:val="26"/>
          <w:u w:val="single"/>
        </w:rPr>
        <w:t xml:space="preserve"> text. These emphases are not only </w:t>
      </w:r>
      <w:r w:rsidRPr="00267CA0">
        <w:rPr>
          <w:b/>
          <w:sz w:val="26"/>
          <w:szCs w:val="26"/>
          <w:highlight w:val="green"/>
          <w:u w:val="single"/>
        </w:rPr>
        <w:t xml:space="preserve">incompatible with </w:t>
      </w:r>
      <w:r w:rsidRPr="00A461B5">
        <w:rPr>
          <w:b/>
          <w:sz w:val="26"/>
          <w:szCs w:val="26"/>
          <w:u w:val="single"/>
        </w:rPr>
        <w:t xml:space="preserve">the </w:t>
      </w:r>
      <w:r w:rsidRPr="00267CA0">
        <w:rPr>
          <w:b/>
          <w:sz w:val="26"/>
          <w:szCs w:val="26"/>
          <w:highlight w:val="green"/>
          <w:u w:val="single"/>
        </w:rPr>
        <w:t>experience</w:t>
      </w:r>
      <w:r w:rsidRPr="00A461B5">
        <w:rPr>
          <w:b/>
          <w:sz w:val="26"/>
          <w:szCs w:val="26"/>
          <w:u w:val="single"/>
        </w:rPr>
        <w:t xml:space="preserve">s </w:t>
      </w:r>
      <w:r w:rsidRPr="00267CA0">
        <w:rPr>
          <w:b/>
          <w:sz w:val="26"/>
          <w:szCs w:val="26"/>
          <w:highlight w:val="green"/>
          <w:u w:val="single"/>
        </w:rPr>
        <w:t xml:space="preserve">of </w:t>
      </w:r>
      <w:r w:rsidRPr="00A461B5">
        <w:rPr>
          <w:b/>
          <w:sz w:val="26"/>
          <w:szCs w:val="26"/>
          <w:u w:val="single"/>
        </w:rPr>
        <w:t xml:space="preserve">people with </w:t>
      </w:r>
      <w:r w:rsidRPr="00267CA0">
        <w:rPr>
          <w:b/>
          <w:sz w:val="26"/>
          <w:szCs w:val="26"/>
          <w:highlight w:val="green"/>
          <w:u w:val="single"/>
        </w:rPr>
        <w:t>disabilities;</w:t>
      </w:r>
      <w:r w:rsidRPr="00A461B5">
        <w:rPr>
          <w:b/>
          <w:sz w:val="26"/>
          <w:szCs w:val="26"/>
          <w:u w:val="single"/>
        </w:rPr>
        <w:t xml:space="preserve"> they </w:t>
      </w:r>
      <w:r w:rsidRPr="00267CA0">
        <w:rPr>
          <w:b/>
          <w:sz w:val="26"/>
          <w:szCs w:val="26"/>
          <w:highlight w:val="green"/>
          <w:u w:val="single"/>
        </w:rPr>
        <w:t>mimic the fantasy</w:t>
      </w:r>
      <w:r w:rsidRPr="00A461B5">
        <w:rPr>
          <w:b/>
          <w:sz w:val="26"/>
          <w:szCs w:val="26"/>
          <w:u w:val="single"/>
        </w:rPr>
        <w:t xml:space="preserve">, often found </w:t>
      </w:r>
      <w:r w:rsidRPr="00267CA0">
        <w:rPr>
          <w:b/>
          <w:sz w:val="26"/>
          <w:szCs w:val="26"/>
          <w:highlight w:val="green"/>
          <w:u w:val="single"/>
        </w:rPr>
        <w:t>in the medical model, that</w:t>
      </w:r>
      <w:r w:rsidRPr="00A461B5">
        <w:rPr>
          <w:b/>
          <w:sz w:val="26"/>
          <w:szCs w:val="26"/>
          <w:u w:val="single"/>
        </w:rPr>
        <w:t xml:space="preserve"> disease and </w:t>
      </w:r>
      <w:r w:rsidRPr="00267CA0">
        <w:rPr>
          <w:b/>
          <w:sz w:val="26"/>
          <w:szCs w:val="26"/>
          <w:highlight w:val="green"/>
          <w:u w:val="single"/>
        </w:rPr>
        <w:t>disability are immaterial as long as the imagination is free</w:t>
      </w:r>
      <w:r w:rsidRPr="00A461B5">
        <w:rPr>
          <w:b/>
          <w:sz w:val="26"/>
          <w:szCs w:val="26"/>
          <w:u w:val="single"/>
        </w:rPr>
        <w:t xml:space="preserve">. Doctors and medical professionals have the habit of coaxing sick people to cure </w:t>
      </w:r>
      <w:r w:rsidRPr="00A461B5">
        <w:rPr>
          <w:b/>
          <w:sz w:val="26"/>
          <w:szCs w:val="26"/>
          <w:u w:val="single"/>
        </w:rPr>
        <w:lastRenderedPageBreak/>
        <w:t>themselves by thinking positive thoughts, and when an individual’s health does not improve the failure is ascribed to mental weakness</w:t>
      </w:r>
      <w:r w:rsidRPr="00A461B5">
        <w:rPr>
          <w:sz w:val="14"/>
          <w:szCs w:val="26"/>
        </w:rPr>
        <w:t xml:space="preserve">. Sontag was perhaps the first to understand the debilitating effects of </w:t>
      </w:r>
      <w:r w:rsidRPr="00267CA0">
        <w:rPr>
          <w:b/>
          <w:sz w:val="26"/>
          <w:szCs w:val="26"/>
          <w:highlight w:val="green"/>
          <w:u w:val="single"/>
        </w:rPr>
        <w:t>describing illness as a defect of imagination or will power</w:t>
      </w:r>
      <w:r w:rsidRPr="00A461B5">
        <w:rPr>
          <w:sz w:val="14"/>
          <w:szCs w:val="26"/>
        </w:rPr>
        <w:t xml:space="preserve">. She traces the notion that disease springs from individual mental weakness to Schopenhauer’s claim that “recovery from a disease depends on the will assuming ‘dictatorial power in order to subsume the rebellious forces’ of the body” (43-44). </w:t>
      </w:r>
      <w:r w:rsidRPr="00A461B5">
        <w:rPr>
          <w:b/>
          <w:sz w:val="26"/>
          <w:szCs w:val="26"/>
          <w:u w:val="single"/>
        </w:rPr>
        <w:t>She also heaps scorn on the idea that the disabled or sick are responsible for their disease concluding that “</w:t>
      </w:r>
      <w:r w:rsidRPr="00267CA0">
        <w:rPr>
          <w:b/>
          <w:sz w:val="26"/>
          <w:szCs w:val="26"/>
          <w:highlight w:val="green"/>
          <w:u w:val="single"/>
        </w:rPr>
        <w:t>theories</w:t>
      </w:r>
      <w:r w:rsidRPr="00A461B5">
        <w:rPr>
          <w:b/>
          <w:sz w:val="26"/>
          <w:szCs w:val="26"/>
          <w:u w:val="single"/>
        </w:rPr>
        <w:t xml:space="preserve"> that </w:t>
      </w:r>
      <w:r w:rsidRPr="00267CA0">
        <w:rPr>
          <w:b/>
          <w:sz w:val="26"/>
          <w:szCs w:val="26"/>
          <w:highlight w:val="green"/>
          <w:u w:val="single"/>
        </w:rPr>
        <w:t xml:space="preserve">diseases </w:t>
      </w:r>
      <w:r w:rsidRPr="00A461B5">
        <w:rPr>
          <w:b/>
          <w:sz w:val="26"/>
          <w:szCs w:val="26"/>
          <w:u w:val="single"/>
        </w:rPr>
        <w:t xml:space="preserve">are </w:t>
      </w:r>
      <w:r w:rsidRPr="00267CA0">
        <w:rPr>
          <w:b/>
          <w:sz w:val="26"/>
          <w:szCs w:val="26"/>
          <w:highlight w:val="green"/>
          <w:u w:val="single"/>
        </w:rPr>
        <w:t>caused by mental states</w:t>
      </w:r>
      <w:r w:rsidRPr="00A461B5">
        <w:rPr>
          <w:b/>
          <w:sz w:val="26"/>
          <w:szCs w:val="26"/>
          <w:u w:val="single"/>
        </w:rPr>
        <w:t xml:space="preserve"> and </w:t>
      </w:r>
      <w:r w:rsidRPr="00267CA0">
        <w:rPr>
          <w:b/>
          <w:sz w:val="26"/>
          <w:szCs w:val="26"/>
          <w:highlight w:val="green"/>
          <w:u w:val="single"/>
        </w:rPr>
        <w:t xml:space="preserve">can be cured by will power </w:t>
      </w:r>
      <w:r w:rsidRPr="00A461B5">
        <w:rPr>
          <w:b/>
          <w:sz w:val="26"/>
          <w:szCs w:val="26"/>
          <w:u w:val="single"/>
        </w:rPr>
        <w:t xml:space="preserve">are always an </w:t>
      </w:r>
      <w:r w:rsidRPr="00267CA0">
        <w:rPr>
          <w:b/>
          <w:sz w:val="26"/>
          <w:szCs w:val="26"/>
          <w:highlight w:val="green"/>
          <w:u w:val="single"/>
        </w:rPr>
        <w:t xml:space="preserve">index of how much is not understood </w:t>
      </w:r>
      <w:r w:rsidRPr="00A461B5">
        <w:rPr>
          <w:b/>
          <w:sz w:val="26"/>
          <w:szCs w:val="26"/>
          <w:u w:val="single"/>
        </w:rPr>
        <w:t>about the physical terrain of a disease</w:t>
      </w:r>
      <w:r w:rsidRPr="00A461B5">
        <w:rPr>
          <w:sz w:val="14"/>
          <w:szCs w:val="26"/>
        </w:rPr>
        <w:t>” (55</w:t>
      </w:r>
      <w:r w:rsidRPr="00A461B5">
        <w:rPr>
          <w:b/>
          <w:sz w:val="26"/>
          <w:szCs w:val="26"/>
          <w:u w:val="single"/>
        </w:rPr>
        <w:t xml:space="preserve">). The rebellious forces of the body and the physical </w:t>
      </w:r>
      <w:r w:rsidRPr="00267CA0">
        <w:rPr>
          <w:b/>
          <w:sz w:val="26"/>
          <w:szCs w:val="26"/>
          <w:highlight w:val="green"/>
          <w:u w:val="single"/>
        </w:rPr>
        <w:t>nature of disease represent a reality untouched by metaphor.</w:t>
      </w:r>
      <w:r w:rsidRPr="00A461B5">
        <w:rPr>
          <w:b/>
          <w:sz w:val="26"/>
          <w:szCs w:val="26"/>
          <w:u w:val="single"/>
        </w:rPr>
        <w:t xml:space="preserve"> </w:t>
      </w:r>
      <w:r w:rsidRPr="00A461B5">
        <w:rPr>
          <w:sz w:val="14"/>
          <w:szCs w:val="26"/>
        </w:rPr>
        <w:t xml:space="preserve">Sontag insists that “the reality has to be explained” (55).  </w:t>
      </w:r>
    </w:p>
    <w:p w14:paraId="0DBC0111" w14:textId="77777777" w:rsidR="00892DB3" w:rsidRDefault="00892DB3" w:rsidP="00986A21">
      <w:pPr>
        <w:rPr>
          <w:color w:val="000000" w:themeColor="text1"/>
          <w:sz w:val="14"/>
        </w:rPr>
      </w:pPr>
    </w:p>
    <w:p w14:paraId="2666AF44" w14:textId="77777777" w:rsidR="00892DB3" w:rsidRDefault="00892DB3" w:rsidP="00986A21">
      <w:pPr>
        <w:rPr>
          <w:color w:val="000000" w:themeColor="text1"/>
          <w:sz w:val="14"/>
        </w:rPr>
      </w:pPr>
    </w:p>
    <w:p w14:paraId="08806E0A" w14:textId="77777777" w:rsidR="00986A21" w:rsidRPr="006948C8" w:rsidRDefault="00986A21" w:rsidP="00986A21">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420A28F5" w14:textId="77777777" w:rsidR="00986A21" w:rsidRPr="006948C8" w:rsidRDefault="00986A21" w:rsidP="00986A21">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theology and legal studies; she is interested in ways that law, new technologies and the governance of marginal populations produces understandings of the productive citizen, normative bodies, ideas of periphery and ways that </w:t>
      </w:r>
      <w:proofErr w:type="spellStart"/>
      <w:r w:rsidRPr="006948C8">
        <w:rPr>
          <w:szCs w:val="16"/>
        </w:rPr>
        <w:t>ablement</w:t>
      </w:r>
      <w:proofErr w:type="spellEnd"/>
      <w:r w:rsidRPr="006948C8">
        <w:rPr>
          <w:szCs w:val="16"/>
        </w:rPr>
        <w:t xml:space="preserve"> privileges and entitles certain groups in society. Campbell is the author of Contours of Ableism: The Production of Disability and </w:t>
      </w:r>
      <w:proofErr w:type="spellStart"/>
      <w:r w:rsidRPr="006948C8">
        <w:rPr>
          <w:szCs w:val="16"/>
        </w:rPr>
        <w:t>Abledness</w:t>
      </w:r>
      <w:proofErr w:type="spellEnd"/>
      <w:r w:rsidRPr="006948C8">
        <w:rPr>
          <w:szCs w:val="16"/>
        </w:rPr>
        <w:t> (Palgrave, 2009) and numerous other journal articles and book chapters. SJCP//JG</w:t>
      </w:r>
    </w:p>
    <w:p w14:paraId="1AD2291B" w14:textId="77777777" w:rsidR="00986A21" w:rsidRPr="006948C8" w:rsidRDefault="00986A21" w:rsidP="00986A21">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personhood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wholeness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law;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w:t>
      </w:r>
      <w:r w:rsidRPr="006948C8">
        <w:rPr>
          <w:rStyle w:val="Emphasis"/>
        </w:rPr>
        <w:lastRenderedPageBreak/>
        <w:t xml:space="preserve">suitable to express. Of course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0B7FAC15" w14:textId="77777777" w:rsidR="00986A21" w:rsidRPr="006948C8" w:rsidRDefault="00986A21" w:rsidP="00986A21">
      <w:pPr>
        <w:pStyle w:val="Heading4"/>
        <w:rPr>
          <w:rFonts w:cs="Calibri"/>
        </w:rPr>
      </w:pPr>
      <w:r>
        <w:rPr>
          <w:rFonts w:cs="Calibri"/>
        </w:rPr>
        <w:t>The alternative is</w:t>
      </w:r>
      <w:r w:rsidRPr="006948C8">
        <w:rPr>
          <w:rFonts w:cs="Calibri"/>
        </w:rPr>
        <w:t xml:space="preserve"> </w:t>
      </w:r>
      <w:r>
        <w:rPr>
          <w:rFonts w:cs="Calibri"/>
        </w:rPr>
        <w:t xml:space="preserve">to endorse the negative and </w:t>
      </w:r>
      <w:r w:rsidRPr="006948C8">
        <w:rPr>
          <w:rFonts w:cs="Calibri"/>
        </w:rPr>
        <w:t>unwavering pessimism</w:t>
      </w:r>
      <w:r>
        <w:rPr>
          <w:rFonts w:cs="Calibri"/>
        </w:rPr>
        <w:t xml:space="preserve"> </w:t>
      </w:r>
      <w:r w:rsidRPr="006948C8">
        <w:rPr>
          <w:rFonts w:cs="Calibri"/>
        </w:rPr>
        <w:t>– we reject the political and notions of futurism in exchange for an affirmation of disability’s abjection as something beautiful.</w:t>
      </w:r>
    </w:p>
    <w:p w14:paraId="3BF948BE" w14:textId="77777777" w:rsidR="00986A21" w:rsidRPr="006948C8" w:rsidRDefault="00986A21" w:rsidP="00986A21">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Cs w:val="16"/>
        </w:rPr>
        <w:t>Michael (2016): Crip Pessimism: The Language of Dis/ability and the Culture that Isn't, Southern Illinois University Carbondale, SJCP//JG</w:t>
      </w:r>
    </w:p>
    <w:p w14:paraId="656873D1" w14:textId="77777777" w:rsidR="00986A21" w:rsidRPr="006948C8" w:rsidRDefault="00986A21" w:rsidP="00986A21">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beginning to notice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The Mantle.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r w:rsidRPr="00B60288">
        <w:rPr>
          <w:rStyle w:val="Emphasis"/>
          <w:highlight w:val="green"/>
        </w:rPr>
        <w:t>Often times</w:t>
      </w:r>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xml:space="preserve">, 2006, p. </w:t>
      </w:r>
      <w:r w:rsidRPr="006948C8">
        <w:rPr>
          <w:rStyle w:val="Emphasis"/>
        </w:rPr>
        <w:lastRenderedPageBreak/>
        <w:t>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rights based approach that will be suitable to address all disabled experiences, as the theoretical call for </w:t>
      </w:r>
      <w:proofErr w:type="spellStart"/>
      <w:r w:rsidRPr="006948C8">
        <w:rPr>
          <w:sz w:val="14"/>
        </w:rPr>
        <w:t>crip</w:t>
      </w:r>
      <w:proofErr w:type="spellEnd"/>
      <w:r w:rsidRPr="006948C8">
        <w:rPr>
          <w:sz w:val="14"/>
        </w:rPr>
        <w:t xml:space="preserve">-pessimism will remind us.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Philosophical pessimism is articulated next as a way to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I choose to include pessimism as a theoretical crutch to avoid communication studies’ sensationalism of disability. I imagine that when critical communication studies does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w:t>
      </w:r>
      <w:r w:rsidRPr="006948C8">
        <w:rPr>
          <w:sz w:val="14"/>
        </w:rPr>
        <w:lastRenderedPageBreak/>
        <w:t xml:space="preserve">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fleeting and enduring, validates the perpetually fragmented subject seeking a world that exists beyond good and evil and instead just is. </w:t>
      </w:r>
    </w:p>
    <w:p w14:paraId="73300E1C" w14:textId="77777777" w:rsidR="00986A21" w:rsidRPr="006948C8" w:rsidRDefault="00986A21" w:rsidP="00986A21">
      <w:pPr>
        <w:pStyle w:val="Heading4"/>
        <w:rPr>
          <w:rFonts w:cs="Calibri"/>
        </w:rPr>
      </w:pPr>
      <w:r w:rsidRPr="006948C8">
        <w:rPr>
          <w:rFonts w:cs="Calibri"/>
        </w:rPr>
        <w:t>Psychoanalysis is both falsifiable and accurate – studies prove.</w:t>
      </w:r>
    </w:p>
    <w:p w14:paraId="159A4BAD" w14:textId="77777777" w:rsidR="00986A21" w:rsidRPr="006948C8" w:rsidRDefault="00986A21" w:rsidP="00986A21">
      <w:pPr>
        <w:rPr>
          <w:szCs w:val="16"/>
        </w:rPr>
      </w:pPr>
      <w:r w:rsidRPr="006948C8">
        <w:rPr>
          <w:rStyle w:val="Style13ptBold"/>
        </w:rPr>
        <w:t>Grant &amp; Harari 5</w:t>
      </w:r>
      <w:r w:rsidRPr="006948C8">
        <w:rPr>
          <w:szCs w:val="16"/>
        </w:rPr>
        <w:t xml:space="preserve"> (Don and Edwin, psychiatrists, “Psychoanalysis, science and the seductive theory of Karl Popper,” Australian and New Zealand Journal of Psychiatry)</w:t>
      </w:r>
    </w:p>
    <w:p w14:paraId="5B55D6EE" w14:textId="77777777" w:rsidR="00986A21" w:rsidRDefault="00986A21" w:rsidP="00986A21">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w:t>
      </w:r>
      <w:r w:rsidRPr="00B515A1">
        <w:rPr>
          <w:rStyle w:val="Emphasis"/>
        </w:rPr>
        <w:t>their methodology [5] and the empirically d</w:t>
      </w:r>
      <w:r w:rsidRPr="006948C8">
        <w:rPr>
          <w:rStyle w:val="Emphasis"/>
        </w:rPr>
        <w:t xml:space="preserve">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t xml:space="preserve"> [6,7]. Also, burgeoning </w:t>
      </w:r>
      <w:r w:rsidRPr="00B60288">
        <w:rPr>
          <w:rStyle w:val="Emphasis"/>
          <w:highlight w:val="green"/>
        </w:rPr>
        <w:t>neuroscience</w:t>
      </w:r>
      <w:r w:rsidRPr="00B60288">
        <w:rPr>
          <w:highlight w:val="green"/>
        </w:rPr>
        <w:t xml:space="preserve"> </w:t>
      </w:r>
      <w:r w:rsidRPr="00B60288">
        <w:rPr>
          <w:rStyle w:val="Emphasis"/>
          <w:highlight w:val="green"/>
        </w:rPr>
        <w:t>research</w:t>
      </w:r>
      <w:r w:rsidRPr="006948C8">
        <w:t xml:space="preserve">, some of which is summarized below, </w:t>
      </w:r>
      <w:r w:rsidRPr="00B60288">
        <w:rPr>
          <w:rStyle w:val="Emphasis"/>
          <w:highlight w:val="green"/>
        </w:rPr>
        <w:t>indicates</w:t>
      </w:r>
      <w:r w:rsidRPr="006948C8">
        <w:rPr>
          <w:rStyle w:val="Emphasis"/>
        </w:rPr>
        <w:t xml:space="preserve"> likely neurological correlates for many key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t xml:space="preserve"> [11,12], particularly </w:t>
      </w:r>
      <w:r w:rsidRPr="00B60288">
        <w:rPr>
          <w:rStyle w:val="Emphasis"/>
          <w:highlight w:val="green"/>
        </w:rPr>
        <w:t>for</w:t>
      </w:r>
      <w:r w:rsidRPr="006948C8">
        <w:t xml:space="preserve"> patients with </w:t>
      </w:r>
      <w:r w:rsidRPr="00B60288">
        <w:rPr>
          <w:rStyle w:val="Emphasis"/>
          <w:highlight w:val="green"/>
        </w:rPr>
        <w:t>DSM axis II pathology</w:t>
      </w:r>
      <w:r w:rsidRPr="006948C8">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t>.</w:t>
      </w:r>
    </w:p>
    <w:p w14:paraId="07235350" w14:textId="77777777" w:rsidR="00986A21" w:rsidRDefault="00986A21" w:rsidP="00986A21">
      <w:pPr>
        <w:pStyle w:val="Heading4"/>
        <w:spacing w:line="276" w:lineRule="auto"/>
        <w:ind w:right="-43"/>
      </w:pPr>
      <w:r>
        <w:rPr>
          <w:color w:val="000000" w:themeColor="text1"/>
        </w:rPr>
        <w:lastRenderedPageBreak/>
        <w:t xml:space="preserve">No perms: (a) view it as artificially distinct since it’s key to fully flesh out the individual intricacies of both methods and create more concrete proposals (b) justifies infinite </w:t>
      </w:r>
      <w:proofErr w:type="spellStart"/>
      <w:r>
        <w:rPr>
          <w:color w:val="000000" w:themeColor="text1"/>
        </w:rPr>
        <w:t>aff</w:t>
      </w:r>
      <w:proofErr w:type="spellEnd"/>
      <w:r>
        <w:rPr>
          <w:color w:val="000000" w:themeColor="text1"/>
        </w:rPr>
        <w:t xml:space="preserve"> conditionality – </w:t>
      </w:r>
      <w:proofErr w:type="spellStart"/>
      <w:r>
        <w:rPr>
          <w:color w:val="000000" w:themeColor="text1"/>
        </w:rPr>
        <w:t>allowings</w:t>
      </w:r>
      <w:proofErr w:type="spellEnd"/>
      <w:r>
        <w:rPr>
          <w:color w:val="000000" w:themeColor="text1"/>
        </w:rPr>
        <w:t xml:space="preserve"> permutations allows infinite new 1AR advocacies which skews 1 mins of the 1NC and destroys neg ground (c) </w:t>
      </w:r>
      <w:proofErr w:type="spellStart"/>
      <w:r>
        <w:rPr>
          <w:color w:val="000000" w:themeColor="text1"/>
        </w:rPr>
        <w:t>irreciprocal</w:t>
      </w:r>
      <w:proofErr w:type="spellEnd"/>
      <w:r>
        <w:rPr>
          <w:color w:val="000000" w:themeColor="text1"/>
        </w:rPr>
        <w:t xml:space="preserve"> – we can’t permute their methods which means they can always intrinsic perm or sever which destroys neg ground (d) illogical – the alt isn’t </w:t>
      </w:r>
      <w:proofErr w:type="spellStart"/>
      <w:r>
        <w:rPr>
          <w:color w:val="000000" w:themeColor="text1"/>
        </w:rPr>
        <w:t>fiated</w:t>
      </w:r>
      <w:proofErr w:type="spellEnd"/>
      <w:r>
        <w:rPr>
          <w:color w:val="000000" w:themeColor="text1"/>
        </w:rPr>
        <w:t xml:space="preserve"> in the sense of the </w:t>
      </w:r>
      <w:proofErr w:type="spellStart"/>
      <w:r>
        <w:rPr>
          <w:color w:val="000000" w:themeColor="text1"/>
        </w:rPr>
        <w:t>aff</w:t>
      </w:r>
      <w:proofErr w:type="spellEnd"/>
      <w:r>
        <w:rPr>
          <w:color w:val="000000" w:themeColor="text1"/>
        </w:rPr>
        <w:t xml:space="preserve"> so endorsing a </w:t>
      </w:r>
      <w:proofErr w:type="spellStart"/>
      <w:r>
        <w:rPr>
          <w:color w:val="000000" w:themeColor="text1"/>
        </w:rPr>
        <w:t>fiated</w:t>
      </w:r>
      <w:proofErr w:type="spellEnd"/>
      <w:r>
        <w:rPr>
          <w:color w:val="000000" w:themeColor="text1"/>
        </w:rPr>
        <w:t xml:space="preserve"> world mixed with a pre-fiat orientation is incoherent (e) hold the 1AC method by itself since anything else endorses bad scholarship since it justifies </w:t>
      </w:r>
      <w:proofErr w:type="spellStart"/>
      <w:r>
        <w:rPr>
          <w:color w:val="000000" w:themeColor="text1"/>
        </w:rPr>
        <w:t>severence</w:t>
      </w:r>
      <w:proofErr w:type="spellEnd"/>
      <w:r>
        <w:rPr>
          <w:color w:val="000000" w:themeColor="text1"/>
        </w:rPr>
        <w:t xml:space="preserve"> – justifying both in the </w:t>
      </w:r>
      <w:proofErr w:type="spellStart"/>
      <w:r>
        <w:rPr>
          <w:color w:val="000000" w:themeColor="text1"/>
        </w:rPr>
        <w:t>aff</w:t>
      </w:r>
      <w:proofErr w:type="spellEnd"/>
      <w:r>
        <w:rPr>
          <w:color w:val="000000" w:themeColor="text1"/>
        </w:rPr>
        <w:t xml:space="preserve"> solves.</w:t>
      </w:r>
    </w:p>
    <w:p w14:paraId="00BCE328" w14:textId="490D6DCA" w:rsidR="00F43D3F" w:rsidRPr="00F43D3F" w:rsidRDefault="00F43D3F" w:rsidP="00F43D3F"/>
    <w:p w14:paraId="02202BCB" w14:textId="77777777" w:rsidR="00DE4E8B" w:rsidRPr="00DE4E8B" w:rsidRDefault="00DE4E8B" w:rsidP="00DE4E8B"/>
    <w:sectPr w:rsidR="00DE4E8B" w:rsidRPr="00DE4E8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732F"/>
    <w:rsid w:val="000029E3"/>
    <w:rsid w:val="000029E8"/>
    <w:rsid w:val="00004225"/>
    <w:rsid w:val="000066CA"/>
    <w:rsid w:val="00007264"/>
    <w:rsid w:val="000076A9"/>
    <w:rsid w:val="00014FAD"/>
    <w:rsid w:val="00015D2A"/>
    <w:rsid w:val="0001732F"/>
    <w:rsid w:val="0002490B"/>
    <w:rsid w:val="00026465"/>
    <w:rsid w:val="00030204"/>
    <w:rsid w:val="000312A0"/>
    <w:rsid w:val="0003396C"/>
    <w:rsid w:val="00035337"/>
    <w:rsid w:val="00046F0A"/>
    <w:rsid w:val="00052FB1"/>
    <w:rsid w:val="00054276"/>
    <w:rsid w:val="000547B1"/>
    <w:rsid w:val="0006091E"/>
    <w:rsid w:val="000638C1"/>
    <w:rsid w:val="00065FEE"/>
    <w:rsid w:val="00066E3C"/>
    <w:rsid w:val="00072718"/>
    <w:rsid w:val="0007381E"/>
    <w:rsid w:val="00076094"/>
    <w:rsid w:val="0008785F"/>
    <w:rsid w:val="00090CBE"/>
    <w:rsid w:val="00094DEC"/>
    <w:rsid w:val="0009613A"/>
    <w:rsid w:val="000A2D8A"/>
    <w:rsid w:val="000D26A6"/>
    <w:rsid w:val="000D2B90"/>
    <w:rsid w:val="000D6ED8"/>
    <w:rsid w:val="000D717B"/>
    <w:rsid w:val="000E0B7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A4B"/>
    <w:rsid w:val="002E0643"/>
    <w:rsid w:val="002E392E"/>
    <w:rsid w:val="002E6BBC"/>
    <w:rsid w:val="002F1BA9"/>
    <w:rsid w:val="002F6E74"/>
    <w:rsid w:val="003056A0"/>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2735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C7649"/>
    <w:rsid w:val="004D17D8"/>
    <w:rsid w:val="004D52D8"/>
    <w:rsid w:val="004E355B"/>
    <w:rsid w:val="005028E5"/>
    <w:rsid w:val="00503735"/>
    <w:rsid w:val="00514F6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3BA"/>
    <w:rsid w:val="005B6EE8"/>
    <w:rsid w:val="005B726A"/>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FA6"/>
    <w:rsid w:val="00803A12"/>
    <w:rsid w:val="00805417"/>
    <w:rsid w:val="008266F9"/>
    <w:rsid w:val="008267E2"/>
    <w:rsid w:val="00826A9B"/>
    <w:rsid w:val="0083420F"/>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DB3"/>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45C"/>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A21"/>
    <w:rsid w:val="00990634"/>
    <w:rsid w:val="00991733"/>
    <w:rsid w:val="00992078"/>
    <w:rsid w:val="00992BE3"/>
    <w:rsid w:val="009976FA"/>
    <w:rsid w:val="009A1467"/>
    <w:rsid w:val="009A14A0"/>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2A46"/>
    <w:rsid w:val="00A8441A"/>
    <w:rsid w:val="00A8674A"/>
    <w:rsid w:val="00A94AEA"/>
    <w:rsid w:val="00A96E24"/>
    <w:rsid w:val="00AA4B55"/>
    <w:rsid w:val="00AA6F6E"/>
    <w:rsid w:val="00AB122B"/>
    <w:rsid w:val="00AB21B0"/>
    <w:rsid w:val="00AB48D3"/>
    <w:rsid w:val="00AE0243"/>
    <w:rsid w:val="00AE1BAD"/>
    <w:rsid w:val="00AE2124"/>
    <w:rsid w:val="00AE24BC"/>
    <w:rsid w:val="00AE3E3F"/>
    <w:rsid w:val="00AF246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0ED"/>
    <w:rsid w:val="00B65954"/>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EA4"/>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E8B"/>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11B"/>
    <w:rsid w:val="00EF1AD8"/>
    <w:rsid w:val="00EF2B5C"/>
    <w:rsid w:val="00EF7794"/>
    <w:rsid w:val="00F02046"/>
    <w:rsid w:val="00F053D8"/>
    <w:rsid w:val="00F07888"/>
    <w:rsid w:val="00F1313D"/>
    <w:rsid w:val="00F15E16"/>
    <w:rsid w:val="00F201E7"/>
    <w:rsid w:val="00F204E0"/>
    <w:rsid w:val="00F20B16"/>
    <w:rsid w:val="00F21C79"/>
    <w:rsid w:val="00F238C9"/>
    <w:rsid w:val="00F23CA5"/>
    <w:rsid w:val="00F277AA"/>
    <w:rsid w:val="00F31955"/>
    <w:rsid w:val="00F34C06"/>
    <w:rsid w:val="00F43D3F"/>
    <w:rsid w:val="00F43EA3"/>
    <w:rsid w:val="00F50C55"/>
    <w:rsid w:val="00F57FFB"/>
    <w:rsid w:val="00F601E6"/>
    <w:rsid w:val="00F73954"/>
    <w:rsid w:val="00F81238"/>
    <w:rsid w:val="00F94060"/>
    <w:rsid w:val="00FA56F6"/>
    <w:rsid w:val="00FB329D"/>
    <w:rsid w:val="00FC27E3"/>
    <w:rsid w:val="00FC74C7"/>
    <w:rsid w:val="00FD451D"/>
    <w:rsid w:val="00FD5B22"/>
    <w:rsid w:val="00FE1B01"/>
    <w:rsid w:val="00FF6B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DCF471"/>
  <w14:defaultImageDpi w14:val="300"/>
  <w15:docId w15:val="{DF6B2887-8778-7047-81F5-02F231181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056A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056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056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9"/>
    <w:unhideWhenUsed/>
    <w:qFormat/>
    <w:rsid w:val="003056A0"/>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3056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056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56A0"/>
  </w:style>
  <w:style w:type="character" w:customStyle="1" w:styleId="Heading1Char">
    <w:name w:val="Heading 1 Char"/>
    <w:aliases w:val="Pocket Char"/>
    <w:basedOn w:val="DefaultParagraphFont"/>
    <w:link w:val="Heading1"/>
    <w:uiPriority w:val="9"/>
    <w:rsid w:val="003056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056A0"/>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1, Char Char1,Tag Char Char Char,Bold Cite Char1,Cite 1 Char,Read Char Char,Text 7 Char"/>
    <w:basedOn w:val="DefaultParagraphFont"/>
    <w:link w:val="Heading3"/>
    <w:uiPriority w:val="9"/>
    <w:rsid w:val="003056A0"/>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3056A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056A0"/>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3056A0"/>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3056A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056A0"/>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3056A0"/>
    <w:rPr>
      <w:color w:val="auto"/>
      <w:u w:val="none"/>
    </w:rPr>
  </w:style>
  <w:style w:type="paragraph" w:styleId="DocumentMap">
    <w:name w:val="Document Map"/>
    <w:basedOn w:val="Normal"/>
    <w:link w:val="DocumentMapChar"/>
    <w:uiPriority w:val="99"/>
    <w:semiHidden/>
    <w:unhideWhenUsed/>
    <w:rsid w:val="003056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56A0"/>
    <w:rPr>
      <w:rFonts w:ascii="Lucida Grande" w:hAnsi="Lucida Grande" w:cs="Lucida Grande"/>
    </w:rPr>
  </w:style>
  <w:style w:type="paragraph" w:customStyle="1" w:styleId="textbold">
    <w:name w:val="text bold"/>
    <w:basedOn w:val="Normal"/>
    <w:link w:val="Emphasis"/>
    <w:uiPriority w:val="20"/>
    <w:qFormat/>
    <w:rsid w:val="0001732F"/>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01732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Clear,DDI Tag,Tag Title,No Spacing6,No Spacing7,No Spacing8,Dont u,No Spacing311,No Spacing51"/>
    <w:basedOn w:val="Heading1"/>
    <w:autoRedefine/>
    <w:uiPriority w:val="99"/>
    <w:qFormat/>
    <w:rsid w:val="00EF111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6253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10</Pages>
  <Words>6916</Words>
  <Characters>39423</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46247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12</cp:revision>
  <dcterms:created xsi:type="dcterms:W3CDTF">2021-09-12T00:15:00Z</dcterms:created>
  <dcterms:modified xsi:type="dcterms:W3CDTF">2021-09-12T23:12:00Z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