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31FA3" w14:textId="77777777" w:rsidR="00A076FD" w:rsidRPr="006948C8" w:rsidRDefault="00A076FD" w:rsidP="00A076FD">
      <w:pPr>
        <w:pStyle w:val="Heading2"/>
        <w:rPr>
          <w:rFonts w:cs="Calibri"/>
          <w:color w:val="000000" w:themeColor="text1"/>
        </w:rPr>
      </w:pPr>
      <w:r w:rsidRPr="0044713E">
        <w:rPr>
          <w:rFonts w:cs="Calibri"/>
          <w:color w:val="000000" w:themeColor="text1"/>
        </w:rPr>
        <w:t>1NC Shell</w:t>
      </w:r>
    </w:p>
    <w:p w14:paraId="7B217166" w14:textId="77777777" w:rsidR="00A076FD" w:rsidRPr="00AE3F77" w:rsidRDefault="00A076FD" w:rsidP="00A076FD">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4D08574E" w14:textId="77777777" w:rsidR="00A076FD" w:rsidRPr="006948C8" w:rsidRDefault="00A076FD" w:rsidP="00A076FD">
      <w:pPr>
        <w:spacing w:after="0" w:line="240" w:lineRule="auto"/>
        <w:rPr>
          <w:color w:val="000000" w:themeColor="text1"/>
          <w:szCs w:val="16"/>
        </w:rPr>
      </w:pPr>
      <w:r w:rsidRPr="006948C8">
        <w:rPr>
          <w:b/>
          <w:bCs/>
          <w:color w:val="000000" w:themeColor="text1"/>
          <w:sz w:val="26"/>
          <w:szCs w:val="26"/>
        </w:rPr>
        <w:t>Mollow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540A31E9" w14:textId="77777777" w:rsidR="00A076FD" w:rsidRPr="006948C8" w:rsidRDefault="00A076FD" w:rsidP="00A076FD">
      <w:pPr>
        <w:rPr>
          <w:color w:val="000000" w:themeColor="text1"/>
          <w:sz w:val="14"/>
        </w:rPr>
      </w:pPr>
      <w:r w:rsidRPr="006948C8">
        <w:rPr>
          <w:color w:val="000000" w:themeColor="text1"/>
          <w:sz w:val="14"/>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 xml:space="preserve">Primary pity </w:t>
      </w:r>
      <w:r w:rsidRPr="00AE3F77">
        <w:rPr>
          <w:rStyle w:val="Emphasis"/>
          <w:color w:val="000000" w:themeColor="text1"/>
        </w:rPr>
        <w:t>arises</w:t>
      </w:r>
      <w:r w:rsidRPr="00B60288">
        <w:rPr>
          <w:rStyle w:val="Emphasis"/>
          <w:color w:val="000000" w:themeColor="text1"/>
          <w:highlight w:val="green"/>
        </w:rPr>
        <w:t xml:space="preserve"> when one witnesses </w:t>
      </w:r>
      <w:r w:rsidRPr="00AE3F77">
        <w:rPr>
          <w:rStyle w:val="Emphasis"/>
          <w:color w:val="000000" w:themeColor="text1"/>
        </w:rPr>
        <w:t>a fall of the self,</w:t>
      </w:r>
      <w:r w:rsidRPr="006948C8">
        <w:rPr>
          <w:rStyle w:val="Emphasis"/>
          <w:color w:val="000000" w:themeColor="text1"/>
        </w:rPr>
        <w:t xml:space="preserve"> </w:t>
      </w:r>
      <w:r w:rsidRPr="00AE3F77">
        <w:rPr>
          <w:rStyle w:val="Emphasis"/>
          <w:color w:val="000000" w:themeColor="text1"/>
          <w:highlight w:val="green"/>
        </w:rPr>
        <w:t>a collapse of the ego</w:t>
      </w:r>
      <w:r w:rsidRPr="006948C8">
        <w:rPr>
          <w:rStyle w:val="Emphasis"/>
          <w:color w:val="000000" w:themeColor="text1"/>
        </w:rPr>
        <w:t xml:space="preserve">; such </w:t>
      </w:r>
      <w:r w:rsidRPr="00086C91">
        <w:rPr>
          <w:rStyle w:val="Emphasis"/>
          <w:color w:val="000000" w:themeColor="text1"/>
        </w:rPr>
        <w:t xml:space="preserve">falling is at </w:t>
      </w:r>
      <w:r w:rsidRPr="00AE3F77">
        <w:rPr>
          <w:rStyle w:val="Emphasis"/>
          <w:color w:val="000000" w:themeColor="text1"/>
        </w:rPr>
        <w:t>once painful and pleasurable to observe</w:t>
      </w:r>
      <w:r w:rsidRPr="006948C8">
        <w:rPr>
          <w:rStyle w:val="Emphasis"/>
          <w:color w:val="000000" w:themeColor="text1"/>
        </w:rPr>
        <w:t xml:space="preserve">. In other words, primary pity could be described as a vicarious experience of the tragedy of disability. A great deal of the pain and pleasure of primary pity </w:t>
      </w:r>
      <w:r w:rsidRPr="00086C91">
        <w:rPr>
          <w:rStyle w:val="Emphasis"/>
          <w:color w:val="000000" w:themeColor="text1"/>
        </w:rPr>
        <w:t>center on questions about what, or who, this fallen self is</w:t>
      </w:r>
      <w:r w:rsidRPr="00086C91">
        <w:rPr>
          <w:color w:val="000000" w:themeColor="text1"/>
          <w:sz w:val="14"/>
        </w:rPr>
        <w:t xml:space="preserve">. When most people think about pity, we refer to an affect in which, to adopt Edelman’s phrase, </w:t>
      </w:r>
      <w:r w:rsidRPr="00086C91">
        <w:rPr>
          <w:rStyle w:val="Emphasis"/>
          <w:color w:val="000000" w:themeColor="text1"/>
        </w:rPr>
        <w:t>we purport to “feel for the other.”</w:t>
      </w:r>
      <w:r w:rsidRPr="00086C91">
        <w:rPr>
          <w:color w:val="000000" w:themeColor="text1"/>
          <w:sz w:val="14"/>
        </w:rPr>
        <w:t xml:space="preserve"> But as with primary narcissism, in which the self has not yet been</w:t>
      </w:r>
      <w:r w:rsidRPr="006948C8">
        <w:rPr>
          <w:color w:val="000000" w:themeColor="text1"/>
          <w:sz w:val="14"/>
        </w:rPr>
        <w:t xml:space="preserve"> constituted, and therefore cannot be said to enter into intersubjective relations with an “other,” </w:t>
      </w:r>
      <w:r w:rsidRPr="006948C8">
        <w:rPr>
          <w:rStyle w:val="Emphasis"/>
          <w:color w:val="000000" w:themeColor="text1"/>
        </w:rPr>
        <w:t xml:space="preserve">primary </w:t>
      </w:r>
      <w:r w:rsidRPr="00AE3F77">
        <w:rPr>
          <w:rStyle w:val="Emphasis"/>
          <w:color w:val="000000" w:themeColor="text1"/>
        </w:rPr>
        <w:t>pity entails a mixing up of self and other such that the ego, in becoming permeable to pain that may properly belong to “someone else,” is profoundly threatened in its integrity</w:t>
      </w:r>
      <w:r w:rsidRPr="00AE3F77">
        <w:rPr>
          <w:color w:val="000000" w:themeColor="text1"/>
          <w:sz w:val="14"/>
        </w:rPr>
        <w:t xml:space="preserve">. Primary pity is that intense pain-pleasure complex that is provoked by the image of a suffering other who, it seems momentarily, both is and is not one’s self. </w:t>
      </w:r>
      <w:r w:rsidRPr="00AE3F77">
        <w:rPr>
          <w:rStyle w:val="Emphasis"/>
          <w:color w:val="000000" w:themeColor="text1"/>
        </w:rPr>
        <w:t>This affective response can feel unbearable, as seen in Siebers’s formulation: one “cannot bear to look…but also cannot bear 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 xml:space="preserve">Secondary pity attempts to heal </w:t>
      </w:r>
      <w:r w:rsidRPr="00AE3F77">
        <w:rPr>
          <w:rStyle w:val="Emphasis"/>
          <w:color w:val="000000" w:themeColor="text1"/>
        </w:rPr>
        <w:t>primary pity’s self</w:t>
      </w:r>
      <w:r w:rsidRPr="006948C8">
        <w:rPr>
          <w:rStyle w:val="Emphasis"/>
          <w:color w:val="000000" w:themeColor="text1"/>
        </w:rPr>
        <w:t>-</w:t>
      </w:r>
      <w:r w:rsidRPr="00086C91">
        <w:rPr>
          <w:rStyle w:val="Emphasis"/>
          <w:color w:val="000000" w:themeColor="text1"/>
        </w:rPr>
        <w:t xml:space="preserve">rupturing effects </w:t>
      </w:r>
      <w:r w:rsidRPr="00B60288">
        <w:rPr>
          <w:rStyle w:val="Emphasis"/>
          <w:color w:val="000000" w:themeColor="text1"/>
          <w:highlight w:val="green"/>
        </w:rPr>
        <w:t>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 xml:space="preserve">obligatory claims that disabled people’s suffering is </w:t>
      </w:r>
      <w:r w:rsidRPr="006948C8">
        <w:rPr>
          <w:rStyle w:val="Emphasis"/>
          <w:color w:val="000000" w:themeColor="text1"/>
        </w:rPr>
        <w:lastRenderedPageBreak/>
        <w:t>“inspiring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r>
        <w:rPr>
          <w:color w:val="000000" w:themeColor="text1"/>
          <w:sz w:val="14"/>
        </w:rPr>
        <w:t>x</w:t>
      </w:r>
      <w:r w:rsidRPr="006948C8">
        <w:rPr>
          <w:color w:val="000000" w:themeColor="text1"/>
          <w:sz w:val="14"/>
        </w:rPr>
        <w:t xml:space="preserve">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w:t>
      </w:r>
      <w:r w:rsidRPr="00086C91">
        <w:rPr>
          <w:color w:val="000000" w:themeColor="text1"/>
          <w:sz w:val="14"/>
        </w:rPr>
        <w:lastRenderedPageBreak/>
        <w:t>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2629AB09" w14:textId="77777777" w:rsidR="00A076FD" w:rsidRPr="0038556A" w:rsidRDefault="00A076FD" w:rsidP="00A076FD">
      <w:pPr>
        <w:pStyle w:val="Heading4"/>
        <w:rPr>
          <w:rFonts w:cs="Calibri"/>
          <w:color w:val="000000" w:themeColor="text1"/>
        </w:rPr>
      </w:pPr>
      <w:r>
        <w:rPr>
          <w:rFonts w:cs="Calibri"/>
          <w:color w:val="000000" w:themeColor="text1"/>
        </w:rPr>
        <w:t>The affirmatives optimistic hope of a better future is complicit in rehabilitative futurism, as the disabled object is seen through a lens of nonproduction – this discludes disability from the political and notions of reformism. They don’t get to weigh case – if we win their starting point is violent then they shouldn’t be able to weigh their endpoint.</w:t>
      </w:r>
    </w:p>
    <w:p w14:paraId="2793479F" w14:textId="77777777" w:rsidR="00A076FD" w:rsidRPr="006948C8" w:rsidRDefault="00A076FD" w:rsidP="00A076FD">
      <w:pPr>
        <w:spacing w:after="0" w:line="240" w:lineRule="auto"/>
        <w:rPr>
          <w:color w:val="000000" w:themeColor="text1"/>
          <w:szCs w:val="16"/>
        </w:rPr>
      </w:pPr>
      <w:r w:rsidRPr="006948C8">
        <w:rPr>
          <w:b/>
          <w:bCs/>
          <w:color w:val="000000" w:themeColor="text1"/>
          <w:sz w:val="26"/>
          <w:szCs w:val="26"/>
        </w:rPr>
        <w:t>Mollow 2</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582F5FF3" w14:textId="77777777" w:rsidR="00A076FD" w:rsidRDefault="00A076FD" w:rsidP="00A076FD">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w:t>
      </w:r>
      <w:r w:rsidRPr="00542B95">
        <w:rPr>
          <w:rStyle w:val="Emphasis"/>
          <w:color w:val="000000" w:themeColor="text1"/>
        </w:rPr>
        <w:t xml:space="preserve">but also from </w:t>
      </w:r>
      <w:r w:rsidRPr="00B60288">
        <w:rPr>
          <w:rStyle w:val="Emphasis"/>
          <w:color w:val="000000" w:themeColor="text1"/>
          <w:highlight w:val="green"/>
        </w:rPr>
        <w:t>disability</w:t>
      </w:r>
      <w:r w:rsidRPr="006948C8">
        <w:rPr>
          <w:color w:val="000000" w:themeColor="text1"/>
          <w:sz w:val="14"/>
        </w:rPr>
        <w:t xml:space="preserve"> (19). </w:t>
      </w:r>
      <w:r w:rsidRPr="006948C8">
        <w:rPr>
          <w:rStyle w:val="Emphasis"/>
          <w:color w:val="000000" w:themeColor="text1"/>
        </w:rPr>
        <w:t xml:space="preserve">For example, </w:t>
      </w:r>
      <w:r w:rsidRPr="00542B95">
        <w:rPr>
          <w:rStyle w:val="Emphasis"/>
          <w:color w:val="000000" w:themeColor="text1"/>
          <w:highlight w:val="green"/>
        </w:rPr>
        <w:t>the Child is the centerpiece</w:t>
      </w:r>
      <w:r w:rsidRPr="006948C8">
        <w:rPr>
          <w:rStyle w:val="Emphasis"/>
          <w:color w:val="000000" w:themeColor="text1"/>
        </w:rPr>
        <w:t xml:space="preserve"> of the telethon, </w:t>
      </w:r>
      <w:r w:rsidRPr="00542B95">
        <w:rPr>
          <w:rStyle w:val="Emphasis"/>
          <w:color w:val="000000" w:themeColor="text1"/>
          <w:highlight w:val="green"/>
        </w:rPr>
        <w:t>a</w:t>
      </w:r>
      <w:r w:rsidRPr="006948C8">
        <w:rPr>
          <w:rStyle w:val="Emphasis"/>
          <w:color w:val="000000" w:themeColor="text1"/>
        </w:rPr>
        <w:t xml:space="preserve"> ritual </w:t>
      </w:r>
      <w:r w:rsidRPr="00542B95">
        <w:rPr>
          <w:rStyle w:val="Emphasis"/>
          <w:color w:val="000000" w:themeColor="text1"/>
          <w:highlight w:val="green"/>
        </w:rPr>
        <w:t>display</w:t>
      </w:r>
      <w:r w:rsidRPr="006948C8">
        <w:rPr>
          <w:rStyle w:val="Emphasis"/>
          <w:color w:val="000000" w:themeColor="text1"/>
        </w:rPr>
        <w:t xml:space="preserve"> of pity </w:t>
      </w:r>
      <w:r w:rsidRPr="00542B95">
        <w:rPr>
          <w:rStyle w:val="Emphasis"/>
          <w:color w:val="000000" w:themeColor="text1"/>
          <w:highlight w:val="green"/>
        </w:rPr>
        <w:t>that demeans</w:t>
      </w:r>
      <w:r w:rsidRPr="006948C8">
        <w:rPr>
          <w:rStyle w:val="Emphasis"/>
          <w:color w:val="000000" w:themeColor="text1"/>
        </w:rPr>
        <w:t xml:space="preserve"> disabled people. </w:t>
      </w:r>
      <w:r w:rsidRPr="00542B95">
        <w:rPr>
          <w:rStyle w:val="Emphasis"/>
          <w:color w:val="000000" w:themeColor="text1"/>
        </w:rPr>
        <w:t>When Jerry Lewis counters disability activists’ objections to his assertion that a disabled person is “half a person,” he insists that he is only fighting for the Children: “Please, I’m begging for survival. I want my kids alive,” he implores</w:t>
      </w:r>
      <w:r w:rsidRPr="00542B95">
        <w:rPr>
          <w:color w:val="000000" w:themeColor="text1"/>
          <w:sz w:val="14"/>
        </w:rPr>
        <w:t xml:space="preserve"> (in Joh</w:t>
      </w:r>
      <w:r w:rsidRPr="006948C8">
        <w:rPr>
          <w:color w:val="000000" w:themeColor="text1"/>
          <w:sz w:val="14"/>
        </w:rPr>
        <w:t xml:space="preserve">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a term that I coin to overlap and i</w:t>
      </w:r>
      <w:r w:rsidRPr="00542B95">
        <w:rPr>
          <w:rStyle w:val="Emphasis"/>
          <w:color w:val="000000" w:themeColor="text1"/>
        </w:rPr>
        <w:t>ntersect with Edelman’s notion of “reproductive futurism.” If, as Edelman maintains, the future is envisaged in terms of a fantasmatic “Child,” then the survival of this future-figured-as-Child is threatened by both queerness and 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w:t>
      </w:r>
      <w:r w:rsidRPr="00542B95">
        <w:rPr>
          <w:rStyle w:val="Emphasis"/>
          <w:color w:val="000000" w:themeColor="text1"/>
        </w:rPr>
        <w:t>a “crippled</w:t>
      </w:r>
      <w:r w:rsidRPr="00D842CE">
        <w:rPr>
          <w:rStyle w:val="Emphasis"/>
          <w:color w:val="000000" w:themeColor="text1"/>
        </w:rPr>
        <w:t>”</w:t>
      </w:r>
      <w:r w:rsidRPr="006948C8">
        <w:rPr>
          <w:rStyle w:val="Emphasis"/>
          <w:color w:val="000000" w:themeColor="text1"/>
        </w:rPr>
        <w:t xml:space="preserve"> </w:t>
      </w:r>
      <w:r w:rsidRPr="00542B95">
        <w:rPr>
          <w:rStyle w:val="Emphasis"/>
          <w:color w:val="000000" w:themeColor="text1"/>
        </w:rPr>
        <w:t>or “hobbled” economy, a 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xml:space="preserve">, an end </w:t>
      </w:r>
      <w:r w:rsidRPr="006948C8">
        <w:rPr>
          <w:rStyle w:val="Emphasis"/>
          <w:color w:val="000000" w:themeColor="text1"/>
        </w:rPr>
        <w:lastRenderedPageBreak/>
        <w:t>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t>
      </w:r>
      <w:r w:rsidRPr="00542B95">
        <w:rPr>
          <w:rStyle w:val="StyleUnderline"/>
          <w:b/>
          <w:bCs/>
          <w:highlight w:val="green"/>
        </w:rPr>
        <w:t>would bring forth a better future</w:t>
      </w:r>
      <w:r w:rsidRPr="006948C8">
        <w:rPr>
          <w:color w:val="000000" w:themeColor="text1"/>
          <w:sz w:val="14"/>
        </w:rPr>
        <w:t xml:space="preserve">.110 </w:t>
      </w:r>
    </w:p>
    <w:p w14:paraId="2C80C82B" w14:textId="77777777" w:rsidR="00A076FD" w:rsidRPr="006948C8" w:rsidRDefault="00A076FD" w:rsidP="00A076FD">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638BD9C2" w14:textId="77777777" w:rsidR="00A076FD" w:rsidRPr="006948C8" w:rsidRDefault="00A076FD" w:rsidP="00A076FD">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14:paraId="072DD3E7" w14:textId="77777777" w:rsidR="00A076FD" w:rsidRPr="006948C8" w:rsidRDefault="00A076FD" w:rsidP="00A076FD">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0426F207" w14:textId="77777777" w:rsidR="00A076FD" w:rsidRPr="006948C8" w:rsidRDefault="00A076FD" w:rsidP="00A076FD">
      <w:pPr>
        <w:pStyle w:val="Heading4"/>
        <w:rPr>
          <w:rFonts w:cs="Calibri"/>
        </w:rPr>
      </w:pPr>
      <w:r>
        <w:rPr>
          <w:rFonts w:cs="Calibri"/>
        </w:rPr>
        <w:lastRenderedPageBreak/>
        <w:t>The alternative is</w:t>
      </w:r>
      <w:r w:rsidRPr="006948C8">
        <w:rPr>
          <w:rFonts w:cs="Calibri"/>
        </w:rPr>
        <w:t xml:space="preserve"> </w:t>
      </w:r>
      <w:r>
        <w:rPr>
          <w:rFonts w:cs="Calibri"/>
        </w:rPr>
        <w:t xml:space="preserve">to endorse the negative and </w:t>
      </w:r>
      <w:r w:rsidRPr="006948C8">
        <w:rPr>
          <w:rFonts w:cs="Calibri"/>
        </w:rPr>
        <w:t>unwavering pessimism</w:t>
      </w:r>
      <w:r>
        <w:rPr>
          <w:rFonts w:cs="Calibri"/>
        </w:rPr>
        <w:t xml:space="preserve"> </w:t>
      </w:r>
      <w:r w:rsidRPr="006948C8">
        <w:rPr>
          <w:rFonts w:cs="Calibri"/>
        </w:rPr>
        <w:t>– we reject the political and notions of futurism in exchange for an affirmation of disability’s abjection as something beautiful.</w:t>
      </w:r>
    </w:p>
    <w:p w14:paraId="651FB75B" w14:textId="77777777" w:rsidR="00A076FD" w:rsidRPr="006948C8" w:rsidRDefault="00A076FD" w:rsidP="00A076FD">
      <w:r w:rsidRPr="006948C8">
        <w:rPr>
          <w:rFonts w:eastAsiaTheme="majorEastAsia"/>
          <w:b/>
          <w:bCs/>
          <w:sz w:val="26"/>
          <w:szCs w:val="26"/>
        </w:rPr>
        <w:t>Selck 16</w:t>
      </w:r>
      <w:r w:rsidRPr="006948C8">
        <w:t xml:space="preserve"> </w:t>
      </w:r>
      <w:r w:rsidRPr="006948C8">
        <w:rPr>
          <w:szCs w:val="16"/>
        </w:rPr>
        <w:t>Michael (2016): Crip Pessimism: The Language of Dis/ability and the Culture that Isn't, Southern Illinois University Carbondale, SJCP//JG</w:t>
      </w:r>
    </w:p>
    <w:p w14:paraId="0CC9FC79" w14:textId="77777777" w:rsidR="00A076FD" w:rsidRPr="006948C8" w:rsidRDefault="00A076FD" w:rsidP="00A076FD">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r w:rsidRPr="006948C8">
        <w:rPr>
          <w:sz w:val="14"/>
        </w:rPr>
        <w:lastRenderedPageBreak/>
        <w:t xml:space="preserve">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w:t>
      </w:r>
      <w:r w:rsidRPr="006948C8">
        <w:rPr>
          <w:sz w:val="14"/>
        </w:rPr>
        <w:lastRenderedPageBreak/>
        <w:t xml:space="preserve">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14:paraId="3BE75C57" w14:textId="77777777" w:rsidR="00A076FD" w:rsidRPr="006948C8" w:rsidRDefault="00A076FD" w:rsidP="00A076FD">
      <w:pPr>
        <w:pStyle w:val="Heading4"/>
        <w:rPr>
          <w:rFonts w:cs="Calibri"/>
        </w:rPr>
      </w:pPr>
      <w:r w:rsidRPr="006948C8">
        <w:rPr>
          <w:rFonts w:cs="Calibri"/>
        </w:rPr>
        <w:t>Psychoanalysis is both falsifiable and accurate – studies prove.</w:t>
      </w:r>
    </w:p>
    <w:p w14:paraId="35CE39CB" w14:textId="77777777" w:rsidR="00A076FD" w:rsidRPr="006948C8" w:rsidRDefault="00A076FD" w:rsidP="00A076FD">
      <w:pPr>
        <w:rPr>
          <w:szCs w:val="16"/>
        </w:rPr>
      </w:pPr>
      <w:r w:rsidRPr="006948C8">
        <w:rPr>
          <w:rStyle w:val="Style13ptBold"/>
        </w:rPr>
        <w:t>Grant &amp; Harari 5</w:t>
      </w:r>
      <w:r w:rsidRPr="006948C8">
        <w:rPr>
          <w:szCs w:val="16"/>
        </w:rPr>
        <w:t xml:space="preserve"> (Don and Edwin, psychiatrists, “Psychoanalysis, science and the seductive theory of Karl Popper,” Australian and New Zealand Journal of Psychiatry)</w:t>
      </w:r>
    </w:p>
    <w:p w14:paraId="438BDF76" w14:textId="77777777" w:rsidR="00A076FD" w:rsidRDefault="00A076FD" w:rsidP="00A076FD">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w:t>
      </w:r>
      <w:r w:rsidRPr="00B515A1">
        <w:rPr>
          <w:rStyle w:val="Emphasis"/>
        </w:rPr>
        <w:t>their methodology [5] and the empirically d</w:t>
      </w:r>
      <w:r w:rsidRPr="006948C8">
        <w:rPr>
          <w:rStyle w:val="Emphasis"/>
        </w:rPr>
        <w:t xml:space="preserve">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t xml:space="preserve"> [6,7]. Also, burgeoning </w:t>
      </w:r>
      <w:r w:rsidRPr="00B60288">
        <w:rPr>
          <w:rStyle w:val="Emphasis"/>
          <w:highlight w:val="green"/>
        </w:rPr>
        <w:t>neuroscience</w:t>
      </w:r>
      <w:r w:rsidRPr="00B60288">
        <w:rPr>
          <w:highlight w:val="green"/>
        </w:rPr>
        <w:t xml:space="preserve"> </w:t>
      </w:r>
      <w:r w:rsidRPr="00B60288">
        <w:rPr>
          <w:rStyle w:val="Emphasis"/>
          <w:highlight w:val="green"/>
        </w:rPr>
        <w:t>research</w:t>
      </w:r>
      <w:r w:rsidRPr="006948C8">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t xml:space="preserve"> [11,12], particularly </w:t>
      </w:r>
      <w:r w:rsidRPr="00B60288">
        <w:rPr>
          <w:rStyle w:val="Emphasis"/>
          <w:highlight w:val="green"/>
        </w:rPr>
        <w:t>for</w:t>
      </w:r>
      <w:r w:rsidRPr="006948C8">
        <w:t xml:space="preserve"> patients with </w:t>
      </w:r>
      <w:r w:rsidRPr="00B60288">
        <w:rPr>
          <w:rStyle w:val="Emphasis"/>
          <w:highlight w:val="green"/>
        </w:rPr>
        <w:t>DSM axis II pathology</w:t>
      </w:r>
      <w:r w:rsidRPr="006948C8">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t>.</w:t>
      </w:r>
    </w:p>
    <w:p w14:paraId="68088CFA" w14:textId="77777777" w:rsidR="00A076FD" w:rsidRDefault="00A076FD" w:rsidP="00A076FD">
      <w:pPr>
        <w:pStyle w:val="Heading4"/>
        <w:spacing w:line="276" w:lineRule="auto"/>
        <w:ind w:right="-43"/>
        <w:rPr>
          <w:color w:val="000000" w:themeColor="text1"/>
        </w:rPr>
      </w:pPr>
      <w:r>
        <w:rPr>
          <w:color w:val="000000" w:themeColor="text1"/>
        </w:rPr>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irreciprocal – we can’t permute their methods which means they can always intrinsic perm or sever which destroys neg ground (d) illogical – the alt isn’t fiated in the sense of the aff so endorsing a fiated world mixed with a pre-fiat orientation is incoherent (e) hold the 1AC method by itself since anything else endorses bad scholarship since it justifies severence – justifying both in the aff solves.</w:t>
      </w:r>
    </w:p>
    <w:p w14:paraId="1C45E55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76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076F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784797"/>
  <w14:defaultImageDpi w14:val="300"/>
  <w15:docId w15:val="{5E786357-B8D7-B04F-86BE-593DCE62E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76F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076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76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A076FD"/>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A076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076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76FD"/>
  </w:style>
  <w:style w:type="character" w:customStyle="1" w:styleId="Heading1Char">
    <w:name w:val="Heading 1 Char"/>
    <w:aliases w:val="Pocket Char"/>
    <w:basedOn w:val="DefaultParagraphFont"/>
    <w:link w:val="Heading1"/>
    <w:uiPriority w:val="9"/>
    <w:rsid w:val="00A076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76FD"/>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076FD"/>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A076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076FD"/>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A076FD"/>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A076F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076FD"/>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A076FD"/>
    <w:rPr>
      <w:color w:val="auto"/>
      <w:u w:val="none"/>
    </w:rPr>
  </w:style>
  <w:style w:type="paragraph" w:styleId="DocumentMap">
    <w:name w:val="Document Map"/>
    <w:basedOn w:val="Normal"/>
    <w:link w:val="DocumentMapChar"/>
    <w:uiPriority w:val="99"/>
    <w:semiHidden/>
    <w:unhideWhenUsed/>
    <w:rsid w:val="00A076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76FD"/>
    <w:rPr>
      <w:rFonts w:ascii="Lucida Grande" w:hAnsi="Lucida Grande" w:cs="Lucida Grande"/>
    </w:rPr>
  </w:style>
  <w:style w:type="paragraph" w:customStyle="1" w:styleId="textbold">
    <w:name w:val="text bold"/>
    <w:basedOn w:val="Normal"/>
    <w:link w:val="Emphasis"/>
    <w:uiPriority w:val="20"/>
    <w:qFormat/>
    <w:rsid w:val="00A076FD"/>
    <w:pPr>
      <w:spacing w:after="0" w:line="240" w:lineRule="auto"/>
      <w:ind w:left="720"/>
      <w:jc w:val="both"/>
    </w:pPr>
    <w:rPr>
      <w:b/>
      <w:iCs/>
      <w:sz w:val="22"/>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A076F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6291</Words>
  <Characters>35859</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1</cp:revision>
  <dcterms:created xsi:type="dcterms:W3CDTF">2021-09-10T22:05:00Z</dcterms:created>
  <dcterms:modified xsi:type="dcterms:W3CDTF">2021-09-10T22:05:00Z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