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51AC1" w14:textId="77777777" w:rsidR="005F446A" w:rsidRDefault="005F446A" w:rsidP="005F446A">
      <w:pPr>
        <w:pStyle w:val="Heading4"/>
      </w:pPr>
      <w:r>
        <w:t>The alt is unconditional, I can’t kick it.</w:t>
      </w:r>
    </w:p>
    <w:p w14:paraId="48802705" w14:textId="77777777" w:rsidR="005F446A" w:rsidRDefault="005F446A" w:rsidP="005F446A">
      <w:pPr>
        <w:pStyle w:val="Heading2"/>
      </w:pPr>
      <w:r>
        <w:lastRenderedPageBreak/>
        <w:t>Hedge</w:t>
      </w:r>
    </w:p>
    <w:p w14:paraId="7765BA89" w14:textId="77777777" w:rsidR="005F446A" w:rsidRDefault="005F446A" w:rsidP="005F446A">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14B2242A" w14:textId="77777777" w:rsidR="005F446A" w:rsidRDefault="005F446A" w:rsidP="005F446A">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1122259E" w14:textId="77777777" w:rsidR="005F446A" w:rsidRDefault="005F446A" w:rsidP="005F446A">
      <w:pPr>
        <w:pStyle w:val="Heading4"/>
        <w:rPr>
          <w:rFonts w:cs="Calibri"/>
          <w:color w:val="000000" w:themeColor="text1"/>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18BBBE43" w14:textId="734928A5" w:rsidR="002D1B15" w:rsidRPr="009C06CA" w:rsidRDefault="002D1B15" w:rsidP="002D1B15">
      <w:pPr>
        <w:pStyle w:val="Heading3"/>
      </w:pPr>
      <w:r>
        <w:lastRenderedPageBreak/>
        <w:t>1</w:t>
      </w:r>
    </w:p>
    <w:p w14:paraId="757EDB7D" w14:textId="77777777" w:rsidR="002D1B15" w:rsidRDefault="002D1B15" w:rsidP="002D1B15">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1EB751BC" w14:textId="77777777" w:rsidR="002D1B15" w:rsidRPr="00527524" w:rsidRDefault="002D1B15" w:rsidP="002D1B15">
      <w:pPr>
        <w:rPr>
          <w:lang w:eastAsia="zh-CN"/>
        </w:rPr>
      </w:pPr>
    </w:p>
    <w:p w14:paraId="79C74E91" w14:textId="77777777" w:rsidR="002D1B15" w:rsidRDefault="002D1B15" w:rsidP="002D1B15">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6E1E167F" w14:textId="77777777" w:rsidR="002D1B15" w:rsidRPr="00A257D8" w:rsidRDefault="002D1B15" w:rsidP="002D1B15">
      <w:pPr>
        <w:pStyle w:val="Heading4"/>
      </w:pPr>
      <w:r>
        <w:t>1.</w:t>
      </w:r>
      <w:r w:rsidRPr="00A257D8">
        <w:t xml:space="preserve"> Text – Oxford Dictionary defines ought as “</w:t>
      </w:r>
      <w:r w:rsidRPr="009B0022">
        <w:rPr>
          <w:u w:val="single"/>
        </w:rPr>
        <w:t>used to indicate something that is probable</w:t>
      </w:r>
      <w:r w:rsidRPr="00A257D8">
        <w:t>.”</w:t>
      </w:r>
    </w:p>
    <w:p w14:paraId="1351EFDD" w14:textId="77777777" w:rsidR="002D1B15" w:rsidRPr="00187ED2" w:rsidRDefault="00120B60" w:rsidP="002D1B15">
      <w:pPr>
        <w:rPr>
          <w:szCs w:val="16"/>
        </w:rPr>
      </w:pPr>
      <w:hyperlink r:id="rId9" w:history="1">
        <w:r w:rsidR="002D1B15" w:rsidRPr="00FE7871">
          <w:rPr>
            <w:rStyle w:val="Hyperlink"/>
            <w:szCs w:val="16"/>
          </w:rPr>
          <w:t>https://en.oxforddictionaries.com/definition/ought //</w:t>
        </w:r>
      </w:hyperlink>
      <w:r w:rsidR="002D1B15">
        <w:rPr>
          <w:szCs w:val="16"/>
        </w:rPr>
        <w:t>Massa</w:t>
      </w:r>
    </w:p>
    <w:p w14:paraId="496BB026" w14:textId="77777777" w:rsidR="002D1B15" w:rsidRPr="00A257D8" w:rsidRDefault="002D1B15" w:rsidP="002D1B15">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43518ADB" w14:textId="77777777" w:rsidR="002D1B15" w:rsidRPr="00187ED2" w:rsidRDefault="002D1B15" w:rsidP="002D1B15">
      <w:pPr>
        <w:rPr>
          <w:szCs w:val="16"/>
        </w:rPr>
      </w:pPr>
      <w:r w:rsidRPr="00187ED2">
        <w:rPr>
          <w:szCs w:val="16"/>
        </w:rPr>
        <w:t>(</w:t>
      </w:r>
      <w:hyperlink r:id="rId10" w:history="1">
        <w:r w:rsidRPr="0054008F">
          <w:rPr>
            <w:rStyle w:val="Hyperlink"/>
            <w:szCs w:val="16"/>
          </w:rPr>
          <w:t>http://www.merriam-webster.com/dictionary/ought</w:t>
        </w:r>
      </w:hyperlink>
      <w:r w:rsidRPr="00187ED2">
        <w:rPr>
          <w:szCs w:val="16"/>
        </w:rPr>
        <w:t>)</w:t>
      </w:r>
      <w:r>
        <w:rPr>
          <w:szCs w:val="16"/>
        </w:rPr>
        <w:t xml:space="preserve"> //Massa</w:t>
      </w:r>
    </w:p>
    <w:p w14:paraId="2A48C05D" w14:textId="77777777" w:rsidR="002D1B15" w:rsidRDefault="002D1B15" w:rsidP="002D1B15">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44086A3B" w14:textId="77777777" w:rsidR="002D1B15" w:rsidRPr="00902ECA" w:rsidRDefault="002D1B15" w:rsidP="002D1B15"/>
    <w:p w14:paraId="11E026FD" w14:textId="77777777" w:rsidR="002D1B15" w:rsidRDefault="002D1B15" w:rsidP="002D1B15">
      <w:pPr>
        <w:pStyle w:val="Heading4"/>
      </w:pPr>
      <w:r>
        <w:t>3.</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5F446B4F" w14:textId="77777777" w:rsidR="002D1B15" w:rsidRDefault="002D1B15" w:rsidP="002D1B15"/>
    <w:p w14:paraId="5ED5A6C4" w14:textId="77777777" w:rsidR="002D1B15" w:rsidRPr="00B05CFD" w:rsidRDefault="002D1B15" w:rsidP="002D1B15">
      <w:pPr>
        <w:pStyle w:val="Heading4"/>
        <w:rPr>
          <w:rFonts w:cs="Calibri"/>
        </w:rPr>
      </w:pPr>
      <w:r>
        <w:t xml:space="preserve">4. </w:t>
      </w:r>
      <w:r w:rsidRPr="00B05CFD">
        <w:rPr>
          <w:rFonts w:cs="Calibri"/>
          <w:u w:val="single"/>
        </w:rPr>
        <w:t>Independently</w:t>
      </w:r>
      <w:r w:rsidRPr="00B05CFD">
        <w:rPr>
          <w:rFonts w:cs="Calibri"/>
        </w:rPr>
        <w:t xml:space="preserve"> reject moral </w:t>
      </w:r>
      <w:proofErr w:type="spellStart"/>
      <w:r w:rsidRPr="00B05CFD">
        <w:rPr>
          <w:rFonts w:cs="Calibri"/>
        </w:rPr>
        <w:t>oughts</w:t>
      </w:r>
      <w:proofErr w:type="spellEnd"/>
      <w:r w:rsidRPr="00B05CFD">
        <w:rPr>
          <w:rFonts w:cs="Calibri"/>
        </w:rPr>
        <w:t xml:space="preserve"> – </w:t>
      </w:r>
      <w:r>
        <w:rPr>
          <w:rFonts w:cs="Calibri"/>
        </w:rPr>
        <w:t>5</w:t>
      </w:r>
      <w:r w:rsidRPr="00B05CFD">
        <w:rPr>
          <w:rFonts w:cs="Calibri"/>
        </w:rPr>
        <w:t xml:space="preserve"> warrants.</w:t>
      </w:r>
    </w:p>
    <w:p w14:paraId="456B8AB7" w14:textId="77777777" w:rsidR="002D1B15" w:rsidRPr="00867826" w:rsidRDefault="002D1B15" w:rsidP="002D1B15">
      <w:pPr>
        <w:rPr>
          <w:szCs w:val="16"/>
        </w:rPr>
      </w:pPr>
      <w:r w:rsidRPr="00B05CFD">
        <w:rPr>
          <w:b/>
          <w:bCs/>
          <w:sz w:val="26"/>
          <w:szCs w:val="26"/>
        </w:rPr>
        <w:t>Ronnie De 21</w:t>
      </w:r>
      <w:r w:rsidRPr="00B05CFD">
        <w:rPr>
          <w:szCs w:val="16"/>
        </w:rPr>
        <w:t xml:space="preserve"> [Ronnie De</w:t>
      </w:r>
      <w:proofErr w:type="gramStart"/>
      <w:r w:rsidRPr="00B05CFD">
        <w:rPr>
          <w:szCs w:val="16"/>
        </w:rPr>
        <w:t>. .</w:t>
      </w:r>
      <w:proofErr w:type="gramEnd"/>
      <w:r w:rsidRPr="00B05CFD">
        <w:rPr>
          <w:szCs w:val="16"/>
        </w:rPr>
        <w:t xml:space="preserve"> “Five reasons why moral philosophy is distracting and harmful”. 2021-07-23. Aeon. </w:t>
      </w:r>
      <w:hyperlink r:id="rId11" w:history="1">
        <w:r w:rsidRPr="00B05CFD">
          <w:rPr>
            <w:rStyle w:val="Hyperlink"/>
            <w:szCs w:val="16"/>
          </w:rPr>
          <w:t>https://aeon.co/essays/five-reasons-why-moral-philosophy-is-distracting-and-harmful. Accessed 10-1-2021</w:t>
        </w:r>
      </w:hyperlink>
      <w:r w:rsidRPr="00B05CFD">
        <w:rPr>
          <w:szCs w:val="16"/>
        </w:rPr>
        <w:t>] //Jia</w:t>
      </w:r>
    </w:p>
    <w:p w14:paraId="49B55C55" w14:textId="77777777" w:rsidR="002D1B15" w:rsidRDefault="002D1B15" w:rsidP="002D1B15">
      <w:pPr>
        <w:pStyle w:val="ListParagraph"/>
        <w:numPr>
          <w:ilvl w:val="0"/>
          <w:numId w:val="12"/>
        </w:numPr>
        <w:rPr>
          <w:rFonts w:ascii="Calibri" w:hAnsi="Calibri" w:cs="Calibri"/>
          <w:sz w:val="16"/>
          <w:szCs w:val="16"/>
        </w:rPr>
      </w:pPr>
      <w:r>
        <w:rPr>
          <w:rFonts w:ascii="Calibri" w:hAnsi="Calibri" w:cs="Calibri"/>
          <w:sz w:val="16"/>
          <w:szCs w:val="16"/>
        </w:rPr>
        <w:t>Impossible to follow</w:t>
      </w:r>
    </w:p>
    <w:p w14:paraId="4DA3F827" w14:textId="77777777" w:rsidR="002D1B15" w:rsidRDefault="002D1B15" w:rsidP="002D1B15">
      <w:pPr>
        <w:pStyle w:val="ListParagraph"/>
        <w:numPr>
          <w:ilvl w:val="0"/>
          <w:numId w:val="12"/>
        </w:numPr>
        <w:rPr>
          <w:rFonts w:ascii="Calibri" w:hAnsi="Calibri" w:cs="Calibri"/>
          <w:sz w:val="16"/>
          <w:szCs w:val="16"/>
        </w:rPr>
      </w:pPr>
      <w:r>
        <w:rPr>
          <w:rFonts w:ascii="Calibri" w:hAnsi="Calibri" w:cs="Calibri"/>
          <w:sz w:val="16"/>
          <w:szCs w:val="16"/>
        </w:rPr>
        <w:t>Action Freeze</w:t>
      </w:r>
    </w:p>
    <w:p w14:paraId="2673D0C1" w14:textId="77777777" w:rsidR="002D1B15" w:rsidRDefault="002D1B15" w:rsidP="002D1B15">
      <w:pPr>
        <w:pStyle w:val="ListParagraph"/>
        <w:numPr>
          <w:ilvl w:val="0"/>
          <w:numId w:val="12"/>
        </w:numPr>
        <w:rPr>
          <w:rFonts w:ascii="Calibri" w:hAnsi="Calibri" w:cs="Calibri"/>
          <w:sz w:val="16"/>
          <w:szCs w:val="16"/>
        </w:rPr>
      </w:pPr>
      <w:r>
        <w:rPr>
          <w:rFonts w:ascii="Calibri" w:hAnsi="Calibri" w:cs="Calibri"/>
          <w:sz w:val="16"/>
          <w:szCs w:val="16"/>
        </w:rPr>
        <w:t>Irresolvable</w:t>
      </w:r>
    </w:p>
    <w:p w14:paraId="441C34C2" w14:textId="77777777" w:rsidR="002D1B15" w:rsidRDefault="002D1B15" w:rsidP="002D1B15">
      <w:pPr>
        <w:pStyle w:val="ListParagraph"/>
        <w:numPr>
          <w:ilvl w:val="0"/>
          <w:numId w:val="12"/>
        </w:numPr>
        <w:rPr>
          <w:rFonts w:ascii="Calibri" w:hAnsi="Calibri" w:cs="Calibri"/>
          <w:sz w:val="16"/>
          <w:szCs w:val="16"/>
        </w:rPr>
      </w:pPr>
      <w:r>
        <w:rPr>
          <w:rFonts w:ascii="Calibri" w:hAnsi="Calibri" w:cs="Calibri"/>
          <w:sz w:val="16"/>
          <w:szCs w:val="16"/>
        </w:rPr>
        <w:t>Promotes moral abhorrence</w:t>
      </w:r>
    </w:p>
    <w:p w14:paraId="0920DC9C" w14:textId="77777777" w:rsidR="002D1B15" w:rsidRPr="00AF4E78" w:rsidRDefault="002D1B15" w:rsidP="002D1B15">
      <w:pPr>
        <w:pStyle w:val="ListParagraph"/>
        <w:numPr>
          <w:ilvl w:val="0"/>
          <w:numId w:val="12"/>
        </w:numPr>
        <w:rPr>
          <w:rFonts w:ascii="Calibri" w:hAnsi="Calibri" w:cs="Calibri"/>
          <w:sz w:val="16"/>
          <w:szCs w:val="16"/>
        </w:rPr>
      </w:pPr>
      <w:proofErr w:type="spellStart"/>
      <w:r>
        <w:rPr>
          <w:rFonts w:ascii="Calibri" w:hAnsi="Calibri" w:cs="Calibri"/>
          <w:sz w:val="16"/>
          <w:szCs w:val="16"/>
        </w:rPr>
        <w:t>Self righteousness</w:t>
      </w:r>
      <w:proofErr w:type="spellEnd"/>
      <w:r>
        <w:rPr>
          <w:rFonts w:ascii="Calibri" w:hAnsi="Calibri" w:cs="Calibri"/>
          <w:sz w:val="16"/>
          <w:szCs w:val="16"/>
        </w:rPr>
        <w:t xml:space="preserve"> and masochistic guilt</w:t>
      </w:r>
    </w:p>
    <w:p w14:paraId="4CBBEFE3" w14:textId="77777777" w:rsidR="002D1B15" w:rsidRPr="00C76F8B" w:rsidRDefault="002D1B15" w:rsidP="002D1B15">
      <w:pPr>
        <w:rPr>
          <w:b/>
          <w:iCs/>
          <w:sz w:val="22"/>
          <w:u w:val="single"/>
        </w:rPr>
      </w:pPr>
      <w:r w:rsidRPr="00B05CFD">
        <w:rPr>
          <w:rStyle w:val="Emphasis"/>
          <w:highlight w:val="green"/>
        </w:rPr>
        <w:t>First</w:t>
      </w:r>
      <w:r w:rsidRPr="00B05CFD">
        <w:t xml:space="preserve">, most </w:t>
      </w:r>
      <w:r w:rsidRPr="00B05CFD">
        <w:rPr>
          <w:rStyle w:val="Emphasis"/>
          <w:highlight w:val="green"/>
        </w:rPr>
        <w:t>systems</w:t>
      </w:r>
      <w:r w:rsidRPr="00B05CFD">
        <w:rPr>
          <w:rStyle w:val="Emphasis"/>
        </w:rPr>
        <w:t xml:space="preserve"> of morality </w:t>
      </w:r>
      <w:r w:rsidRPr="00B05CFD">
        <w:rPr>
          <w:rStyle w:val="Emphasis"/>
          <w:highlight w:val="green"/>
        </w:rPr>
        <w:t>are</w:t>
      </w:r>
      <w:r w:rsidRPr="00B05CFD">
        <w:rPr>
          <w:rStyle w:val="Emphasis"/>
          <w:b w:val="0"/>
          <w:bCs/>
        </w:rPr>
        <w:t xml:space="preserve"> inherently</w:t>
      </w:r>
      <w:r w:rsidRPr="00B05CFD">
        <w:rPr>
          <w:rStyle w:val="Emphasis"/>
        </w:rPr>
        <w:t xml:space="preserve"> </w:t>
      </w:r>
      <w:proofErr w:type="spellStart"/>
      <w:r w:rsidRPr="00B05CFD">
        <w:rPr>
          <w:rStyle w:val="Emphasis"/>
          <w:highlight w:val="green"/>
        </w:rPr>
        <w:t>totalising</w:t>
      </w:r>
      <w:proofErr w:type="spellEnd"/>
      <w:r w:rsidRPr="00B05CFD">
        <w:rPr>
          <w:rStyle w:val="Emphasis"/>
        </w:rPr>
        <w:t xml:space="preserve">. </w:t>
      </w:r>
      <w:r w:rsidRPr="00B05CFD">
        <w:rPr>
          <w:rStyle w:val="Emphasis"/>
          <w:highlight w:val="green"/>
        </w:rPr>
        <w:t>Adhering</w:t>
      </w:r>
      <w:r w:rsidRPr="00B05CFD">
        <w:rPr>
          <w:rStyle w:val="Emphasis"/>
        </w:rPr>
        <w:t xml:space="preserve"> </w:t>
      </w:r>
      <w:r w:rsidRPr="00B05CFD">
        <w:rPr>
          <w:rStyle w:val="Emphasis"/>
          <w:b w:val="0"/>
          <w:bCs/>
        </w:rPr>
        <w:t>to them</w:t>
      </w:r>
      <w:r w:rsidRPr="00B05CFD">
        <w:rPr>
          <w:rStyle w:val="Emphasis"/>
        </w:rPr>
        <w:t xml:space="preserve"> </w:t>
      </w:r>
      <w:r w:rsidRPr="00B05CFD">
        <w:rPr>
          <w:rStyle w:val="Emphasis"/>
          <w:highlight w:val="green"/>
        </w:rPr>
        <w:t>consistently is impossible</w:t>
      </w:r>
      <w:r w:rsidRPr="00B05CFD">
        <w:rPr>
          <w:rStyle w:val="Emphasis"/>
        </w:rPr>
        <w:t>,</w:t>
      </w:r>
      <w:r w:rsidRPr="00B05CFD">
        <w:t xml:space="preserve"> and so </w:t>
      </w:r>
      <w:r w:rsidRPr="00B05CFD">
        <w:rPr>
          <w:rStyle w:val="Emphasis"/>
        </w:rPr>
        <w:t xml:space="preserve">each </w:t>
      </w:r>
      <w:r w:rsidRPr="00B05CFD">
        <w:rPr>
          <w:rStyle w:val="Emphasis"/>
          <w:highlight w:val="green"/>
        </w:rPr>
        <w:t>system</w:t>
      </w:r>
      <w:r w:rsidRPr="00B05CFD">
        <w:rPr>
          <w:rStyle w:val="Emphasis"/>
        </w:rPr>
        <w:t xml:space="preserve"> is </w:t>
      </w:r>
      <w:r w:rsidRPr="00B05CFD">
        <w:rPr>
          <w:rStyle w:val="Emphasis"/>
          <w:highlight w:val="green"/>
        </w:rPr>
        <w:t>forced into incoherence by</w:t>
      </w:r>
      <w:r w:rsidRPr="00B05CFD">
        <w:rPr>
          <w:rStyle w:val="Emphasis"/>
        </w:rPr>
        <w:t xml:space="preserve"> setting </w:t>
      </w:r>
      <w:r w:rsidRPr="00B05CFD">
        <w:rPr>
          <w:rStyle w:val="Emphasis"/>
          <w:highlight w:val="green"/>
        </w:rPr>
        <w:t>arbitrary limits</w:t>
      </w:r>
      <w:r w:rsidRPr="00B05CFD">
        <w:rPr>
          <w:rStyle w:val="Emphasis"/>
        </w:rPr>
        <w:t xml:space="preserve"> to its own scope</w:t>
      </w:r>
      <w:r w:rsidRPr="00B05CFD">
        <w:t xml:space="preserve">. </w:t>
      </w:r>
      <w:r w:rsidRPr="00B05CFD">
        <w:rPr>
          <w:rStyle w:val="Emphasis"/>
          <w:highlight w:val="green"/>
        </w:rPr>
        <w:t>Second</w:t>
      </w:r>
      <w:r w:rsidRPr="00B05CFD">
        <w:t xml:space="preserve">, our preoccupation with </w:t>
      </w:r>
      <w:r w:rsidRPr="00B05CFD">
        <w:rPr>
          <w:rStyle w:val="Emphasis"/>
        </w:rPr>
        <w:t xml:space="preserve">morality </w:t>
      </w:r>
      <w:r w:rsidRPr="00B05CFD">
        <w:rPr>
          <w:rStyle w:val="Emphasis"/>
          <w:highlight w:val="green"/>
        </w:rPr>
        <w:t>distorts</w:t>
      </w:r>
      <w:r w:rsidRPr="00B05CFD">
        <w:rPr>
          <w:rStyle w:val="Emphasis"/>
        </w:rPr>
        <w:t xml:space="preserve"> the </w:t>
      </w:r>
      <w:r w:rsidRPr="00B05CFD">
        <w:rPr>
          <w:rStyle w:val="Emphasis"/>
          <w:highlight w:val="green"/>
        </w:rPr>
        <w:t>force of</w:t>
      </w:r>
      <w:r w:rsidRPr="00B05CFD">
        <w:rPr>
          <w:rStyle w:val="Emphasis"/>
        </w:rPr>
        <w:t xml:space="preserve"> our </w:t>
      </w:r>
      <w:r w:rsidRPr="00B05CFD">
        <w:rPr>
          <w:rStyle w:val="Emphasis"/>
          <w:highlight w:val="green"/>
        </w:rPr>
        <w:t>reason</w:t>
      </w:r>
      <w:r w:rsidRPr="00B05CFD">
        <w:rPr>
          <w:rStyle w:val="Emphasis"/>
        </w:rPr>
        <w:t xml:space="preserve">s </w:t>
      </w:r>
      <w:r w:rsidRPr="000C1462">
        <w:rPr>
          <w:rStyle w:val="Emphasis"/>
          <w:highlight w:val="green"/>
        </w:rPr>
        <w:t>to act</w:t>
      </w:r>
      <w:r w:rsidRPr="00B05CFD">
        <w:t xml:space="preserve">, by </w:t>
      </w:r>
      <w:r w:rsidRPr="001B7C50">
        <w:rPr>
          <w:rStyle w:val="Emphasis"/>
          <w:highlight w:val="green"/>
        </w:rPr>
        <w:t>effecting</w:t>
      </w:r>
      <w:r w:rsidRPr="00B05CFD">
        <w:rPr>
          <w:rStyle w:val="Emphasis"/>
        </w:rPr>
        <w:t xml:space="preserve"> among them </w:t>
      </w:r>
      <w:r w:rsidRPr="001B7C50">
        <w:rPr>
          <w:rStyle w:val="Emphasis"/>
          <w:highlight w:val="green"/>
        </w:rPr>
        <w:t>a triage</w:t>
      </w:r>
      <w:r w:rsidRPr="00B05CFD">
        <w:rPr>
          <w:rStyle w:val="Emphasis"/>
        </w:rPr>
        <w:t xml:space="preserve"> that </w:t>
      </w:r>
      <w:r w:rsidRPr="001B7C50">
        <w:rPr>
          <w:rStyle w:val="Emphasis"/>
          <w:highlight w:val="green"/>
        </w:rPr>
        <w:t>results in</w:t>
      </w:r>
      <w:r w:rsidRPr="00B05CFD">
        <w:rPr>
          <w:rStyle w:val="Emphasis"/>
        </w:rPr>
        <w:t xml:space="preserve"> some </w:t>
      </w:r>
      <w:r w:rsidRPr="001B7C50">
        <w:rPr>
          <w:rStyle w:val="Emphasis"/>
          <w:highlight w:val="green"/>
        </w:rPr>
        <w:t>reasons</w:t>
      </w:r>
      <w:r w:rsidRPr="00B05CFD">
        <w:rPr>
          <w:rStyle w:val="Emphasis"/>
        </w:rPr>
        <w:t xml:space="preserve"> being </w:t>
      </w:r>
      <w:r w:rsidRPr="001B7C50">
        <w:rPr>
          <w:rStyle w:val="Emphasis"/>
          <w:highlight w:val="green"/>
        </w:rPr>
        <w:t>counted twice</w:t>
      </w:r>
      <w:r w:rsidRPr="00B05CFD">
        <w:rPr>
          <w:rStyle w:val="Emphasis"/>
        </w:rPr>
        <w:t xml:space="preserve"> over</w:t>
      </w:r>
      <w:r w:rsidRPr="00B05CFD">
        <w:t xml:space="preserve">. </w:t>
      </w:r>
      <w:r w:rsidRPr="00B05CFD">
        <w:rPr>
          <w:rStyle w:val="Emphasis"/>
          <w:highlight w:val="green"/>
        </w:rPr>
        <w:t>Third</w:t>
      </w:r>
      <w:r w:rsidRPr="00B05CFD">
        <w:t xml:space="preserve">, the </w:t>
      </w:r>
      <w:r w:rsidRPr="00B05CFD">
        <w:rPr>
          <w:rStyle w:val="Emphasis"/>
          <w:b w:val="0"/>
          <w:bCs/>
        </w:rPr>
        <w:t>intellectual acrobatics invoked</w:t>
      </w:r>
      <w:r w:rsidRPr="00B05CFD">
        <w:rPr>
          <w:rStyle w:val="Emphasis"/>
        </w:rPr>
        <w:t xml:space="preserve"> </w:t>
      </w:r>
      <w:r w:rsidRPr="00B05CFD">
        <w:rPr>
          <w:rStyle w:val="Emphasis"/>
          <w:highlight w:val="green"/>
        </w:rPr>
        <w:t>to justify</w:t>
      </w:r>
      <w:r w:rsidRPr="00B05CFD">
        <w:rPr>
          <w:rStyle w:val="Emphasis"/>
        </w:rPr>
        <w:t xml:space="preserve"> this double counting </w:t>
      </w:r>
      <w:r w:rsidRPr="00B05CFD">
        <w:rPr>
          <w:rStyle w:val="Emphasis"/>
          <w:highlight w:val="green"/>
        </w:rPr>
        <w:t>commit us to insoluble</w:t>
      </w:r>
      <w:r w:rsidRPr="00B05CFD">
        <w:rPr>
          <w:rStyle w:val="Emphasis"/>
        </w:rPr>
        <w:t xml:space="preserve"> and therefore idle theoretical </w:t>
      </w:r>
      <w:r w:rsidRPr="00B05CFD">
        <w:rPr>
          <w:rStyle w:val="Emphasis"/>
          <w:highlight w:val="green"/>
        </w:rPr>
        <w:t>debates</w:t>
      </w:r>
      <w:r w:rsidRPr="00B05CFD">
        <w:rPr>
          <w:rStyle w:val="Emphasis"/>
        </w:rPr>
        <w:t>.</w:t>
      </w:r>
      <w:r w:rsidRPr="00B05CFD">
        <w:t xml:space="preserve"> </w:t>
      </w:r>
      <w:r w:rsidRPr="00B05CFD">
        <w:rPr>
          <w:rStyle w:val="Emphasis"/>
          <w:highlight w:val="green"/>
        </w:rPr>
        <w:t>Fourth</w:t>
      </w:r>
      <w:r w:rsidRPr="00B05CFD">
        <w:rPr>
          <w:rStyle w:val="Emphasis"/>
        </w:rPr>
        <w:t xml:space="preserve">, the psychological power of moral authority can </w:t>
      </w:r>
      <w:r w:rsidRPr="00B05CFD">
        <w:rPr>
          <w:rStyle w:val="Emphasis"/>
          <w:highlight w:val="green"/>
        </w:rPr>
        <w:t>promote deplorable systems of evaluation</w:t>
      </w:r>
      <w:r w:rsidRPr="00B05CFD">
        <w:rPr>
          <w:rStyle w:val="Emphasis"/>
        </w:rPr>
        <w:t xml:space="preserve"> as easily as good ones. And </w:t>
      </w:r>
      <w:r w:rsidRPr="00B05CFD">
        <w:rPr>
          <w:rStyle w:val="Emphasis"/>
          <w:highlight w:val="green"/>
        </w:rPr>
        <w:t>fifth</w:t>
      </w:r>
      <w:r w:rsidRPr="00B05CFD">
        <w:rPr>
          <w:rStyle w:val="Emphasis"/>
        </w:rPr>
        <w:t xml:space="preserve">, the emotions cultivated by a </w:t>
      </w:r>
      <w:r w:rsidRPr="00B05CFD">
        <w:rPr>
          <w:rStyle w:val="Emphasis"/>
          <w:highlight w:val="green"/>
        </w:rPr>
        <w:t>preoccupation</w:t>
      </w:r>
      <w:r w:rsidRPr="00B05CFD">
        <w:rPr>
          <w:rStyle w:val="Emphasis"/>
        </w:rPr>
        <w:t xml:space="preserve"> with morality </w:t>
      </w:r>
      <w:r w:rsidRPr="00B05CFD">
        <w:rPr>
          <w:rStyle w:val="Emphasis"/>
          <w:highlight w:val="green"/>
        </w:rPr>
        <w:t>encourage self-righteousness and masochistic guilt</w:t>
      </w:r>
      <w:r w:rsidRPr="00B05CFD">
        <w:rPr>
          <w:rStyle w:val="Emphasis"/>
        </w:rPr>
        <w:t>.</w:t>
      </w:r>
    </w:p>
    <w:p w14:paraId="60EEBF8A" w14:textId="77777777" w:rsidR="002D1B15" w:rsidRPr="00866CE0" w:rsidRDefault="002D1B15" w:rsidP="002D1B15">
      <w:pPr>
        <w:spacing w:line="276" w:lineRule="auto"/>
        <w:rPr>
          <w:rFonts w:eastAsia="MS Mincho"/>
          <w:b/>
          <w:sz w:val="26"/>
          <w:szCs w:val="26"/>
        </w:rPr>
      </w:pPr>
      <w:r>
        <w:rPr>
          <w:rFonts w:eastAsia="MS Mincho"/>
          <w:b/>
          <w:sz w:val="26"/>
          <w:szCs w:val="26"/>
        </w:rPr>
        <w:t>Negate:</w:t>
      </w:r>
    </w:p>
    <w:p w14:paraId="74130535" w14:textId="58A9497C" w:rsidR="002D1B15" w:rsidRDefault="002D1B15" w:rsidP="002D1B15">
      <w:pPr>
        <w:pStyle w:val="Heading4"/>
        <w:rPr>
          <w:rFonts w:cs="Calibri"/>
          <w:color w:val="000000" w:themeColor="text1"/>
        </w:rPr>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6609E760" w14:textId="39866665" w:rsidR="005F446A" w:rsidRPr="006948C8" w:rsidRDefault="005F446A" w:rsidP="00233F37">
      <w:pPr>
        <w:pStyle w:val="Heading3"/>
      </w:pPr>
      <w:r w:rsidRPr="006948C8">
        <w:lastRenderedPageBreak/>
        <w:t>1NC Shell</w:t>
      </w:r>
    </w:p>
    <w:p w14:paraId="24FE4AEF" w14:textId="77777777" w:rsidR="005F446A" w:rsidRPr="006948C8" w:rsidRDefault="005F446A" w:rsidP="005F446A">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4A8D6C5E" w14:textId="77777777" w:rsidR="005F446A" w:rsidRPr="006948C8" w:rsidRDefault="005F446A" w:rsidP="005F446A">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2"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2E833F2C" w14:textId="77777777" w:rsidR="005F446A" w:rsidRPr="006948C8" w:rsidRDefault="005F446A" w:rsidP="005F446A">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w:t>
      </w:r>
      <w:proofErr w:type="gramStart"/>
      <w:r w:rsidRPr="006948C8">
        <w:rPr>
          <w:color w:val="000000" w:themeColor="text1"/>
          <w:sz w:val="14"/>
        </w:rPr>
        <w:t>And also</w:t>
      </w:r>
      <w:proofErr w:type="gramEnd"/>
      <w:r w:rsidRPr="006948C8">
        <w:rPr>
          <w:color w:val="000000" w:themeColor="text1"/>
          <w:sz w:val="14"/>
        </w:rPr>
        <w:t xml:space="preserve">,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6948C8">
        <w:rPr>
          <w:rStyle w:val="Emphasis"/>
          <w:color w:val="000000" w:themeColor="text1"/>
        </w:rPr>
        <w:t>incoherence structures</w:t>
      </w:r>
      <w:proofErr w:type="gramEnd"/>
      <w:r w:rsidRPr="006948C8">
        <w:rPr>
          <w:rStyle w:val="Emphasis"/>
          <w:color w:val="000000" w:themeColor="text1"/>
        </w:rPr>
        <w:t xml:space="preserve">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w:t>
      </w:r>
      <w:proofErr w:type="gramStart"/>
      <w:r w:rsidRPr="006948C8">
        <w:rPr>
          <w:color w:val="000000" w:themeColor="text1"/>
          <w:sz w:val="14"/>
        </w:rPr>
        <w:t>pissed</w:t>
      </w:r>
      <w:proofErr w:type="gramEnd"/>
      <w:r w:rsidRPr="006948C8">
        <w:rPr>
          <w:color w:val="000000" w:themeColor="text1"/>
          <w:sz w:val="14"/>
        </w:rPr>
        <w:t xml:space="preserve">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w:t>
      </w:r>
      <w:proofErr w:type="gramStart"/>
      <w:r w:rsidRPr="006948C8">
        <w:rPr>
          <w:rStyle w:val="Emphasis"/>
          <w:color w:val="000000" w:themeColor="text1"/>
        </w:rPr>
        <w:t>really only</w:t>
      </w:r>
      <w:proofErr w:type="gramEnd"/>
      <w:r w:rsidRPr="006948C8">
        <w:rPr>
          <w:rStyle w:val="Emphasis"/>
          <w:color w:val="000000" w:themeColor="text1"/>
        </w:rPr>
        <w:t xml:space="preserve">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w:t>
      </w:r>
      <w:proofErr w:type="gramStart"/>
      <w:r w:rsidRPr="006948C8">
        <w:rPr>
          <w:color w:val="000000" w:themeColor="text1"/>
          <w:sz w:val="14"/>
        </w:rPr>
        <w:t>tells</w:t>
      </w:r>
      <w:proofErr w:type="gramEnd"/>
      <w:r w:rsidRPr="006948C8">
        <w:rPr>
          <w:color w:val="000000" w:themeColor="text1"/>
          <w:sz w:val="14"/>
        </w:rPr>
        <w:t xml:space="preserve">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 xml:space="preserve">To be drawn back to primary narcissism would be to imagine the abolition of </w:t>
      </w:r>
      <w:proofErr w:type="gramStart"/>
      <w:r w:rsidRPr="006948C8">
        <w:rPr>
          <w:rStyle w:val="Emphasis"/>
          <w:color w:val="000000" w:themeColor="text1"/>
        </w:rPr>
        <w:t>one’s self</w:t>
      </w:r>
      <w:proofErr w:type="gramEnd"/>
      <w:r w:rsidRPr="006948C8">
        <w:rPr>
          <w:rStyle w:val="Emphasis"/>
          <w:color w:val="000000" w:themeColor="text1"/>
        </w:rPr>
        <w:t>.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w:t>
      </w:r>
      <w:proofErr w:type="gramStart"/>
      <w:r w:rsidRPr="006948C8">
        <w:rPr>
          <w:color w:val="000000" w:themeColor="text1"/>
          <w:sz w:val="14"/>
        </w:rPr>
        <w:t>one’s self</w:t>
      </w:r>
      <w:proofErr w:type="gramEnd"/>
      <w:r w:rsidRPr="006948C8">
        <w:rPr>
          <w:color w:val="000000" w:themeColor="text1"/>
          <w:sz w:val="14"/>
        </w:rPr>
        <w:t xml:space="preserve">.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7C1B3979" w14:textId="77777777" w:rsidR="005F446A" w:rsidRPr="006948C8" w:rsidRDefault="005F446A" w:rsidP="005F446A">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3B78C387" w14:textId="77777777" w:rsidR="005F446A" w:rsidRPr="006948C8" w:rsidRDefault="005F446A" w:rsidP="005F446A">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3"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22F1F387" w14:textId="77777777" w:rsidR="005F446A" w:rsidRDefault="005F446A" w:rsidP="005F446A">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37184195" w14:textId="77777777" w:rsidR="005F446A" w:rsidRPr="006948C8" w:rsidRDefault="005F446A" w:rsidP="005F446A">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3898CC2B" w14:textId="77777777" w:rsidR="005F446A" w:rsidRPr="006948C8" w:rsidRDefault="005F446A" w:rsidP="005F446A">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58DD5BB2" w14:textId="77777777" w:rsidR="005F446A" w:rsidRPr="006948C8" w:rsidRDefault="005F446A" w:rsidP="005F446A">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3F139FD8" w14:textId="77777777" w:rsidR="005F446A" w:rsidRPr="006948C8" w:rsidRDefault="005F446A" w:rsidP="005F446A">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6EE7F5B0" w14:textId="77777777" w:rsidR="005F446A" w:rsidRPr="006948C8" w:rsidRDefault="005F446A" w:rsidP="005F446A">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53C94112" w14:textId="77777777" w:rsidR="005F446A" w:rsidRPr="006948C8" w:rsidRDefault="005F446A" w:rsidP="005F446A">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w:t>
      </w:r>
      <w:r w:rsidRPr="006948C8">
        <w:rPr>
          <w:sz w:val="14"/>
        </w:rPr>
        <w:lastRenderedPageBreak/>
        <w:t xml:space="preserve">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xml:space="preserve">,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62FEBA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9D0AA9"/>
    <w:multiLevelType w:val="hybridMultilevel"/>
    <w:tmpl w:val="0E308662"/>
    <w:lvl w:ilvl="0" w:tplc="8CA65F5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44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0B60"/>
    <w:rsid w:val="001761FC"/>
    <w:rsid w:val="00182655"/>
    <w:rsid w:val="001840F2"/>
    <w:rsid w:val="00185134"/>
    <w:rsid w:val="001856C6"/>
    <w:rsid w:val="00191B5F"/>
    <w:rsid w:val="00192487"/>
    <w:rsid w:val="00193416"/>
    <w:rsid w:val="00195073"/>
    <w:rsid w:val="00195E3F"/>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3F3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B1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46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A97"/>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967A1"/>
  <w14:defaultImageDpi w14:val="300"/>
  <w15:docId w15:val="{487A7540-4FC0-B94E-BED4-5FABE37F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5E3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95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5E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5E3F"/>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95E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5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E3F"/>
  </w:style>
  <w:style w:type="character" w:customStyle="1" w:styleId="Heading1Char">
    <w:name w:val="Heading 1 Char"/>
    <w:aliases w:val="Pocket Char"/>
    <w:basedOn w:val="DefaultParagraphFont"/>
    <w:link w:val="Heading1"/>
    <w:uiPriority w:val="9"/>
    <w:rsid w:val="00195E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5E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5E3F"/>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95E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5E3F"/>
    <w:rPr>
      <w:b/>
      <w:sz w:val="26"/>
      <w:u w:val="none"/>
    </w:rPr>
  </w:style>
  <w:style w:type="character" w:customStyle="1" w:styleId="StyleUnderline">
    <w:name w:val="Style Underline"/>
    <w:aliases w:val="Underline"/>
    <w:basedOn w:val="DefaultParagraphFont"/>
    <w:uiPriority w:val="1"/>
    <w:qFormat/>
    <w:rsid w:val="00195E3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195E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5E3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195E3F"/>
    <w:rPr>
      <w:color w:val="auto"/>
      <w:u w:val="none"/>
    </w:rPr>
  </w:style>
  <w:style w:type="paragraph" w:styleId="DocumentMap">
    <w:name w:val="Document Map"/>
    <w:basedOn w:val="Normal"/>
    <w:link w:val="DocumentMapChar"/>
    <w:uiPriority w:val="99"/>
    <w:semiHidden/>
    <w:unhideWhenUsed/>
    <w:rsid w:val="00195E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5E3F"/>
    <w:rPr>
      <w:rFonts w:ascii="Lucida Grande" w:hAnsi="Lucida Grande" w:cs="Lucida Grande"/>
    </w:rPr>
  </w:style>
  <w:style w:type="paragraph" w:customStyle="1" w:styleId="textbold">
    <w:name w:val="text bold"/>
    <w:basedOn w:val="Normal"/>
    <w:link w:val="Emphasis"/>
    <w:uiPriority w:val="20"/>
    <w:qFormat/>
    <w:rsid w:val="005F446A"/>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card"/>
    <w:basedOn w:val="Heading1"/>
    <w:link w:val="Hyperlink"/>
    <w:autoRedefine/>
    <w:uiPriority w:val="99"/>
    <w:qFormat/>
    <w:rsid w:val="005F44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D1B15"/>
    <w:pPr>
      <w:spacing w:after="0" w:line="240" w:lineRule="auto"/>
      <w:ind w:left="720"/>
      <w:contextualSpacing/>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assets.lib.berkeley.edu/etd/ucb/text/Mollow_berkeley_0028E_1518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on.co/essays/five-reasons-why-moral-philosophy-is-distracting-and-harmful.%20Accessed%2010-1-202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hyperlink" Target="https://en.oxforddictionaries.com/definition/ought%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7309</Words>
  <Characters>41665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7</cp:revision>
  <dcterms:created xsi:type="dcterms:W3CDTF">2021-10-30T13:40:00Z</dcterms:created>
  <dcterms:modified xsi:type="dcterms:W3CDTF">2021-10-30T17:19:00Z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