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FFB25" w14:textId="2DF2A870" w:rsidR="002E6AFA" w:rsidRPr="002E6AFA" w:rsidRDefault="002E6AFA" w:rsidP="002E6AFA">
      <w:pPr>
        <w:pStyle w:val="Heading4"/>
      </w:pPr>
      <w:r>
        <w:t>Alt is unconditional – can’t kick it.</w:t>
      </w:r>
    </w:p>
    <w:p w14:paraId="2DAAB568" w14:textId="177739A6" w:rsidR="002E6AFA" w:rsidRDefault="002E6AFA" w:rsidP="002E6AFA">
      <w:pPr>
        <w:pStyle w:val="Heading3"/>
      </w:pPr>
      <w:r>
        <w:lastRenderedPageBreak/>
        <w:t>1</w:t>
      </w:r>
    </w:p>
    <w:p w14:paraId="7680D7FD" w14:textId="74E26E34" w:rsidR="002E6AFA" w:rsidRDefault="002E6AFA" w:rsidP="002E6AFA">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47EAF022" w14:textId="77777777" w:rsidR="002E6AFA" w:rsidRDefault="002E6AFA" w:rsidP="002E6AFA">
      <w:pPr>
        <w:pStyle w:val="Heading4"/>
      </w:pPr>
      <w:r>
        <w:t xml:space="preserve">Violation: they didn’t </w:t>
      </w:r>
    </w:p>
    <w:p w14:paraId="1B0B1F7F" w14:textId="77777777" w:rsidR="002E6AFA" w:rsidRDefault="002E6AFA" w:rsidP="002E6AFA">
      <w:pPr>
        <w:pStyle w:val="Heading4"/>
      </w:pPr>
      <w:r>
        <w:t xml:space="preserve">Standards – </w:t>
      </w:r>
    </w:p>
    <w:p w14:paraId="14C40822" w14:textId="77777777" w:rsidR="002E6AFA" w:rsidRPr="00AB2C97" w:rsidRDefault="002E6AFA" w:rsidP="002E6AFA">
      <w:pPr>
        <w:pStyle w:val="Heading4"/>
      </w:pPr>
      <w:r>
        <w:t>1] Topic lit – strikes are the core question of the topic and there’s no consensus on normal means so you must spec.</w:t>
      </w:r>
    </w:p>
    <w:p w14:paraId="3F78AE48" w14:textId="77777777" w:rsidR="002E6AFA" w:rsidRDefault="002E6AFA" w:rsidP="002E6AFA">
      <w:pPr>
        <w:rPr>
          <w:rStyle w:val="Style13ptBold"/>
        </w:rPr>
      </w:pPr>
      <w:r>
        <w:rPr>
          <w:rStyle w:val="Style13ptBold"/>
        </w:rPr>
        <w:t>Law Library</w:t>
      </w:r>
    </w:p>
    <w:p w14:paraId="13C2E743" w14:textId="77777777" w:rsidR="002E6AFA" w:rsidRPr="00EC05A0" w:rsidRDefault="002E6AFA" w:rsidP="002E6AFA">
      <w:pPr>
        <w:rPr>
          <w:szCs w:val="16"/>
        </w:rPr>
      </w:pPr>
      <w:r w:rsidRPr="00EC05A0">
        <w:rPr>
          <w:szCs w:val="16"/>
        </w:rPr>
        <w:t xml:space="preserve">[“Strike”, N.D., </w:t>
      </w:r>
      <w:hyperlink r:id="rId9" w:history="1">
        <w:r w:rsidRPr="00EC05A0">
          <w:rPr>
            <w:szCs w:val="16"/>
          </w:rPr>
          <w:t>https://law.jrank.org/pages/10554/Strike-Status.html</w:t>
        </w:r>
      </w:hyperlink>
      <w:r w:rsidRPr="00EC05A0">
        <w:rPr>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Cs w:val="16"/>
        </w:rPr>
        <w:t>Wade</w:t>
      </w:r>
      <w:proofErr w:type="gramEnd"/>
      <w:r w:rsidRPr="00EC05A0">
        <w:rPr>
          <w:szCs w:val="16"/>
        </w:rPr>
        <w:t xml:space="preserve"> and many others.</w:t>
      </w:r>
      <w:r>
        <w:rPr>
          <w:szCs w:val="16"/>
        </w:rPr>
        <w:t xml:space="preserve"> </w:t>
      </w:r>
      <w:proofErr w:type="gramStart"/>
      <w:r w:rsidRPr="00EC05A0">
        <w:rPr>
          <w:szCs w:val="16"/>
        </w:rPr>
        <w:t>All of</w:t>
      </w:r>
      <w:proofErr w:type="gramEnd"/>
      <w:r w:rsidRPr="00EC05A0">
        <w:rPr>
          <w:szCs w:val="16"/>
        </w:rPr>
        <w:t xml:space="preserve"> the legal information on this website was professionally written and researched, and each law article has been carefully selected -- all to create the most comprehensive legal information site on the web.</w:t>
      </w:r>
      <w:r>
        <w:rPr>
          <w:szCs w:val="16"/>
        </w:rPr>
        <w:t xml:space="preserve"> </w:t>
      </w:r>
      <w:r w:rsidRPr="00EC05A0">
        <w:rPr>
          <w:szCs w:val="16"/>
        </w:rPr>
        <w:t xml:space="preserve">Read more: Law Library - American Law and Legal Information - </w:t>
      </w:r>
      <w:proofErr w:type="spellStart"/>
      <w:r w:rsidRPr="00EC05A0">
        <w:rPr>
          <w:szCs w:val="16"/>
        </w:rPr>
        <w:t>JRank</w:t>
      </w:r>
      <w:proofErr w:type="spellEnd"/>
      <w:r w:rsidRPr="00EC05A0">
        <w:rPr>
          <w:szCs w:val="16"/>
        </w:rPr>
        <w:t xml:space="preserve"> Articles </w:t>
      </w:r>
      <w:hyperlink r:id="rId10" w:anchor="ixzz6yOIvCHj7" w:history="1">
        <w:r w:rsidRPr="00EC05A0">
          <w:rPr>
            <w:szCs w:val="16"/>
          </w:rPr>
          <w:t>https://law.jrank.org/#ixzz6yOIvCHj7</w:t>
        </w:r>
      </w:hyperlink>
      <w:r w:rsidRPr="00EC05A0">
        <w:rPr>
          <w:szCs w:val="16"/>
        </w:rPr>
        <w:t>] [SS]</w:t>
      </w:r>
    </w:p>
    <w:p w14:paraId="372EA66B" w14:textId="77777777" w:rsidR="002E6AFA" w:rsidRPr="00B96B4E" w:rsidRDefault="002E6AFA" w:rsidP="002E6AFA">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13B32FBD" w14:textId="2F751C8A" w:rsidR="002E6AFA" w:rsidRDefault="002E6AFA" w:rsidP="002E6AFA">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3AD4B52C" w14:textId="7C59868B" w:rsidR="00175D29" w:rsidRPr="00175D29" w:rsidRDefault="00175D29" w:rsidP="00175D29">
      <w:proofErr w:type="spellStart"/>
      <w:r>
        <w:t>Extempt</w:t>
      </w:r>
      <w:proofErr w:type="spellEnd"/>
      <w:r>
        <w:t xml:space="preserve"> </w:t>
      </w:r>
    </w:p>
    <w:p w14:paraId="5C3B2978" w14:textId="77777777" w:rsidR="002E6AFA" w:rsidRDefault="002E6AFA" w:rsidP="002E6AFA">
      <w:pPr>
        <w:pStyle w:val="Heading4"/>
        <w:rPr>
          <w:rFonts w:cs="Calibri"/>
        </w:rPr>
      </w:pPr>
      <w:r>
        <w:rPr>
          <w:rFonts w:cs="Calibri"/>
        </w:rPr>
        <w:t xml:space="preserve">2] </w:t>
      </w:r>
      <w:r w:rsidRPr="003C4FD4">
        <w:rPr>
          <w:rFonts w:cs="Calibri"/>
          <w:color w:val="000000" w:themeColor="text1"/>
        </w:rPr>
        <w:t xml:space="preserve">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type of strike</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64B2C931" w14:textId="77777777" w:rsidR="002E6AFA" w:rsidRDefault="002E6AFA" w:rsidP="002E6AFA"/>
    <w:p w14:paraId="39DD4C85" w14:textId="77777777" w:rsidR="002E6AFA" w:rsidRDefault="002E6AFA" w:rsidP="002E6AFA">
      <w:pPr>
        <w:pStyle w:val="Heading4"/>
      </w:pPr>
      <w:r>
        <w:lastRenderedPageBreak/>
        <w:t>Drop the debater – a] deter future abuse and b] set better norms for debate.</w:t>
      </w:r>
    </w:p>
    <w:p w14:paraId="79CD5D7C" w14:textId="77777777" w:rsidR="002E6AFA" w:rsidRDefault="002E6AFA" w:rsidP="002E6AFA">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6884FB6" w14:textId="26E18FC7" w:rsidR="002E6AFA" w:rsidRDefault="002E6AFA" w:rsidP="002E6AF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6559FE2" w14:textId="4779403A" w:rsidR="002E6AFA" w:rsidRDefault="002E6AFA" w:rsidP="002E6AFA">
      <w:pPr>
        <w:pStyle w:val="Heading3"/>
      </w:pPr>
      <w:r>
        <w:lastRenderedPageBreak/>
        <w:t>2</w:t>
      </w:r>
    </w:p>
    <w:p w14:paraId="1CABA84F" w14:textId="77777777" w:rsidR="002E6AFA" w:rsidRPr="00AE3F77" w:rsidRDefault="002E6AFA" w:rsidP="002E6AFA">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0064AD74" w14:textId="77777777" w:rsidR="002E6AFA" w:rsidRPr="006948C8" w:rsidRDefault="002E6AFA" w:rsidP="002E6AFA">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1"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315EEAF2" w14:textId="77777777" w:rsidR="002E6AFA" w:rsidRPr="006948C8" w:rsidRDefault="002E6AFA" w:rsidP="002E6AFA">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21681B69" w14:textId="77777777" w:rsidR="002E6AFA" w:rsidRPr="0038556A" w:rsidRDefault="002E6AFA" w:rsidP="002E6AFA">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31F056AC" w14:textId="77777777" w:rsidR="002E6AFA" w:rsidRPr="006948C8" w:rsidRDefault="002E6AFA" w:rsidP="002E6AFA">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2"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6C39E1EB" w14:textId="77777777" w:rsidR="002E6AFA" w:rsidRDefault="002E6AFA" w:rsidP="002E6AFA">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039CE19F" w14:textId="77777777" w:rsidR="002E6AFA" w:rsidRPr="006948C8" w:rsidRDefault="002E6AFA" w:rsidP="002E6AFA">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4883DF2" w14:textId="77777777" w:rsidR="002E6AFA" w:rsidRPr="006948C8" w:rsidRDefault="002E6AFA" w:rsidP="002E6AFA">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69BD34B1" w14:textId="77777777" w:rsidR="002E6AFA" w:rsidRPr="006948C8" w:rsidRDefault="002E6AFA" w:rsidP="002E6AFA">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A9B6AF5" w14:textId="77777777" w:rsidR="002E6AFA" w:rsidRPr="006948C8" w:rsidRDefault="002E6AFA" w:rsidP="002E6AFA">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5762E7C2" w14:textId="77777777" w:rsidR="002E6AFA" w:rsidRPr="006948C8" w:rsidRDefault="002E6AFA" w:rsidP="002E6AFA">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0861E482" w14:textId="77777777" w:rsidR="002E6AFA" w:rsidRPr="006948C8" w:rsidRDefault="002E6AFA" w:rsidP="002E6AFA">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2E87F956" w14:textId="77777777" w:rsidR="002E6AFA" w:rsidRPr="006948C8" w:rsidRDefault="002E6AFA" w:rsidP="002E6AFA">
      <w:pPr>
        <w:pStyle w:val="Heading4"/>
        <w:rPr>
          <w:rFonts w:cs="Calibri"/>
        </w:rPr>
      </w:pPr>
      <w:r w:rsidRPr="006948C8">
        <w:rPr>
          <w:rFonts w:cs="Calibri"/>
        </w:rPr>
        <w:t>Psychoanalysis is both falsifiable and accurate – studies prove.</w:t>
      </w:r>
    </w:p>
    <w:p w14:paraId="3175353B" w14:textId="77777777" w:rsidR="002E6AFA" w:rsidRPr="006948C8" w:rsidRDefault="002E6AFA" w:rsidP="002E6AFA">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887DBDE" w14:textId="76082BEA" w:rsidR="002E6AFA" w:rsidRDefault="002E6AFA" w:rsidP="002E6AFA">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32899949" w14:textId="3B549CFF" w:rsidR="000425F8" w:rsidRDefault="000425F8" w:rsidP="000425F8">
      <w:pPr>
        <w:pStyle w:val="Heading3"/>
      </w:pPr>
      <w:r>
        <w:lastRenderedPageBreak/>
        <w:t>Case</w:t>
      </w:r>
    </w:p>
    <w:p w14:paraId="6389D802" w14:textId="77777777" w:rsidR="00A55201" w:rsidRDefault="00A55201" w:rsidP="00A55201">
      <w:pPr>
        <w:pStyle w:val="Heading4"/>
        <w:rPr>
          <w:shd w:val="clear" w:color="auto" w:fill="FFFFFF"/>
        </w:rPr>
      </w:pPr>
      <w:r>
        <w:rPr>
          <w:shd w:val="clear" w:color="auto" w:fill="FFFFFF"/>
        </w:rPr>
        <w:t>Labor unions effective – no need for more strikes</w:t>
      </w:r>
    </w:p>
    <w:p w14:paraId="3A30C24F" w14:textId="77777777" w:rsidR="00A55201" w:rsidRDefault="00A55201" w:rsidP="00A55201">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9.2 (2016): 4.</w:t>
      </w:r>
    </w:p>
    <w:p w14:paraId="7B9B14A8" w14:textId="77777777" w:rsidR="00A55201" w:rsidRDefault="00A55201" w:rsidP="00A55201">
      <w:r w:rsidRPr="00EC0D6A">
        <w:rPr>
          <w:rStyle w:val="Emphasis"/>
        </w:rPr>
        <w:t>E</w:t>
      </w:r>
      <w:r w:rsidRPr="00EC0D6A">
        <w:rPr>
          <w:rStyle w:val="Emphasis"/>
          <w:highlight w:val="green"/>
        </w:rPr>
        <w:t>mployers in certain industries almost always bow to union demand</w:t>
      </w:r>
      <w:r w:rsidRPr="00EC0D6A">
        <w:rPr>
          <w:rStyle w:val="Emphasis"/>
        </w:rPr>
        <w:t>s because, having banded together in collective bargaining associations with their competitors</w:t>
      </w:r>
      <w:r w:rsidRPr="00EC0D6A">
        <w:rPr>
          <w:rStyle w:val="Emphasis"/>
          <w:highlight w:val="green"/>
        </w:rPr>
        <w:t xml:space="preserve">, they are </w:t>
      </w:r>
      <w:proofErr w:type="gramStart"/>
      <w:r w:rsidRPr="00EC0D6A">
        <w:rPr>
          <w:rStyle w:val="Emphasis"/>
          <w:highlight w:val="green"/>
        </w:rPr>
        <w:t>in a position</w:t>
      </w:r>
      <w:proofErr w:type="gramEnd"/>
      <w:r w:rsidRPr="00EC0D6A">
        <w:rPr>
          <w:rStyle w:val="Emphasis"/>
          <w:highlight w:val="green"/>
        </w:rPr>
        <w:t xml:space="preserve"> to make the public pay the price of increased wages or shorter hour</w:t>
      </w:r>
      <w:r w:rsidRPr="00EC0D6A">
        <w:rPr>
          <w:highlight w:val="green"/>
        </w:rPr>
        <w:t>s</w:t>
      </w:r>
      <w:r w:rsidRPr="00EC0D6A">
        <w:t xml:space="preserve">. This is an oversimplification, of course, but it would not be naive not to suppose, for example, that at least one effect of the inflated wage scales in the building trades is to make it more difficult for the </w:t>
      </w:r>
      <w:proofErr w:type="spellStart"/>
      <w:r w:rsidRPr="00EC0D6A">
        <w:t>lowerincome</w:t>
      </w:r>
      <w:proofErr w:type="spellEnd"/>
      <w:r w:rsidRPr="00EC0D6A">
        <w:t xml:space="preserve"> groups to increase their earnings and someday to buy a </w:t>
      </w:r>
      <w:r w:rsidRPr="00EC0D6A">
        <w:rPr>
          <w:rStyle w:val="StyleUnderline"/>
        </w:rPr>
        <w:t xml:space="preserve">home. Conclusion In any 'event, </w:t>
      </w:r>
      <w:proofErr w:type="gramStart"/>
      <w:r w:rsidRPr="00EC0D6A">
        <w:rPr>
          <w:rStyle w:val="StyleUnderline"/>
        </w:rPr>
        <w:t>it would appear that government</w:t>
      </w:r>
      <w:proofErr w:type="gramEnd"/>
      <w:r w:rsidRPr="00EC0D6A">
        <w:rPr>
          <w:rStyle w:val="StyleUnderline"/>
        </w:rPr>
        <w:t xml:space="preserve"> neutrality in labor disputes is fast becoming a thing of the past.</w:t>
      </w:r>
      <w:r w:rsidRPr="00EC0D6A">
        <w:t xml:space="preserve"> The Kennedy administration has to date shown no reluctance to invoke the Taft-Hartley injunction procedures in labor disputes affecting the national welfare. </w:t>
      </w:r>
      <w:r w:rsidRPr="00EC0D6A">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C0D6A">
        <w:t xml:space="preserve">but Goldberg's proposal does reflect an increasing concern for the public interest in labor-management disputes. It seems that government mediators often will intervene in disputes that only remotely affect national defense interests. </w:t>
      </w:r>
      <w:r w:rsidRPr="00EC0D6A">
        <w:rPr>
          <w:rStyle w:val="StyleUnderline"/>
        </w:rPr>
        <w:t xml:space="preserve">Perhaps this tendency has been influenced by the </w:t>
      </w:r>
      <w:proofErr w:type="gramStart"/>
      <w:r w:rsidRPr="00EC0D6A">
        <w:rPr>
          <w:rStyle w:val="StyleUnderline"/>
        </w:rPr>
        <w:t>widely-held</w:t>
      </w:r>
      <w:proofErr w:type="gramEnd"/>
      <w:r w:rsidRPr="00EC0D6A">
        <w:rPr>
          <w:rStyle w:val="StyleUnderline"/>
        </w:rPr>
        <w:t xml:space="preserve"> view among labor practitioners that public tolerance for strikes is much lower today than during the years when unions were organizing in the mass production industries</w:t>
      </w:r>
      <w:r w:rsidRPr="00EC0D6A">
        <w:t xml:space="preserve">.3 6 </w:t>
      </w:r>
      <w:r w:rsidRPr="00EC0D6A">
        <w:rPr>
          <w:rStyle w:val="Emphasis"/>
        </w:rPr>
        <w:t xml:space="preserve">In conclusion, it is safe to say that </w:t>
      </w:r>
      <w:r w:rsidRPr="00EC0D6A">
        <w:rPr>
          <w:rStyle w:val="Emphasis"/>
          <w:highlight w:val="green"/>
        </w:rPr>
        <w:t>additional legislation to curb illegal strikes and to compel arbitration in certain industries may not only be inevitable but necessary as well.</w:t>
      </w:r>
      <w:r w:rsidRPr="00EC0D6A">
        <w:rPr>
          <w:rStyle w:val="Emphasis"/>
        </w:rPr>
        <w:t xml:space="preserve"> </w:t>
      </w:r>
      <w:r w:rsidRPr="00EC0D6A">
        <w:t xml:space="preserve">We also can expect government regulation over other areas of collective bargaining unless the powerful unions pay heed to the principle enunciated by Pope Pius XI in </w:t>
      </w:r>
      <w:proofErr w:type="spellStart"/>
      <w:r w:rsidRPr="00EC0D6A">
        <w:t>Quadragesimo</w:t>
      </w:r>
      <w:proofErr w:type="spellEnd"/>
      <w:r w:rsidRPr="00EC0D6A">
        <w:t xml:space="preserve"> Anno </w:t>
      </w:r>
      <w:r w:rsidRPr="00EC0D6A">
        <w:rPr>
          <w:highlight w:val="green"/>
        </w:rPr>
        <w:t>that the right to strike should be exercised only as a last resort and in situations where it needs no justification</w:t>
      </w:r>
      <w:r w:rsidRPr="00EC0D6A">
        <w:t>.</w:t>
      </w:r>
    </w:p>
    <w:p w14:paraId="4666E816" w14:textId="77777777" w:rsidR="002E6AFA" w:rsidRPr="00F601E6" w:rsidRDefault="002E6AFA" w:rsidP="002E6AFA"/>
    <w:p w14:paraId="4AA0A7B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A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5F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D2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AF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7A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535"/>
    <w:rsid w:val="00A431C6"/>
    <w:rsid w:val="00A54315"/>
    <w:rsid w:val="00A5520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CF4A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39FD3"/>
  <w14:defaultImageDpi w14:val="300"/>
  <w15:docId w15:val="{66DEC49E-1B75-1043-A8C4-5FCE9BD8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6AF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E6A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6A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2E6AFA"/>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9"/>
    <w:unhideWhenUsed/>
    <w:qFormat/>
    <w:rsid w:val="002E6A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6A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AFA"/>
  </w:style>
  <w:style w:type="character" w:customStyle="1" w:styleId="Heading1Char">
    <w:name w:val="Heading 1 Char"/>
    <w:aliases w:val="Pocket Char"/>
    <w:basedOn w:val="DefaultParagraphFont"/>
    <w:link w:val="Heading1"/>
    <w:uiPriority w:val="9"/>
    <w:rsid w:val="002E6A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6AF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E6AFA"/>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2E6A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6AFA"/>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2E6AF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E6A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E6AFA"/>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2E6AFA"/>
    <w:rPr>
      <w:color w:val="auto"/>
      <w:u w:val="none"/>
    </w:rPr>
  </w:style>
  <w:style w:type="paragraph" w:styleId="DocumentMap">
    <w:name w:val="Document Map"/>
    <w:basedOn w:val="Normal"/>
    <w:link w:val="DocumentMapChar"/>
    <w:uiPriority w:val="99"/>
    <w:semiHidden/>
    <w:unhideWhenUsed/>
    <w:rsid w:val="002E6A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6AFA"/>
    <w:rPr>
      <w:rFonts w:ascii="Lucida Grande" w:hAnsi="Lucida Grande" w:cs="Lucida Grande"/>
    </w:rPr>
  </w:style>
  <w:style w:type="paragraph" w:customStyle="1" w:styleId="textbold">
    <w:name w:val="text bold"/>
    <w:basedOn w:val="Normal"/>
    <w:link w:val="Emphasis"/>
    <w:uiPriority w:val="20"/>
    <w:qFormat/>
    <w:rsid w:val="002E6AFA"/>
    <w:pPr>
      <w:spacing w:after="0" w:line="240" w:lineRule="auto"/>
      <w:ind w:left="720"/>
      <w:jc w:val="both"/>
    </w:pPr>
    <w:rPr>
      <w:b/>
      <w:iCs/>
      <w:sz w:val="22"/>
      <w:u w:val="single"/>
    </w:rPr>
  </w:style>
  <w:style w:type="paragraph" w:customStyle="1" w:styleId="Emphasis1">
    <w:name w:val="Emphasis1"/>
    <w:basedOn w:val="Normal"/>
    <w:autoRedefine/>
    <w:uiPriority w:val="20"/>
    <w:qFormat/>
    <w:rsid w:val="000425F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2"/>
      <w:u w:val="single"/>
    </w:rPr>
  </w:style>
  <w:style w:type="character" w:customStyle="1" w:styleId="underline">
    <w:name w:val="underline"/>
    <w:qFormat/>
    <w:rsid w:val="000425F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law.jrank.org/"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11</Pages>
  <Words>7273</Words>
  <Characters>41459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2021-11-06T16:37:00Z</dcterms:created>
  <dcterms:modified xsi:type="dcterms:W3CDTF">2021-11-06T17:58:00Z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