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CEAF8" w14:textId="528EB22D" w:rsidR="009A5701" w:rsidRDefault="009A5701" w:rsidP="009A5701">
      <w:pPr>
        <w:pStyle w:val="Heading3"/>
      </w:pPr>
      <w:r>
        <w:t>Advantage 1</w:t>
      </w:r>
    </w:p>
    <w:p w14:paraId="746F1AC3" w14:textId="77777777" w:rsidR="009A5701" w:rsidRDefault="009A5701" w:rsidP="009A5701">
      <w:pPr>
        <w:pStyle w:val="Heading4"/>
      </w:pPr>
      <w:r>
        <w:t>Global democracy is collapsing now.</w:t>
      </w:r>
    </w:p>
    <w:p w14:paraId="65628F8B" w14:textId="77777777" w:rsidR="009A5701" w:rsidRPr="005F32CE" w:rsidRDefault="009A5701" w:rsidP="009A5701">
      <w:r w:rsidRPr="00C7246E">
        <w:rPr>
          <w:rStyle w:val="Style13ptBold"/>
        </w:rPr>
        <w:t>Freedom House 3/3</w:t>
      </w:r>
      <w:r w:rsidRPr="005F32CE">
        <w:t xml:space="preserve"> </w:t>
      </w:r>
      <w:r w:rsidRPr="005F32CE">
        <w:rPr>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Cs w:val="16"/>
        </w:rPr>
        <w:t>. .</w:t>
      </w:r>
      <w:proofErr w:type="gramEnd"/>
      <w:r w:rsidRPr="005F32CE">
        <w:rPr>
          <w:szCs w:val="16"/>
        </w:rPr>
        <w:t xml:space="preserve"> https://freedomhouse.org/article/new-report-global-decline-democracy-has-accelerated.] </w:t>
      </w:r>
    </w:p>
    <w:p w14:paraId="1129A622" w14:textId="77777777" w:rsidR="009A5701" w:rsidRDefault="009A5701" w:rsidP="009A5701">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t xml:space="preserve">, according to </w:t>
      </w:r>
      <w:hyperlink r:id="rId9" w:history="1">
        <w:r w:rsidRPr="005F32CE">
          <w:rPr>
            <w:rStyle w:val="Hyperlink"/>
            <w:b/>
            <w:bCs/>
            <w:i/>
            <w:iCs/>
          </w:rPr>
          <w:t>Freedom in the World 2021</w:t>
        </w:r>
      </w:hyperlink>
      <w:r w:rsidRPr="005F32CE">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t xml:space="preserve"> His Hindu nationalist government has presided over increased pressure on human rights organizations, rising intimidation of academics and journalists, and a spate of bigoted attacks—including </w:t>
      </w:r>
      <w:proofErr w:type="spellStart"/>
      <w:r w:rsidRPr="005F32CE">
        <w:t>lynchings</w:t>
      </w:r>
      <w:proofErr w:type="spellEnd"/>
      <w:r w:rsidRPr="005F32CE">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rPr>
        <w:t>A need for reform in the United States</w:t>
      </w:r>
      <w:r w:rsidRPr="005F32CE">
        <w:t xml:space="preserve"> While still considered Free, the United States experienced further democratic decline during the final </w:t>
      </w:r>
      <w:r w:rsidRPr="005F32CE">
        <w:lastRenderedPageBreak/>
        <w:t xml:space="preserve">year of the Trump presidency. The US score in </w:t>
      </w:r>
      <w:hyperlink r:id="rId10" w:history="1">
        <w:r w:rsidRPr="005F32CE">
          <w:rPr>
            <w:rStyle w:val="Hyperlink"/>
          </w:rPr>
          <w:t>Freedom in the World</w:t>
        </w:r>
      </w:hyperlink>
      <w:r w:rsidRPr="005F32CE">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t xml:space="preserve"> In addition, the crisis further damaged the United States’ credibility abroad and underscored the menace of political polarization and extremism in the country. </w:t>
      </w:r>
      <w:proofErr w:type="gramStart"/>
      <w:r w:rsidRPr="005F32CE">
        <w:t>”January</w:t>
      </w:r>
      <w:proofErr w:type="gramEnd"/>
      <w:r w:rsidRPr="005F32CE">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rPr>
        <w:t>The effects of COVID-19</w:t>
      </w:r>
      <w:r w:rsidRPr="005F32CE">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t>Orbán</w:t>
      </w:r>
      <w:proofErr w:type="spellEnd"/>
      <w:r w:rsidRPr="005F32CE">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rPr>
        <w:t>The resilience of democracy</w:t>
      </w:r>
      <w:r w:rsidRPr="005F32CE">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5D729A4" w14:textId="77777777" w:rsidR="009A5701" w:rsidRDefault="009A5701" w:rsidP="009A5701">
      <w:pPr>
        <w:rPr>
          <w:rStyle w:val="StyleUnderline"/>
        </w:rPr>
      </w:pPr>
    </w:p>
    <w:p w14:paraId="2A653067" w14:textId="77777777" w:rsidR="009A5701" w:rsidRPr="005F32CE" w:rsidRDefault="009A5701" w:rsidP="009A5701">
      <w:pPr>
        <w:pStyle w:val="Heading4"/>
      </w:pPr>
      <w:r>
        <w:t xml:space="preserve">The plan solves: </w:t>
      </w:r>
    </w:p>
    <w:p w14:paraId="06FE9F43" w14:textId="77777777" w:rsidR="009A5701" w:rsidRDefault="009A5701" w:rsidP="009A5701">
      <w:pPr>
        <w:pStyle w:val="Heading4"/>
      </w:pPr>
      <w:r>
        <w:t xml:space="preserve">First,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1307786" w14:textId="77777777" w:rsidR="009A5701" w:rsidRPr="00C76511" w:rsidRDefault="009A5701" w:rsidP="009A5701">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6B6633A2" w14:textId="77777777" w:rsidR="009A5701" w:rsidRPr="004A176C" w:rsidRDefault="009A5701" w:rsidP="009A5701">
      <w:pPr>
        <w:rPr>
          <w:u w:val="single"/>
        </w:rPr>
      </w:pPr>
      <w:r w:rsidRPr="00900F2B">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t xml:space="preserve">." </w:t>
      </w:r>
      <w:r w:rsidRPr="004A176C">
        <w:rPr>
          <w:u w:val="single"/>
        </w:rPr>
        <w:t xml:space="preserve">What she meant is that more than simply vehicles for the economic interests of workers </w:t>
      </w:r>
      <w:r w:rsidRPr="00900F2B">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4AD7B3AE" w14:textId="77777777" w:rsidR="009A5701" w:rsidRPr="00900F2B" w:rsidRDefault="009A5701" w:rsidP="009A5701">
      <w:r w:rsidRPr="004A176C">
        <w:rPr>
          <w:u w:val="single"/>
        </w:rPr>
        <w:t xml:space="preserve">In 2014, voter turnout was </w:t>
      </w:r>
      <w:r w:rsidRPr="00723327">
        <w:rPr>
          <w:rStyle w:val="Emphasis"/>
        </w:rPr>
        <w:t>abysmal</w:t>
      </w:r>
      <w:r w:rsidRPr="004A176C">
        <w:rPr>
          <w:u w:val="single"/>
        </w:rPr>
        <w:t>, even for a midterm</w:t>
      </w:r>
      <w:r w:rsidRPr="00900F2B">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t xml:space="preserve"> (the sample only includes individuals who were employed, and does not include self-employed workers). While only 39 percent of non-union workers voted in 2014, fully 52 percent of union workers did.</w:t>
      </w:r>
    </w:p>
    <w:p w14:paraId="5014EE5B" w14:textId="77777777" w:rsidR="009A5701" w:rsidRPr="00900F2B" w:rsidRDefault="009A5701" w:rsidP="009A5701">
      <w:r w:rsidRPr="00900F2B">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t xml:space="preserve"> (after controlling for demographic factors) and individuals living in a union household are 2.5 points more likely to vote and register. This is largely in line with the earlier estimates of Richard Freeman.</w:t>
      </w:r>
    </w:p>
    <w:p w14:paraId="4E08F239" w14:textId="77777777" w:rsidR="009A5701" w:rsidRPr="004A176C" w:rsidRDefault="009A5701" w:rsidP="009A5701">
      <w:pPr>
        <w:rPr>
          <w:u w:val="single"/>
        </w:rPr>
      </w:pPr>
      <w:r w:rsidRPr="004A176C">
        <w:rPr>
          <w:u w:val="single"/>
        </w:rPr>
        <w:t>These numbers may appear modest, but in a close national election they could be enough to change the result.</w:t>
      </w:r>
    </w:p>
    <w:p w14:paraId="48415464" w14:textId="77777777" w:rsidR="009A5701" w:rsidRPr="004A176C" w:rsidRDefault="009A5701" w:rsidP="009A5701">
      <w:pPr>
        <w:rPr>
          <w:u w:val="single"/>
        </w:rPr>
      </w:pPr>
      <w:r w:rsidRPr="00900F2B">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t xml:space="preserve">. Daniel </w:t>
      </w:r>
      <w:proofErr w:type="spellStart"/>
      <w:r w:rsidRPr="00900F2B">
        <w:t>Stegmueller</w:t>
      </w:r>
      <w:proofErr w:type="spellEnd"/>
      <w:r w:rsidRPr="00900F2B">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0D4F5872" w14:textId="77777777" w:rsidR="009A5701" w:rsidRPr="00900F2B" w:rsidRDefault="009A5701" w:rsidP="009A5701">
      <w:r w:rsidRPr="004A176C">
        <w:rPr>
          <w:u w:val="single"/>
        </w:rPr>
        <w:t>What's particularly important is that unions boost turnout among low- and middle-income individuals</w:t>
      </w:r>
      <w:r w:rsidRPr="00900F2B">
        <w:t xml:space="preserve">. In a 2006 study, political scientists Jan </w:t>
      </w:r>
      <w:proofErr w:type="spellStart"/>
      <w:r w:rsidRPr="00900F2B">
        <w:t>Leighley</w:t>
      </w:r>
      <w:proofErr w:type="spellEnd"/>
      <w:r w:rsidRPr="00900F2B">
        <w:t xml:space="preserve"> and Jonathan </w:t>
      </w:r>
      <w:proofErr w:type="spellStart"/>
      <w:r w:rsidRPr="00900F2B">
        <w:t>Nagler</w:t>
      </w:r>
      <w:proofErr w:type="spellEnd"/>
      <w:r w:rsidRPr="00900F2B">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t xml:space="preserve"> (40 percent turnout for union workers, </w:t>
      </w:r>
      <w:r w:rsidRPr="004A176C">
        <w:rPr>
          <w:u w:val="single"/>
        </w:rPr>
        <w:t>and 25 percent turnout for non-union workers).</w:t>
      </w:r>
      <w:r w:rsidRPr="00900F2B">
        <w:t xml:space="preserve"> Among those earning more than $100,000, the gap was far smaller (49 percent for non-union workers and 52 percent for union workers).</w:t>
      </w:r>
    </w:p>
    <w:p w14:paraId="3800D845" w14:textId="77777777" w:rsidR="009A5701" w:rsidRPr="00900F2B" w:rsidRDefault="009A5701" w:rsidP="009A5701">
      <w:r w:rsidRPr="00900F2B">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13759427" w14:textId="77777777" w:rsidR="009A5701" w:rsidRPr="00900F2B" w:rsidRDefault="009A5701" w:rsidP="009A5701">
      <w:r w:rsidRPr="00900F2B">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0C161C7" w14:textId="77777777" w:rsidR="009A5701" w:rsidRPr="00900F2B" w:rsidRDefault="009A5701" w:rsidP="009A5701">
      <w:r w:rsidRPr="00900F2B">
        <w:t xml:space="preserve">A 2013 study by Jasmine </w:t>
      </w:r>
      <w:proofErr w:type="spellStart"/>
      <w:r w:rsidRPr="00900F2B">
        <w:t>Kerrissey</w:t>
      </w:r>
      <w:proofErr w:type="spellEnd"/>
      <w:r w:rsidRPr="00900F2B">
        <w:t xml:space="preserve"> and Evan </w:t>
      </w:r>
      <w:proofErr w:type="spellStart"/>
      <w:r w:rsidRPr="00900F2B">
        <w:t>Schofer</w:t>
      </w:r>
      <w:proofErr w:type="spellEnd"/>
      <w:r w:rsidRPr="00900F2B">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t>. A recent study of European countries finds union members vote more and identifies those aspects of union membership that contribute to the higher turnout.</w:t>
      </w:r>
    </w:p>
    <w:p w14:paraId="35D0DF51" w14:textId="77777777" w:rsidR="009A5701" w:rsidRPr="00900F2B" w:rsidRDefault="009A5701" w:rsidP="009A5701">
      <w:r w:rsidRPr="00900F2B">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2913FFF8" w14:textId="77777777" w:rsidR="009A5701" w:rsidRPr="00900F2B" w:rsidRDefault="009A5701" w:rsidP="009A5701">
      <w:pPr>
        <w:rPr>
          <w:u w:val="single"/>
        </w:rPr>
      </w:pPr>
      <w:r w:rsidRPr="00900F2B">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7F4F82E4" w14:textId="77777777" w:rsidR="009A5701" w:rsidRDefault="009A5701" w:rsidP="009A5701">
      <w:pPr>
        <w:rPr>
          <w:u w:val="single"/>
        </w:rPr>
      </w:pPr>
      <w:r w:rsidRPr="00900F2B">
        <w:lastRenderedPageBreak/>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85D4EB4" w14:textId="77777777" w:rsidR="009A5701" w:rsidRDefault="009A5701" w:rsidP="009A5701">
      <w:pPr>
        <w:rPr>
          <w:u w:val="single"/>
        </w:rPr>
      </w:pPr>
    </w:p>
    <w:p w14:paraId="1EA11C32" w14:textId="77777777" w:rsidR="009A5701" w:rsidRPr="00637937" w:rsidRDefault="009A5701" w:rsidP="009A5701">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5C3649C" w14:textId="77777777" w:rsidR="009A5701" w:rsidRDefault="009A5701" w:rsidP="009A5701">
      <w:pPr>
        <w:rPr>
          <w:szCs w:val="16"/>
        </w:rPr>
      </w:pPr>
      <w:r w:rsidRPr="00C7246E">
        <w:rPr>
          <w:rStyle w:val="Style13ptBold"/>
        </w:rPr>
        <w:t>IER 17</w:t>
      </w:r>
      <w:r w:rsidRPr="007632B1">
        <w:t xml:space="preserve"> </w:t>
      </w:r>
      <w:r w:rsidRPr="005F35F0">
        <w:rPr>
          <w:szCs w:val="16"/>
        </w:rPr>
        <w:t xml:space="preserve">[Institute of Employment Rights. The IER exists to inform the debate around trade union rights and </w:t>
      </w:r>
      <w:proofErr w:type="spellStart"/>
      <w:r w:rsidRPr="005F35F0">
        <w:rPr>
          <w:szCs w:val="16"/>
        </w:rPr>
        <w:t>labour</w:t>
      </w:r>
      <w:proofErr w:type="spellEnd"/>
      <w:r w:rsidRPr="005F35F0">
        <w:rPr>
          <w:szCs w:val="16"/>
        </w:rPr>
        <w:t xml:space="preserve"> law by providing information, critical analysis, and policy ideas through our network of academics, </w:t>
      </w:r>
      <w:proofErr w:type="gramStart"/>
      <w:r w:rsidRPr="005F35F0">
        <w:rPr>
          <w:szCs w:val="16"/>
        </w:rPr>
        <w:t>researchers</w:t>
      </w:r>
      <w:proofErr w:type="gramEnd"/>
      <w:r w:rsidRPr="005F35F0">
        <w:rPr>
          <w:szCs w:val="16"/>
        </w:rPr>
        <w:t xml:space="preserve"> and lawyers. “UN Rights Expert: Right to strike is essential to democracy”. 3-10-2017</w:t>
      </w:r>
      <w:proofErr w:type="gramStart"/>
      <w:r w:rsidRPr="005F35F0">
        <w:rPr>
          <w:szCs w:val="16"/>
        </w:rPr>
        <w:t>. .</w:t>
      </w:r>
      <w:proofErr w:type="gramEnd"/>
      <w:r w:rsidRPr="005F35F0">
        <w:rPr>
          <w:szCs w:val="16"/>
        </w:rPr>
        <w:t xml:space="preserve"> https://www.ier.org.uk/news/un-rights-expert-right-strike-essential-democracy/.] </w:t>
      </w:r>
    </w:p>
    <w:p w14:paraId="53F78239" w14:textId="77777777" w:rsidR="009A5701" w:rsidRDefault="009A5701" w:rsidP="009A5701">
      <w:r w:rsidRPr="00B42278">
        <w:t xml:space="preserve">The United Nations’ Special Rapporteur on the rights to freedom of peaceful assembly and of association, </w:t>
      </w:r>
      <w:proofErr w:type="spellStart"/>
      <w:r w:rsidRPr="00B42278">
        <w:t>Maina</w:t>
      </w:r>
      <w:proofErr w:type="spellEnd"/>
      <w:r w:rsidRPr="00B42278">
        <w:t xml:space="preserve"> </w:t>
      </w:r>
      <w:proofErr w:type="spellStart"/>
      <w:r w:rsidRPr="00B42278">
        <w:t>Kiai</w:t>
      </w:r>
      <w:proofErr w:type="spellEnd"/>
      <w:r w:rsidRPr="00B42278">
        <w:t xml:space="preserve">, has reminded member states of the International </w:t>
      </w:r>
      <w:proofErr w:type="spellStart"/>
      <w:r w:rsidRPr="00B42278">
        <w:t>Labour</w:t>
      </w:r>
      <w:proofErr w:type="spellEnd"/>
      <w:r w:rsidRPr="00B42278">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t>Kiai</w:t>
      </w:r>
      <w:proofErr w:type="spellEnd"/>
      <w:r w:rsidRPr="00B42278">
        <w:t xml:space="preserve"> </w:t>
      </w:r>
      <w:proofErr w:type="spellStart"/>
      <w:r w:rsidRPr="00B42278">
        <w:t>criticised</w:t>
      </w:r>
      <w:proofErr w:type="spellEnd"/>
      <w:r w:rsidRPr="00B42278">
        <w:t xml:space="preserve"> such actions, saying </w:t>
      </w:r>
      <w:proofErr w:type="spellStart"/>
      <w:r w:rsidRPr="00B42278">
        <w:t>government’s</w:t>
      </w:r>
      <w:proofErr w:type="spellEnd"/>
      <w:r w:rsidRPr="00B42278">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t xml:space="preserve"> This right enables them to engage with companies and governments on a more equal footing, and Member States have a positive obligation to protect this right, and a negative obligation not to interfere with its exercise.”</w:t>
      </w:r>
    </w:p>
    <w:p w14:paraId="594B9E78" w14:textId="77777777" w:rsidR="009A5701" w:rsidRDefault="009A5701" w:rsidP="009A5701"/>
    <w:p w14:paraId="450B52A9" w14:textId="77777777" w:rsidR="009A5701" w:rsidRPr="00986680" w:rsidRDefault="009A5701" w:rsidP="009A5701">
      <w:pPr>
        <w:pStyle w:val="Heading4"/>
        <w:rPr>
          <w:lang w:eastAsia="zh-CN"/>
        </w:rPr>
      </w:pPr>
      <w:r>
        <w:t>Democratic backsliding causes extinction.</w:t>
      </w:r>
    </w:p>
    <w:p w14:paraId="5E6EFAE7" w14:textId="77777777" w:rsidR="009A5701" w:rsidRPr="0073714A" w:rsidRDefault="009A5701" w:rsidP="009A5701">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xml:space="preserve">/] </w:t>
      </w:r>
    </w:p>
    <w:p w14:paraId="629C6421" w14:textId="77777777" w:rsidR="009A5701" w:rsidRPr="0073714A" w:rsidRDefault="009A5701" w:rsidP="009A5701">
      <w:r w:rsidRPr="0073714A">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t xml:space="preserve">. The </w:t>
      </w:r>
      <w:r w:rsidRPr="00616BB9">
        <w:rPr>
          <w:u w:val="single"/>
        </w:rPr>
        <w:t>norms</w:t>
      </w:r>
      <w:r w:rsidRPr="0073714A">
        <w:t xml:space="preserve">, values, laws, and institutions that have undergirded the international system and governed relationships between nations </w:t>
      </w:r>
      <w:r w:rsidRPr="00616BB9">
        <w:rPr>
          <w:u w:val="single"/>
        </w:rPr>
        <w:t>are being gradually dismantled</w:t>
      </w:r>
      <w:r w:rsidRPr="0073714A">
        <w:t xml:space="preserve">. The most discussed sources of this pressure are </w:t>
      </w:r>
      <w:hyperlink r:id="rId13" w:history="1">
        <w:r w:rsidRPr="0073714A">
          <w:t>the ascent of China</w:t>
        </w:r>
      </w:hyperlink>
      <w:r w:rsidRPr="0073714A">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t xml:space="preserve">, however, </w:t>
      </w:r>
      <w:r w:rsidRPr="00616BB9">
        <w:rPr>
          <w:highlight w:val="green"/>
          <w:u w:val="single"/>
        </w:rPr>
        <w:t>is</w:t>
      </w:r>
      <w:r w:rsidRPr="00616BB9">
        <w:rPr>
          <w:u w:val="single"/>
        </w:rPr>
        <w:t xml:space="preserve"> the </w:t>
      </w:r>
      <w:hyperlink r:id="rId14" w:history="1">
        <w:r w:rsidRPr="00616BB9">
          <w:rPr>
            <w:u w:val="single"/>
          </w:rPr>
          <w:t xml:space="preserve">specter of widespread </w:t>
        </w:r>
        <w:r w:rsidRPr="00616BB9">
          <w:rPr>
            <w:highlight w:val="green"/>
            <w:u w:val="single"/>
          </w:rPr>
          <w:t>democratic decline</w:t>
        </w:r>
      </w:hyperlink>
      <w:r w:rsidRPr="0073714A">
        <w:t xml:space="preserve">. Rising </w:t>
      </w:r>
      <w:r w:rsidRPr="00616BB9">
        <w:rPr>
          <w:highlight w:val="green"/>
          <w:u w:val="single"/>
        </w:rPr>
        <w:t xml:space="preserve">challenges to </w:t>
      </w:r>
      <w:r w:rsidRPr="00791150">
        <w:rPr>
          <w:rStyle w:val="Emphasis"/>
          <w:highlight w:val="green"/>
        </w:rPr>
        <w:t>democratic governance</w:t>
      </w:r>
      <w:r w:rsidRPr="0073714A">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u w:val="single"/>
          </w:rPr>
          <w:t>far less attention</w:t>
        </w:r>
        <w:r w:rsidRPr="0073714A">
          <w:t xml:space="preserve"> </w:t>
        </w:r>
      </w:hyperlink>
      <w:r w:rsidRPr="0073714A">
        <w:t xml:space="preserve">in discussions of the shifting world order. </w:t>
      </w:r>
    </w:p>
    <w:p w14:paraId="24BA3BA1" w14:textId="77777777" w:rsidR="009A5701" w:rsidRPr="0073714A" w:rsidRDefault="009A5701" w:rsidP="009A5701">
      <w:r w:rsidRPr="0073714A">
        <w:lastRenderedPageBreak/>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t xml:space="preserve">, capitalist, </w:t>
      </w:r>
      <w:r w:rsidRPr="00616BB9">
        <w:rPr>
          <w:highlight w:val="green"/>
          <w:u w:val="single"/>
        </w:rPr>
        <w:t>and democratic</w:t>
      </w:r>
      <w:r w:rsidRPr="0073714A">
        <w:t xml:space="preserve">. The </w:t>
      </w:r>
      <w:r w:rsidRPr="00616BB9">
        <w:rPr>
          <w:u w:val="single"/>
        </w:rPr>
        <w:t>United States has promoted the spread of democracy to strengthen global norms</w:t>
      </w:r>
      <w:r w:rsidRPr="0073714A">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t xml:space="preserve"> across the globe. </w:t>
      </w:r>
      <w:hyperlink r:id="rId16" w:history="1">
        <w:r w:rsidRPr="0073714A">
          <w:t>A 2015 Freedom House report</w:t>
        </w:r>
      </w:hyperlink>
      <w:r w:rsidRPr="0073714A">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t xml:space="preserve">.” </w:t>
      </w:r>
    </w:p>
    <w:p w14:paraId="178E49B6" w14:textId="77777777" w:rsidR="009A5701" w:rsidRPr="0073714A" w:rsidRDefault="009A5701" w:rsidP="009A5701">
      <w:r w:rsidRPr="0073714A">
        <w:t xml:space="preserve">Although the number of democracies in the world is at an all-time high, there are a number of </w:t>
      </w:r>
      <w:hyperlink r:id="rId17" w:anchor="http://www.journalofdemocracy.org/article/democracy-decline" w:history="1">
        <w:r w:rsidRPr="0073714A">
          <w:t xml:space="preserve">key trends </w:t>
        </w:r>
      </w:hyperlink>
      <w:r w:rsidRPr="0073714A">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t xml:space="preserve"> in today’s global order. </w:t>
      </w:r>
    </w:p>
    <w:p w14:paraId="48AE83C3" w14:textId="77777777" w:rsidR="009A5701" w:rsidRPr="0073714A" w:rsidRDefault="009A5701" w:rsidP="009A5701">
      <w:r w:rsidRPr="0073714A">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t xml:space="preserve"> abroad. </w:t>
      </w:r>
      <w:hyperlink r:id="rId18" w:anchor="http://cmp.sagepub.com/content/18/1/49.abstract" w:history="1">
        <w:r w:rsidRPr="0073714A">
          <w:t xml:space="preserve">Research demonstrates </w:t>
        </w:r>
      </w:hyperlink>
      <w:r w:rsidRPr="0073714A">
        <w:t xml:space="preserve">that domestic politics are a key determinant of the international behavior of states. </w:t>
      </w:r>
      <w:proofErr w:type="gramStart"/>
      <w:r w:rsidRPr="0073714A">
        <w:t xml:space="preserve">In particular, </w:t>
      </w:r>
      <w:r w:rsidRPr="00791150">
        <w:rPr>
          <w:highlight w:val="green"/>
          <w:u w:val="single"/>
        </w:rPr>
        <w:t>democracies</w:t>
      </w:r>
      <w:proofErr w:type="gramEnd"/>
      <w:r w:rsidRPr="0073714A">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t xml:space="preserve">, then, </w:t>
      </w:r>
      <w:r w:rsidRPr="00616BB9">
        <w:rPr>
          <w:u w:val="single"/>
        </w:rPr>
        <w:t>would provide a broader platform</w:t>
      </w:r>
      <w:r w:rsidRPr="0073714A">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t xml:space="preserve">. </w:t>
      </w:r>
    </w:p>
    <w:p w14:paraId="6A01B5F7" w14:textId="77777777" w:rsidR="009A5701" w:rsidRPr="0073714A" w:rsidRDefault="009A5701" w:rsidP="009A5701">
      <w:r w:rsidRPr="0073714A">
        <w:t xml:space="preserve">Recent examples support the empirical data. </w:t>
      </w:r>
      <w:r w:rsidRPr="00616BB9">
        <w:rPr>
          <w:u w:val="single"/>
        </w:rPr>
        <w:t>Democratic backsliding in Hungary and</w:t>
      </w:r>
      <w:r w:rsidRPr="0073714A">
        <w:t xml:space="preserve"> the hardening of </w:t>
      </w:r>
      <w:r w:rsidRPr="00616BB9">
        <w:rPr>
          <w:u w:val="single"/>
        </w:rPr>
        <w:t>Egypt’s autocracy</w:t>
      </w:r>
      <w:r w:rsidRPr="0073714A">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t xml:space="preserve">, in part </w:t>
      </w:r>
      <w:r w:rsidRPr="00616BB9">
        <w:rPr>
          <w:u w:val="single"/>
        </w:rPr>
        <w:t>to mitigate Western pressure and bolster</w:t>
      </w:r>
      <w:r w:rsidRPr="0073714A">
        <w:t xml:space="preserve"> the </w:t>
      </w:r>
      <w:r w:rsidRPr="00616BB9">
        <w:rPr>
          <w:u w:val="single"/>
        </w:rPr>
        <w:t>regime’s domestic standing</w:t>
      </w:r>
      <w:r w:rsidRPr="0073714A">
        <w:t xml:space="preserve">. </w:t>
      </w:r>
    </w:p>
    <w:p w14:paraId="5EAEB4AC" w14:textId="77777777" w:rsidR="009A5701" w:rsidRPr="0073714A" w:rsidRDefault="009A5701" w:rsidP="009A5701">
      <w:r w:rsidRPr="0073714A">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t xml:space="preserve">. Put simply, </w:t>
      </w:r>
      <w:r w:rsidRPr="00616BB9">
        <w:rPr>
          <w:u w:val="single"/>
        </w:rPr>
        <w:t>the United States is a less effective and influential actor if it loses its ability to rely on its partnerships</w:t>
      </w:r>
      <w:r w:rsidRPr="0073714A">
        <w:t xml:space="preserve"> with other democratic nations. </w:t>
      </w:r>
    </w:p>
    <w:p w14:paraId="6F56128F" w14:textId="77777777" w:rsidR="009A5701" w:rsidRPr="0073714A" w:rsidRDefault="009A5701" w:rsidP="009A5701">
      <w:r w:rsidRPr="0073714A">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t xml:space="preserve">, including the </w:t>
      </w:r>
      <w:hyperlink r:id="rId19" w:history="1">
        <w:r w:rsidRPr="0073714A">
          <w:t xml:space="preserve">United Nations </w:t>
        </w:r>
      </w:hyperlink>
      <w:r w:rsidRPr="0073714A">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t xml:space="preserve">. In the case of Internet governance, for example, Western </w:t>
      </w:r>
      <w:r w:rsidRPr="00616BB9">
        <w:rPr>
          <w:u w:val="single"/>
        </w:rPr>
        <w:t>democracies support an open, largely private, global Internet. Autocracies</w:t>
      </w:r>
      <w:r w:rsidRPr="0073714A">
        <w:t xml:space="preserve">, in contrast, </w:t>
      </w:r>
      <w:r w:rsidRPr="00616BB9">
        <w:rPr>
          <w:u w:val="single"/>
        </w:rPr>
        <w:t>promote state control over the Internet</w:t>
      </w:r>
      <w:r w:rsidRPr="0073714A">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412DD40" w14:textId="77777777" w:rsidR="009A5701" w:rsidRDefault="009A5701" w:rsidP="009A5701">
      <w:pPr>
        <w:rPr>
          <w:u w:val="single"/>
        </w:rPr>
      </w:pPr>
      <w:r w:rsidRPr="0073714A">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t xml:space="preserve">. For example, </w:t>
      </w:r>
      <w:r w:rsidRPr="00616BB9">
        <w:rPr>
          <w:u w:val="single"/>
        </w:rPr>
        <w:t>the Chinese-created Asian Infrastructure</w:t>
      </w:r>
      <w:r w:rsidRPr="0073714A">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0" w:anchor=".V2H3MRbXgdI" w:history="1">
        <w:r w:rsidRPr="000F411A">
          <w:rPr>
            <w:highlight w:val="green"/>
            <w:u w:val="single"/>
          </w:rPr>
          <w:t>fragmented and less effective</w:t>
        </w:r>
      </w:hyperlink>
      <w:r w:rsidRPr="00616BB9">
        <w:rPr>
          <w:u w:val="single"/>
        </w:rPr>
        <w:t xml:space="preserve">. </w:t>
      </w:r>
    </w:p>
    <w:p w14:paraId="72BED044" w14:textId="77777777" w:rsidR="009A5701" w:rsidRPr="0073714A" w:rsidRDefault="009A5701" w:rsidP="009A5701">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t xml:space="preserve"> if more democracies </w:t>
      </w:r>
      <w:proofErr w:type="gramStart"/>
      <w:r w:rsidRPr="0073714A">
        <w:t>give</w:t>
      </w:r>
      <w:proofErr w:type="gramEnd"/>
      <w:r w:rsidRPr="0073714A">
        <w:t xml:space="preserve"> way to autocracy. </w:t>
      </w:r>
      <w:hyperlink r:id="rId21" w:history="1">
        <w:r w:rsidRPr="0073714A">
          <w:t>International relations literature</w:t>
        </w:r>
      </w:hyperlink>
      <w:r w:rsidRPr="0073714A">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t xml:space="preserve">. Moreover, </w:t>
      </w:r>
      <w:r w:rsidRPr="00616BB9">
        <w:rPr>
          <w:u w:val="single"/>
        </w:rPr>
        <w:t>within countries that are already autocratic, additional movement</w:t>
      </w:r>
      <w:r w:rsidRPr="0073714A">
        <w:t xml:space="preserve"> away from democracy, or an “authoritarian hardening,” would </w:t>
      </w:r>
      <w:r w:rsidRPr="00616BB9">
        <w:rPr>
          <w:u w:val="single"/>
        </w:rPr>
        <w:t>increase global instability</w:t>
      </w:r>
      <w:r w:rsidRPr="0073714A">
        <w:t xml:space="preserve">. Highly repressive autocracies are the most likely to </w:t>
      </w:r>
      <w:r w:rsidRPr="00616BB9">
        <w:rPr>
          <w:u w:val="single"/>
        </w:rPr>
        <w:t>experience state failure, as was the case in the Central African Republic</w:t>
      </w:r>
      <w:r w:rsidRPr="0073714A">
        <w:t xml:space="preserve">, Libya, Somalia, Syria, and Yemen. In this way, </w:t>
      </w:r>
      <w:r w:rsidRPr="00616BB9">
        <w:rPr>
          <w:u w:val="single"/>
        </w:rPr>
        <w:t>democratic decline would significantly strain the international order</w:t>
      </w:r>
      <w:r w:rsidRPr="0073714A">
        <w:t xml:space="preserve"> because rising levels of instability would exceed the West’s ability to respond to the tremendous costs of peacekeeping, humanitarian assistance, and refugee flows. </w:t>
      </w:r>
    </w:p>
    <w:p w14:paraId="1D48AFC0" w14:textId="77777777" w:rsidR="009A5701" w:rsidRPr="0073714A" w:rsidRDefault="009A5701" w:rsidP="009A5701">
      <w:r w:rsidRPr="0073714A">
        <w:lastRenderedPageBreak/>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88B13B9" w14:textId="77777777" w:rsidR="009A5701" w:rsidRPr="0073714A" w:rsidRDefault="009A5701" w:rsidP="009A5701">
      <w:r w:rsidRPr="0073714A">
        <w:t xml:space="preserve">Since 9/11, and particularly in the wake of the Arab Spring, Western enthusiasm for democracy support has waned. Rising levels of </w:t>
      </w:r>
      <w:r w:rsidRPr="00616BB9">
        <w:rPr>
          <w:u w:val="single"/>
        </w:rPr>
        <w:t>instability</w:t>
      </w:r>
      <w:r w:rsidRPr="0073714A">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t xml:space="preserve">. U.S. preoccupation with intelligence sharing, basing and overflight rights, along with the perception that autocracy equates with stability, are trumping democracy and human rights considerations. </w:t>
      </w:r>
    </w:p>
    <w:p w14:paraId="5A8051CF" w14:textId="77777777" w:rsidR="009A5701" w:rsidRPr="0073714A" w:rsidRDefault="009A5701" w:rsidP="009A5701">
      <w:r w:rsidRPr="0073714A">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t xml:space="preserve">. A serious problem arises, however, when this process is replicated across countries. The bilateral focus rarely incorporates the risks to the U.S.-led global order that arise from widespread democratic decline across multiple countries. </w:t>
      </w:r>
    </w:p>
    <w:p w14:paraId="07CF557C" w14:textId="4B60769E" w:rsidR="009A5701" w:rsidRDefault="009A5701" w:rsidP="009A5701">
      <w:pPr>
        <w:rPr>
          <w:u w:val="single"/>
        </w:rPr>
      </w:pPr>
      <w:r w:rsidRPr="0073714A">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t xml:space="preserve">, however, </w:t>
      </w:r>
      <w:r w:rsidRPr="00BD5C03">
        <w:rPr>
          <w:u w:val="single"/>
        </w:rPr>
        <w:t xml:space="preserve">is an area where </w:t>
      </w:r>
      <w:r w:rsidRPr="00BD5C03">
        <w:rPr>
          <w:rStyle w:val="Emphasis"/>
        </w:rPr>
        <w:t>Western actions can affect outcomes</w:t>
      </w:r>
      <w:r w:rsidRPr="0073714A">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5E6084F" w14:textId="77777777" w:rsidR="00313845" w:rsidRPr="00C7794F" w:rsidRDefault="00313845" w:rsidP="00313845">
      <w:pPr>
        <w:pStyle w:val="Heading4"/>
      </w:pPr>
      <w:r w:rsidRPr="00C7794F">
        <w:t>Evolution proves our theory true</w:t>
      </w:r>
    </w:p>
    <w:p w14:paraId="74D9B0F6" w14:textId="77777777" w:rsidR="00313845" w:rsidRPr="00C7794F" w:rsidRDefault="00313845" w:rsidP="00313845">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E66CDA5" w14:textId="77777777" w:rsidR="00313845" w:rsidRDefault="00313845" w:rsidP="00313845">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 xml:space="preserve">international relations theorists rarely used insights from the life sciences to inform their understanding </w:t>
      </w:r>
      <w:r w:rsidRPr="00C7794F">
        <w:rPr>
          <w:b/>
          <w:u w:val="single"/>
        </w:rPr>
        <w:lastRenderedPageBreak/>
        <w:t>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t xml:space="preserve"> in particular, who</w:t>
      </w:r>
      <w:proofErr w:type="gramEnd"/>
      <w:r w:rsidRPr="00C7794F">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t xml:space="preserve">, </w:t>
      </w:r>
      <w:r w:rsidRPr="00CE1473">
        <w:t xml:space="preserve">but this approach is now less exotic than it once seemed </w:t>
      </w:r>
      <w:proofErr w:type="gramStart"/>
      <w:r w:rsidRPr="00CE1473">
        <w:t>as</w:t>
      </w:r>
      <w:proofErr w:type="gramEnd"/>
      <w:r w:rsidRPr="00CE1473">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t xml:space="preserve"> similar </w:t>
      </w:r>
      <w:r w:rsidRPr="00CE1473">
        <w:rPr>
          <w:b/>
          <w:iCs/>
          <w:u w:val="single"/>
          <w:bdr w:val="single" w:sz="8" w:space="0" w:color="auto"/>
        </w:rPr>
        <w:t>interdisciplinary insights</w:t>
      </w:r>
      <w:r w:rsidRPr="00CE1473">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t>. But what was that context?</w:t>
      </w:r>
    </w:p>
    <w:p w14:paraId="4EB376EC" w14:textId="77777777" w:rsidR="00313845" w:rsidRPr="00616BB9" w:rsidRDefault="00313845" w:rsidP="009A5701">
      <w:pPr>
        <w:rPr>
          <w:u w:val="single"/>
        </w:rPr>
      </w:pPr>
    </w:p>
    <w:p w14:paraId="380F1D03" w14:textId="77777777" w:rsidR="009A5701" w:rsidRDefault="009A5701" w:rsidP="009A5701">
      <w:pPr>
        <w:pStyle w:val="Heading3"/>
      </w:pPr>
      <w:r>
        <w:lastRenderedPageBreak/>
        <w:t>Solvency</w:t>
      </w:r>
    </w:p>
    <w:p w14:paraId="36D8C0F3" w14:textId="77777777" w:rsidR="009A5701" w:rsidRDefault="009A5701" w:rsidP="009A5701">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346F0158" w14:textId="77777777" w:rsidR="009A5701" w:rsidRDefault="009A5701" w:rsidP="009A5701"/>
    <w:p w14:paraId="2193695C" w14:textId="77777777" w:rsidR="009A5701" w:rsidRDefault="009A5701" w:rsidP="009A5701">
      <w:pPr>
        <w:pStyle w:val="Heading4"/>
      </w:pPr>
      <w:r>
        <w:t xml:space="preserve">Definition of </w:t>
      </w:r>
      <w:r w:rsidRPr="0026026A">
        <w:rPr>
          <w:u w:val="single"/>
        </w:rPr>
        <w:t>unconditional right to strike</w:t>
      </w:r>
      <w:r>
        <w:t>:</w:t>
      </w:r>
    </w:p>
    <w:p w14:paraId="2F3DA07A" w14:textId="77777777" w:rsidR="009A5701" w:rsidRDefault="009A5701" w:rsidP="009A5701">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2" w:history="1">
        <w:r w:rsidRPr="00540FF3">
          <w:rPr>
            <w:rStyle w:val="Hyperlink"/>
          </w:rPr>
          <w:t>https://play.google.com/store/books/details?id=7o1tA__v4xwC&amp;rdid=book-7o1tA__v4xwC&amp;rdot=1</w:t>
        </w:r>
      </w:hyperlink>
      <w:r>
        <w:t xml:space="preserve">] </w:t>
      </w:r>
    </w:p>
    <w:p w14:paraId="6A4228AE" w14:textId="77777777" w:rsidR="009A5701" w:rsidRPr="0026026A" w:rsidRDefault="009A5701" w:rsidP="009A5701">
      <w:r>
        <w:t>**Edited for gendered language</w:t>
      </w:r>
    </w:p>
    <w:p w14:paraId="071F9C8A" w14:textId="77777777" w:rsidR="009A5701" w:rsidRDefault="009A5701" w:rsidP="009A5701">
      <w:pPr>
        <w:rPr>
          <w:u w:val="single"/>
        </w:rPr>
      </w:pPr>
      <w:r w:rsidRPr="0026026A">
        <w:t xml:space="preserve">As for the so-called absolute or </w:t>
      </w:r>
      <w:r w:rsidRPr="00FC1BCC">
        <w:rPr>
          <w:rStyle w:val="Emphasis"/>
          <w:highlight w:val="green"/>
        </w:rPr>
        <w:t>unconditional</w:t>
      </w:r>
      <w:r w:rsidRPr="0026026A">
        <w:rPr>
          <w:highlight w:val="green"/>
          <w:u w:val="single"/>
        </w:rPr>
        <w:t xml:space="preserve"> right to strike</w:t>
      </w:r>
      <w:r w:rsidRPr="0026026A">
        <w:t xml:space="preserve">—there are no absolute rights that do not </w:t>
      </w:r>
      <w:r w:rsidRPr="00FC1BCC">
        <w:rPr>
          <w:highlight w:val="green"/>
          <w:u w:val="single"/>
        </w:rPr>
        <w:t>have</w:t>
      </w:r>
      <w:r w:rsidRPr="0026026A">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t xml:space="preserve"> to the maximum of freedom, </w:t>
      </w:r>
      <w:r w:rsidRPr="00FC1BCC">
        <w:rPr>
          <w:highlight w:val="green"/>
          <w:u w:val="single"/>
        </w:rPr>
        <w:t>provided</w:t>
      </w:r>
      <w:r w:rsidRPr="0026026A">
        <w:rPr>
          <w:u w:val="single"/>
        </w:rPr>
        <w:t xml:space="preserve"> however</w:t>
      </w:r>
      <w:r w:rsidRPr="0026026A">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t xml:space="preserve"> concerted action (which after all is what the </w:t>
      </w:r>
      <w:r w:rsidRPr="00FC1BCC">
        <w:rPr>
          <w:rStyle w:val="Emphasis"/>
          <w:highlight w:val="green"/>
        </w:rPr>
        <w:t>strike</w:t>
      </w:r>
      <w:r w:rsidRPr="0026026A">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2C5213D" w14:textId="77777777" w:rsidR="009A5701" w:rsidRDefault="009A5701" w:rsidP="009A5701">
      <w:pPr>
        <w:rPr>
          <w:u w:val="single"/>
        </w:rPr>
      </w:pPr>
    </w:p>
    <w:p w14:paraId="3F990976" w14:textId="77777777" w:rsidR="009A5701" w:rsidRDefault="009A5701" w:rsidP="009A5701">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6D0CC7B6" w14:textId="77777777" w:rsidR="009A5701" w:rsidRPr="00C636F5" w:rsidRDefault="009A5701" w:rsidP="009A5701">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3" w:history="1">
        <w:r w:rsidRPr="00540FF3">
          <w:rPr>
            <w:rStyle w:val="Hyperlink"/>
          </w:rPr>
          <w:t>https://digitalcommons.wcl.american.edu/cgi/viewcontent.cgi?referer=https://www.google.com/&amp;httpsredir=1&amp;article=1047&amp;context=lelb</w:t>
        </w:r>
      </w:hyperlink>
      <w:r>
        <w:t xml:space="preserve">] </w:t>
      </w:r>
    </w:p>
    <w:p w14:paraId="1E5674C6" w14:textId="77777777" w:rsidR="009A5701" w:rsidRPr="00C636F5" w:rsidRDefault="009A5701" w:rsidP="009A5701">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t>.84</w:t>
      </w:r>
    </w:p>
    <w:p w14:paraId="75CA99E2" w14:textId="77777777" w:rsidR="009A5701" w:rsidRPr="0057035A" w:rsidRDefault="009A5701" w:rsidP="009A5701">
      <w:pPr>
        <w:rPr>
          <w:u w:val="single"/>
        </w:rPr>
      </w:pPr>
      <w:r w:rsidRPr="00C636F5">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787E57A7" w14:textId="77777777" w:rsidR="009A5701" w:rsidRPr="00C636F5" w:rsidRDefault="009A5701" w:rsidP="009A5701">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21F598E2" w14:textId="77777777" w:rsidR="009A5701" w:rsidRPr="00C636F5" w:rsidRDefault="009A5701" w:rsidP="009A5701">
      <w:r w:rsidRPr="00C636F5">
        <w:t>2. Context of Framework Agreements: Corporate Social Responsibility</w:t>
      </w:r>
    </w:p>
    <w:p w14:paraId="65F6C947" w14:textId="77777777" w:rsidR="009A5701" w:rsidRPr="00C636F5" w:rsidRDefault="009A5701" w:rsidP="009A5701">
      <w:r w:rsidRPr="00C636F5">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t xml:space="preserve">.93 </w:t>
      </w:r>
      <w:r w:rsidRPr="0057035A">
        <w:rPr>
          <w:u w:val="single"/>
        </w:rPr>
        <w:t xml:space="preserve">These </w:t>
      </w:r>
      <w:r w:rsidRPr="007836ED">
        <w:rPr>
          <w:highlight w:val="green"/>
          <w:u w:val="single"/>
        </w:rPr>
        <w:t>codes</w:t>
      </w:r>
      <w:r w:rsidRPr="00C636F5">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lastRenderedPageBreak/>
        <w:t>enforcement</w:t>
      </w:r>
      <w:r w:rsidRPr="007836ED">
        <w:rPr>
          <w:highlight w:val="green"/>
          <w:u w:val="single"/>
        </w:rPr>
        <w:t xml:space="preserve"> </w:t>
      </w:r>
      <w:r w:rsidRPr="000F411A">
        <w:rPr>
          <w:rStyle w:val="Emphasis"/>
        </w:rPr>
        <w:t>mechanism</w:t>
      </w:r>
      <w:r w:rsidRPr="00C636F5">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t xml:space="preserve"> or having any real social impact.95</w:t>
      </w:r>
    </w:p>
    <w:p w14:paraId="479484F4" w14:textId="77777777" w:rsidR="009A5701" w:rsidRPr="00B41300" w:rsidRDefault="009A5701" w:rsidP="009A5701">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t>—</w:t>
      </w:r>
      <w:r w:rsidRPr="00B41300">
        <w:rPr>
          <w:rStyle w:val="Emphasis"/>
        </w:rPr>
        <w:t>employers</w:t>
      </w:r>
      <w:r w:rsidRPr="0057035A">
        <w:rPr>
          <w:u w:val="single"/>
        </w:rPr>
        <w:t xml:space="preserve"> and </w:t>
      </w:r>
      <w:r w:rsidRPr="00B41300">
        <w:rPr>
          <w:rStyle w:val="Emphasis"/>
        </w:rPr>
        <w:t>workers</w:t>
      </w:r>
      <w:r w:rsidRPr="00C636F5">
        <w:t>—</w:t>
      </w:r>
      <w:r w:rsidRPr="0057035A">
        <w:rPr>
          <w:u w:val="single"/>
        </w:rPr>
        <w:t xml:space="preserve">in the employment </w:t>
      </w:r>
      <w:r w:rsidRPr="00B41300">
        <w:rPr>
          <w:rStyle w:val="Emphasis"/>
        </w:rPr>
        <w:t>relationship</w:t>
      </w:r>
      <w:r w:rsidRPr="00C636F5">
        <w:t>.97 Involvement of the very party the agreement is meant to protect attaches greater meaning and significance to the instrument.98</w:t>
      </w:r>
    </w:p>
    <w:p w14:paraId="27BD6E84" w14:textId="77777777" w:rsidR="009A5701" w:rsidRPr="0057035A" w:rsidRDefault="009A5701" w:rsidP="009A5701">
      <w:pPr>
        <w:rPr>
          <w:u w:val="single"/>
        </w:rPr>
      </w:pPr>
      <w:r w:rsidRPr="00C636F5">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29458AAE" w14:textId="77777777" w:rsidR="009A5701" w:rsidRPr="00C636F5" w:rsidRDefault="009A5701" w:rsidP="009A5701">
      <w:r w:rsidRPr="00C636F5">
        <w:t>3. Core ILO Principles as the Substantive Content of IFAs</w:t>
      </w:r>
    </w:p>
    <w:p w14:paraId="6BE60F0C" w14:textId="77777777" w:rsidR="009A5701" w:rsidRPr="00C636F5" w:rsidRDefault="009A5701" w:rsidP="009A5701">
      <w:r w:rsidRPr="00C636F5">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t>, as articulated in the 1998 ILO Declaration.100 The Declaration itself is typically not mentioned, but rather the four rights are referred to in IFAs by their convention numbers.101 Thus, apart from a very few exceptions</w:t>
      </w:r>
      <w:r w:rsidRPr="00C636F5">
        <w:t>, IFAs refer explicitly to ILO Conventions 87 and 98 on freedom of association and the right to organize and collective bargaining, respectively.102</w:t>
      </w:r>
    </w:p>
    <w:p w14:paraId="73DC3764" w14:textId="77777777" w:rsidR="009A5701" w:rsidRPr="00C636F5" w:rsidRDefault="009A5701" w:rsidP="009A5701">
      <w:r w:rsidRPr="00C636F5">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t>.104</w:t>
      </w:r>
    </w:p>
    <w:p w14:paraId="6245F73B" w14:textId="77777777" w:rsidR="009A5701" w:rsidRPr="00C636F5" w:rsidRDefault="009A5701" w:rsidP="009A5701">
      <w:r w:rsidRPr="00C636F5">
        <w:t>4. Scope of IFAs, MNCs and Supply Chains</w:t>
      </w:r>
    </w:p>
    <w:p w14:paraId="312A6EAC" w14:textId="77777777" w:rsidR="009A5701" w:rsidRPr="00C636F5" w:rsidRDefault="009A5701" w:rsidP="009A5701">
      <w:r w:rsidRPr="00C636F5">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43E486F7" w14:textId="77777777" w:rsidR="009A5701" w:rsidRPr="00C636F5" w:rsidRDefault="009A5701" w:rsidP="009A5701">
      <w:r w:rsidRPr="00C636F5">
        <w:t>III. ANALYSIS</w:t>
      </w:r>
    </w:p>
    <w:p w14:paraId="311A7A56" w14:textId="77777777" w:rsidR="009A5701" w:rsidRPr="0057035A" w:rsidRDefault="009A5701" w:rsidP="009A5701">
      <w:pPr>
        <w:rPr>
          <w:u w:val="single"/>
        </w:rPr>
      </w:pPr>
      <w:r w:rsidRPr="00C636F5">
        <w:t xml:space="preserve">The principal weapon workers </w:t>
      </w:r>
      <w:proofErr w:type="gramStart"/>
      <w:r w:rsidRPr="00C636F5">
        <w:t>have to</w:t>
      </w:r>
      <w:proofErr w:type="gramEnd"/>
      <w:r w:rsidRPr="00C636F5">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t xml:space="preserve">, </w:t>
      </w:r>
      <w:r w:rsidRPr="000F411A">
        <w:rPr>
          <w:u w:val="single"/>
        </w:rPr>
        <w:t>and bargain collectively</w:t>
      </w:r>
      <w:r w:rsidRPr="000F411A">
        <w:t>, as enunciated in Conventions 87 and 98,</w:t>
      </w:r>
      <w:r w:rsidRPr="00C636F5">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5FD40F74" w14:textId="77777777" w:rsidR="009A5701" w:rsidRPr="00C636F5" w:rsidRDefault="009A5701" w:rsidP="009A5701">
      <w:r w:rsidRPr="00C636F5">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6561C9A7" w14:textId="77777777" w:rsidR="009A5701" w:rsidRPr="00C636F5" w:rsidRDefault="009A5701" w:rsidP="009A5701">
      <w:r w:rsidRPr="00C636F5">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7381F6D0" w14:textId="77777777" w:rsidR="009A5701" w:rsidRPr="00C636F5" w:rsidRDefault="009A5701" w:rsidP="009A5701">
      <w:r w:rsidRPr="0057035A">
        <w:rPr>
          <w:u w:val="single"/>
        </w:rPr>
        <w:t>Collective bargaining is the mechanism through which workers present their demands to an employer and</w:t>
      </w:r>
      <w:r w:rsidRPr="00C636F5">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t xml:space="preserve">.111 The right to </w:t>
      </w:r>
      <w:r w:rsidRPr="0057035A">
        <w:rPr>
          <w:u w:val="single"/>
        </w:rPr>
        <w:t xml:space="preserve">strike arises most often in the </w:t>
      </w:r>
      <w:r w:rsidRPr="00B41300">
        <w:rPr>
          <w:rStyle w:val="Emphasis"/>
        </w:rPr>
        <w:lastRenderedPageBreak/>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t xml:space="preserve"> throughout the world, almost to the point of universal recognition.115 The ILO Committee on Freedom of Association holds the position that the right to strike is a basic consequence of the right to organize.116</w:t>
      </w:r>
    </w:p>
    <w:p w14:paraId="5BE68006" w14:textId="77777777" w:rsidR="009A5701" w:rsidRPr="00C636F5" w:rsidRDefault="009A5701" w:rsidP="009A5701">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t>121 This subsection addresses the lawful practice of hiring of permanent replacements for striking workers in the United States as it relates to ILO principles.</w:t>
      </w:r>
    </w:p>
    <w:p w14:paraId="34CA46C3" w14:textId="77777777" w:rsidR="009A5701" w:rsidRPr="00C636F5" w:rsidRDefault="009A5701" w:rsidP="009A5701">
      <w:r w:rsidRPr="00C636F5">
        <w:t>1. The Use of Permanent Strike Replacements Reduces the ‘Right’ to Strike to the Unprotected ‘Freedom’ to Strike</w:t>
      </w:r>
    </w:p>
    <w:p w14:paraId="4F0985D9" w14:textId="77777777" w:rsidR="009A5701" w:rsidRPr="00C636F5" w:rsidRDefault="009A5701" w:rsidP="009A5701">
      <w:r w:rsidRPr="00C636F5">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t>123 in reality, enforcement</w:t>
      </w:r>
      <w:proofErr w:type="gramEnd"/>
      <w:r w:rsidRPr="00C636F5">
        <w:t xml:space="preserve"> of the NLRA falls short of its goals and departs from international norms, which afford the right to strike fundamental status.124</w:t>
      </w:r>
    </w:p>
    <w:p w14:paraId="3B60BBF6" w14:textId="77777777" w:rsidR="009A5701" w:rsidRPr="00C636F5" w:rsidRDefault="009A5701" w:rsidP="009A5701">
      <w:r w:rsidRPr="00C636F5">
        <w:t xml:space="preserve">The Mackay </w:t>
      </w:r>
      <w:r w:rsidRPr="000F411A">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t xml:space="preserve">, </w:t>
      </w:r>
      <w:r w:rsidRPr="000F411A">
        <w:rPr>
          <w:u w:val="single"/>
        </w:rPr>
        <w:t xml:space="preserve">or </w:t>
      </w:r>
      <w:r w:rsidRPr="000F411A">
        <w:rPr>
          <w:rStyle w:val="Emphasis"/>
        </w:rPr>
        <w:t>freedom</w:t>
      </w:r>
      <w:r w:rsidRPr="000F411A">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t xml:space="preserve">.125 Wesley </w:t>
      </w:r>
      <w:proofErr w:type="spellStart"/>
      <w:r w:rsidRPr="00C636F5">
        <w:t>Hohfeld’s</w:t>
      </w:r>
      <w:proofErr w:type="spellEnd"/>
      <w:r w:rsidRPr="00C636F5">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t xml:space="preserve"> with it.127 In the example of the right to strike, </w:t>
      </w:r>
      <w:r w:rsidRPr="00C636F5">
        <w:rPr>
          <w:u w:val="single"/>
        </w:rPr>
        <w:t>the correlative is the employer’s duty to not interfere with the employees’ right</w:t>
      </w:r>
      <w:r w:rsidRPr="00C636F5">
        <w:t xml:space="preserve">.128 On the other hand, </w:t>
      </w:r>
      <w:r w:rsidRPr="00C636F5">
        <w:rPr>
          <w:u w:val="single"/>
        </w:rPr>
        <w:t>a ‘freedom’ is the liberty to act, but without the imposition of a duty upon others</w:t>
      </w:r>
      <w:r w:rsidRPr="00C636F5">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091795F3" w14:textId="77777777" w:rsidR="009A5701" w:rsidRPr="00C636F5" w:rsidRDefault="009A5701" w:rsidP="009A5701">
      <w:r w:rsidRPr="00C636F5">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68E04CFD" w14:textId="77777777" w:rsidR="009A5701" w:rsidRPr="00C636F5" w:rsidRDefault="009A5701" w:rsidP="009A5701">
      <w:r w:rsidRPr="00C636F5">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t>.136</w:t>
      </w:r>
    </w:p>
    <w:p w14:paraId="7FF66B36" w14:textId="77777777" w:rsidR="009A5701" w:rsidRDefault="009A5701" w:rsidP="009A5701">
      <w:pPr>
        <w:rPr>
          <w:u w:val="single"/>
        </w:rPr>
      </w:pPr>
      <w:r w:rsidRPr="00C636F5">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lastRenderedPageBreak/>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B98006D" w14:textId="7C180AB2" w:rsidR="00E42E4C" w:rsidRDefault="009A5701" w:rsidP="009A5701">
      <w:pPr>
        <w:pStyle w:val="Heading3"/>
      </w:pPr>
      <w:r>
        <w:lastRenderedPageBreak/>
        <w:t>FW</w:t>
      </w:r>
    </w:p>
    <w:p w14:paraId="010544F4" w14:textId="77777777" w:rsidR="009A5701" w:rsidRPr="00C77255" w:rsidRDefault="009A5701" w:rsidP="009A5701">
      <w:pPr>
        <w:pStyle w:val="Heading4"/>
        <w:rPr>
          <w:rFonts w:cs="Calibri"/>
        </w:rPr>
      </w:pPr>
      <w:r w:rsidRPr="00C77255">
        <w:rPr>
          <w:rFonts w:cs="Calibri"/>
        </w:rPr>
        <w:t xml:space="preserve">The standard is </w:t>
      </w:r>
      <w:r w:rsidRPr="00C77255">
        <w:rPr>
          <w:rFonts w:cs="Calibri"/>
          <w:iCs/>
          <w:u w:val="single"/>
        </w:rPr>
        <w:t>maximizing expected well-being</w:t>
      </w:r>
      <w:r w:rsidRPr="00C77255">
        <w:rPr>
          <w:rFonts w:cs="Calibri"/>
        </w:rPr>
        <w:t>.</w:t>
      </w:r>
      <w:r>
        <w:rPr>
          <w:rFonts w:cs="Calibri"/>
        </w:rPr>
        <w:t xml:space="preserve"> Our framework is only concerned with minimizing death.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proofErr w:type="gramStart"/>
      <w:r>
        <w:rPr>
          <w:rFonts w:cs="Calibri"/>
        </w:rPr>
        <w:t>is</w:t>
      </w:r>
      <w:r w:rsidRPr="00E600C8">
        <w:rPr>
          <w:rFonts w:cs="Calibri"/>
        </w:rPr>
        <w:t xml:space="preserve"> would cause</w:t>
      </w:r>
      <w:proofErr w:type="gramEnd"/>
      <w:r w:rsidRPr="00E600C8">
        <w:rPr>
          <w:rFonts w:cs="Calibri"/>
        </w:rPr>
        <w:t xml:space="preserve"> suffering.</w:t>
      </w:r>
    </w:p>
    <w:p w14:paraId="4232F2F2" w14:textId="77777777" w:rsidR="009A5701" w:rsidRDefault="009A5701" w:rsidP="009A5701">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379F117F" w14:textId="77777777" w:rsidR="009A5701" w:rsidRPr="00A57D71" w:rsidRDefault="009A5701" w:rsidP="009A5701">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6C6F036F" w14:textId="77777777" w:rsidR="009A5701" w:rsidRPr="00E70E93" w:rsidRDefault="009A5701" w:rsidP="009A5701">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56BE28E" w14:textId="2F328BB3" w:rsidR="00313845" w:rsidRPr="00313845" w:rsidRDefault="00313845" w:rsidP="00313845">
      <w:pPr>
        <w:pStyle w:val="Heading3"/>
      </w:pPr>
      <w:proofErr w:type="spellStart"/>
      <w:r>
        <w:lastRenderedPageBreak/>
        <w:t>Underview</w:t>
      </w:r>
      <w:proofErr w:type="spellEnd"/>
    </w:p>
    <w:p w14:paraId="415F5323" w14:textId="53460E95" w:rsidR="009A5701" w:rsidRDefault="00313845" w:rsidP="00313845">
      <w:pPr>
        <w:pStyle w:val="Heading4"/>
      </w:pPr>
      <w:r w:rsidRPr="002A50DC">
        <w:t>[</w:t>
      </w:r>
      <w:r>
        <w:t>1</w:t>
      </w:r>
      <w:r w:rsidRPr="002A50DC">
        <w:t xml:space="preserve">] </w:t>
      </w:r>
      <w:proofErr w:type="spellStart"/>
      <w:r w:rsidRPr="002A50DC">
        <w:t>Aff</w:t>
      </w:r>
      <w:proofErr w:type="spellEnd"/>
      <w:r w:rsidRPr="002A50DC">
        <w:t xml:space="preserve"> gets 1AR theory and RVIs – otherwise the neg can be infinitely abusive and there’s no way to check against this – meta theory also precedes the evaluation of initial theory shells because it determines </w:t>
      </w:r>
      <w:proofErr w:type="gramStart"/>
      <w:r w:rsidRPr="002A50DC">
        <w:t>whether or not</w:t>
      </w:r>
      <w:proofErr w:type="gramEnd"/>
      <w:r w:rsidRPr="002A50DC">
        <w:t xml:space="preserve"> I could engage in theory in the first place. 1AR theory is drop the debater, competing </w:t>
      </w:r>
      <w:proofErr w:type="spellStart"/>
      <w:r w:rsidRPr="002A50DC">
        <w:t>interps</w:t>
      </w:r>
      <w:proofErr w:type="spellEnd"/>
      <w:r w:rsidRPr="002A50DC">
        <w:t xml:space="preserve">, and the highest layer of the round – the 1ARs too short to be able to rectify abuse and adequately cover substance – you must be punished and no 2NR paradigm issues, theory, or RVIs because you have 6 minutes to go for them whereas I only have a </w:t>
      </w:r>
      <w:proofErr w:type="gramStart"/>
      <w:r w:rsidRPr="002A50DC">
        <w:t>3 minute</w:t>
      </w:r>
      <w:proofErr w:type="gramEnd"/>
      <w:r w:rsidRPr="002A50DC">
        <w:t xml:space="preserve"> 2AR to respond so I get crushed on time skew.</w:t>
      </w:r>
    </w:p>
    <w:p w14:paraId="666B38A5" w14:textId="63E3CE29" w:rsidR="00313845" w:rsidRPr="002A50DC" w:rsidRDefault="00313845" w:rsidP="00313845">
      <w:pPr>
        <w:pStyle w:val="Heading4"/>
        <w:spacing w:line="240" w:lineRule="auto"/>
        <w:rPr>
          <w:rFonts w:cs="Calibri"/>
          <w:color w:val="000000" w:themeColor="text1"/>
        </w:rPr>
      </w:pPr>
      <w:r>
        <w:t xml:space="preserve">[2] </w:t>
      </w:r>
      <w:r w:rsidRPr="002A50DC">
        <w:rPr>
          <w:rFonts w:cs="Calibri"/>
          <w:color w:val="000000" w:themeColor="text1"/>
        </w:rPr>
        <w:t>Methodological pluralism is necessary to any sustainable critique, which justifies permutations to any K – we impact turn your notion of “severance” or “exclusivity”.</w:t>
      </w:r>
    </w:p>
    <w:p w14:paraId="3A68F898" w14:textId="77777777" w:rsidR="00313845" w:rsidRPr="002A50DC" w:rsidRDefault="00313845" w:rsidP="00313845">
      <w:pPr>
        <w:spacing w:line="240" w:lineRule="auto"/>
        <w:rPr>
          <w:color w:val="000000" w:themeColor="text1"/>
        </w:rPr>
      </w:pPr>
      <w:proofErr w:type="spellStart"/>
      <w:r w:rsidRPr="002A50DC">
        <w:rPr>
          <w:b/>
          <w:color w:val="000000" w:themeColor="text1"/>
          <w:sz w:val="26"/>
          <w:szCs w:val="26"/>
        </w:rPr>
        <w:t>Bleiker</w:t>
      </w:r>
      <w:proofErr w:type="spellEnd"/>
      <w:r w:rsidRPr="002A50DC">
        <w:rPr>
          <w:b/>
          <w:color w:val="000000" w:themeColor="text1"/>
          <w:sz w:val="26"/>
          <w:szCs w:val="26"/>
        </w:rPr>
        <w:t xml:space="preserve"> 14</w:t>
      </w:r>
      <w:r w:rsidRPr="002A50DC">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815B336" w14:textId="0D8E6D0F" w:rsidR="00313845" w:rsidRDefault="00313845" w:rsidP="00313845">
      <w:pPr>
        <w:spacing w:line="240" w:lineRule="auto"/>
        <w:rPr>
          <w:color w:val="000000" w:themeColor="text1"/>
          <w:sz w:val="14"/>
        </w:rPr>
      </w:pPr>
      <w:r w:rsidRPr="002A5F51">
        <w:rPr>
          <w:rStyle w:val="Emphasis"/>
          <w:color w:val="000000" w:themeColor="text1"/>
          <w:highlight w:val="green"/>
        </w:rPr>
        <w:t xml:space="preserve">Methodological pluralism lies at the heart of </w:t>
      </w:r>
      <w:r w:rsidRPr="002A50DC">
        <w:rPr>
          <w:rStyle w:val="Emphasis"/>
          <w:color w:val="000000" w:themeColor="text1"/>
        </w:rPr>
        <w:t xml:space="preserve">Levine's </w:t>
      </w:r>
      <w:r w:rsidRPr="002A5F51">
        <w:rPr>
          <w:rStyle w:val="Emphasis"/>
          <w:color w:val="000000" w:themeColor="text1"/>
          <w:highlight w:val="green"/>
        </w:rPr>
        <w:t>sustainable critique</w:t>
      </w:r>
      <w:r w:rsidRPr="002A50DC">
        <w:rPr>
          <w:rStyle w:val="Emphasis"/>
          <w:color w:val="000000" w:themeColor="text1"/>
        </w:rPr>
        <w:t>.</w:t>
      </w:r>
      <w:r w:rsidRPr="002A50DC">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2A5F51">
        <w:rPr>
          <w:rStyle w:val="Emphasis"/>
          <w:color w:val="000000" w:themeColor="text1"/>
          <w:highlight w:val="green"/>
        </w:rPr>
        <w:t xml:space="preserve"> No single method can ever adequately represent the event </w:t>
      </w:r>
      <w:r w:rsidRPr="002A50DC">
        <w:rPr>
          <w:color w:val="000000" w:themeColor="text1"/>
          <w:sz w:val="14"/>
        </w:rPr>
        <w:t>or should gain the upper hand. But</w:t>
      </w:r>
      <w:r w:rsidRPr="002A50DC">
        <w:rPr>
          <w:rStyle w:val="Emphasis"/>
          <w:color w:val="000000" w:themeColor="text1"/>
        </w:rPr>
        <w:t xml:space="preserve"> </w:t>
      </w:r>
      <w:r w:rsidRPr="002A5F51">
        <w:rPr>
          <w:rStyle w:val="Emphasis"/>
          <w:color w:val="000000" w:themeColor="text1"/>
          <w:highlight w:val="green"/>
        </w:rPr>
        <w:t>each should</w:t>
      </w:r>
      <w:r w:rsidRPr="002A50DC">
        <w:rPr>
          <w:rStyle w:val="Emphasis"/>
          <w:color w:val="000000" w:themeColor="text1"/>
        </w:rPr>
        <w:t xml:space="preserve">, in a way, </w:t>
      </w:r>
      <w:r w:rsidRPr="002A5F51">
        <w:rPr>
          <w:rStyle w:val="Emphasis"/>
          <w:color w:val="000000" w:themeColor="text1"/>
          <w:highlight w:val="green"/>
        </w:rPr>
        <w:t xml:space="preserve">recognize </w:t>
      </w:r>
      <w:r w:rsidRPr="002A50DC">
        <w:rPr>
          <w:rStyle w:val="Emphasis"/>
          <w:color w:val="000000" w:themeColor="text1"/>
        </w:rPr>
        <w:t xml:space="preserve">and capture </w:t>
      </w:r>
      <w:r w:rsidRPr="002A5F51">
        <w:rPr>
          <w:rStyle w:val="Emphasis"/>
          <w:color w:val="000000" w:themeColor="text1"/>
          <w:highlight w:val="green"/>
        </w:rPr>
        <w:t>details or perspectives that the others cannot</w:t>
      </w:r>
      <w:r w:rsidRPr="002A50DC">
        <w:rPr>
          <w:rStyle w:val="Emphasis"/>
          <w:color w:val="000000" w:themeColor="text1"/>
        </w:rPr>
        <w:t xml:space="preserve"> (p. 102). In practical terms, </w:t>
      </w:r>
      <w:r w:rsidRPr="002A5F51">
        <w:rPr>
          <w:rStyle w:val="Emphasis"/>
          <w:color w:val="000000" w:themeColor="text1"/>
          <w:highlight w:val="green"/>
        </w:rPr>
        <w:t>this means combining</w:t>
      </w:r>
      <w:r w:rsidRPr="002A50DC">
        <w:rPr>
          <w:rStyle w:val="Emphasis"/>
          <w:color w:val="000000" w:themeColor="text1"/>
        </w:rPr>
        <w:t xml:space="preserve"> a range of </w:t>
      </w:r>
      <w:r w:rsidRPr="002A5F51">
        <w:rPr>
          <w:rStyle w:val="Emphasis"/>
          <w:color w:val="000000" w:themeColor="text1"/>
          <w:highlight w:val="green"/>
        </w:rPr>
        <w:t>methods</w:t>
      </w:r>
      <w:r w:rsidRPr="002A50DC">
        <w:rPr>
          <w:rStyle w:val="Emphasis"/>
          <w:color w:val="000000" w:themeColor="text1"/>
        </w:rPr>
        <w:t xml:space="preserve"> </w:t>
      </w:r>
      <w:r w:rsidRPr="002A50DC">
        <w:rPr>
          <w:color w:val="000000" w:themeColor="text1"/>
          <w:sz w:val="14"/>
        </w:rPr>
        <w:t>even when—or, rather,</w:t>
      </w:r>
      <w:r w:rsidRPr="002A50DC">
        <w:rPr>
          <w:rStyle w:val="Emphasis"/>
          <w:color w:val="000000" w:themeColor="text1"/>
        </w:rPr>
        <w:t xml:space="preserve"> </w:t>
      </w:r>
      <w:r w:rsidRPr="002A5F51">
        <w:rPr>
          <w:rStyle w:val="Emphasis"/>
          <w:color w:val="000000" w:themeColor="text1"/>
          <w:highlight w:val="green"/>
        </w:rPr>
        <w:t>precisely when</w:t>
      </w:r>
      <w:r w:rsidRPr="002A50DC">
        <w:rPr>
          <w:rStyle w:val="Emphasis"/>
          <w:color w:val="000000" w:themeColor="text1"/>
        </w:rPr>
        <w:t xml:space="preserve">—they are </w:t>
      </w:r>
      <w:r w:rsidRPr="002A5F51">
        <w:rPr>
          <w:rStyle w:val="Emphasis"/>
          <w:color w:val="000000" w:themeColor="text1"/>
          <w:highlight w:val="green"/>
        </w:rPr>
        <w:t xml:space="preserve">deemed incompatible. They can range from </w:t>
      </w:r>
      <w:proofErr w:type="spellStart"/>
      <w:r w:rsidRPr="002A5F51">
        <w:rPr>
          <w:rStyle w:val="Emphasis"/>
          <w:color w:val="000000" w:themeColor="text1"/>
          <w:highlight w:val="green"/>
        </w:rPr>
        <w:t>poststructual</w:t>
      </w:r>
      <w:proofErr w:type="spellEnd"/>
      <w:r w:rsidRPr="002A5F51">
        <w:rPr>
          <w:rStyle w:val="Emphasis"/>
          <w:color w:val="000000" w:themeColor="text1"/>
          <w:highlight w:val="green"/>
        </w:rPr>
        <w:t xml:space="preserve"> deconstruction to</w:t>
      </w:r>
      <w:r w:rsidRPr="002A50DC">
        <w:rPr>
          <w:rStyle w:val="Emphasis"/>
          <w:color w:val="000000" w:themeColor="text1"/>
        </w:rPr>
        <w:t xml:space="preserve"> the tools pioneered and championed by </w:t>
      </w:r>
      <w:r w:rsidRPr="002A5F51">
        <w:rPr>
          <w:rStyle w:val="Emphasis"/>
          <w:color w:val="000000" w:themeColor="text1"/>
          <w:highlight w:val="green"/>
        </w:rPr>
        <w:t>positivist social sciences. The benefit</w:t>
      </w:r>
      <w:r w:rsidRPr="002A50DC">
        <w:rPr>
          <w:rStyle w:val="Emphasis"/>
          <w:color w:val="000000" w:themeColor="text1"/>
        </w:rPr>
        <w:t xml:space="preserve"> </w:t>
      </w:r>
      <w:r w:rsidRPr="002A50DC">
        <w:rPr>
          <w:color w:val="000000" w:themeColor="text1"/>
          <w:sz w:val="14"/>
        </w:rPr>
        <w:t>of such a methodological polyphony</w:t>
      </w:r>
      <w:r w:rsidRPr="002A50DC">
        <w:rPr>
          <w:rStyle w:val="Emphasis"/>
          <w:color w:val="000000" w:themeColor="text1"/>
        </w:rPr>
        <w:t xml:space="preserve"> </w:t>
      </w:r>
      <w:r w:rsidRPr="002A5F51">
        <w:rPr>
          <w:rStyle w:val="Emphasis"/>
          <w:color w:val="000000" w:themeColor="text1"/>
          <w:highlight w:val="green"/>
        </w:rPr>
        <w:t xml:space="preserve">is </w:t>
      </w:r>
      <w:r w:rsidRPr="002A50DC">
        <w:rPr>
          <w:rStyle w:val="Emphasis"/>
          <w:color w:val="000000" w:themeColor="text1"/>
        </w:rPr>
        <w:t xml:space="preserve">not just the </w:t>
      </w:r>
      <w:r w:rsidRPr="002A5F51">
        <w:rPr>
          <w:rStyle w:val="Emphasis"/>
          <w:color w:val="000000" w:themeColor="text1"/>
          <w:highlight w:val="green"/>
        </w:rPr>
        <w:t xml:space="preserve">opportunity to bring out nuances </w:t>
      </w:r>
      <w:r w:rsidRPr="002A50DC">
        <w:rPr>
          <w:color w:val="000000" w:themeColor="text1"/>
          <w:sz w:val="14"/>
        </w:rPr>
        <w:t>and new perspectives. Once the false hope of a smooth synthesis has been abandoned, the very incompatibility of the respective perspectives can then be used to</w:t>
      </w:r>
      <w:r w:rsidRPr="002A50DC">
        <w:rPr>
          <w:rStyle w:val="Emphasis"/>
          <w:color w:val="000000" w:themeColor="text1"/>
        </w:rPr>
        <w:t xml:space="preserve"> </w:t>
      </w:r>
      <w:r w:rsidRPr="002A5F51">
        <w:rPr>
          <w:rStyle w:val="Emphasis"/>
          <w:color w:val="000000" w:themeColor="text1"/>
          <w:highlight w:val="green"/>
        </w:rPr>
        <w:t>identify the reifying tendencies</w:t>
      </w:r>
      <w:r w:rsidRPr="002A50DC">
        <w:rPr>
          <w:rStyle w:val="Emphasis"/>
          <w:color w:val="000000" w:themeColor="text1"/>
        </w:rPr>
        <w:t xml:space="preserve"> </w:t>
      </w:r>
      <w:r w:rsidRPr="002A50DC">
        <w:rPr>
          <w:color w:val="000000" w:themeColor="text1"/>
          <w:sz w:val="14"/>
        </w:rPr>
        <w:t>in each of them. For Levine, this is how reification may be “checked at the source”</w:t>
      </w:r>
      <w:r w:rsidRPr="002A50DC">
        <w:rPr>
          <w:rStyle w:val="Emphasis"/>
          <w:color w:val="000000" w:themeColor="text1"/>
        </w:rPr>
        <w:t xml:space="preserve"> </w:t>
      </w:r>
      <w:r w:rsidRPr="002A5F51">
        <w:rPr>
          <w:rStyle w:val="Emphasis"/>
          <w:color w:val="000000" w:themeColor="text1"/>
          <w:highlight w:val="green"/>
        </w:rPr>
        <w:t>and</w:t>
      </w:r>
      <w:r w:rsidRPr="002A50DC">
        <w:rPr>
          <w:rStyle w:val="Emphasis"/>
          <w:color w:val="000000" w:themeColor="text1"/>
        </w:rPr>
        <w:t xml:space="preserve"> this is how </w:t>
      </w:r>
      <w:r w:rsidRPr="002A5F51">
        <w:rPr>
          <w:rStyle w:val="Emphasis"/>
          <w:color w:val="000000" w:themeColor="text1"/>
          <w:highlight w:val="green"/>
        </w:rPr>
        <w:t>a “critically reflexive moment</w:t>
      </w:r>
      <w:r w:rsidRPr="002A50DC">
        <w:rPr>
          <w:rStyle w:val="Emphasis"/>
          <w:color w:val="000000" w:themeColor="text1"/>
        </w:rPr>
        <w:t xml:space="preserve"> might thus be </w:t>
      </w:r>
      <w:r w:rsidRPr="002A5F51">
        <w:rPr>
          <w:rStyle w:val="Emphasis"/>
          <w:color w:val="000000" w:themeColor="text1"/>
          <w:highlight w:val="green"/>
        </w:rPr>
        <w:t>rendered sustainable</w:t>
      </w:r>
      <w:r w:rsidRPr="002A50DC">
        <w:rPr>
          <w:color w:val="000000" w:themeColor="text1"/>
          <w:sz w:val="14"/>
        </w:rPr>
        <w:t xml:space="preserve">” (p. 103). It is in this sense that Levine's approach is not </w:t>
      </w:r>
      <w:proofErr w:type="gramStart"/>
      <w:r w:rsidRPr="002A50DC">
        <w:rPr>
          <w:color w:val="000000" w:themeColor="text1"/>
          <w:sz w:val="14"/>
        </w:rPr>
        <w:t>really post-</w:t>
      </w:r>
      <w:proofErr w:type="gramEnd"/>
      <w:r w:rsidRPr="002A50DC">
        <w:rPr>
          <w:color w:val="000000" w:themeColor="text1"/>
          <w:sz w:val="14"/>
        </w:rPr>
        <w:t xml:space="preserve">foundational but, rather, an attempt to “balance </w:t>
      </w:r>
      <w:proofErr w:type="spellStart"/>
      <w:r w:rsidRPr="002A50DC">
        <w:rPr>
          <w:color w:val="000000" w:themeColor="text1"/>
          <w:sz w:val="14"/>
        </w:rPr>
        <w:t>foundationalisms</w:t>
      </w:r>
      <w:proofErr w:type="spellEnd"/>
      <w:r w:rsidRPr="002A50DC">
        <w:rPr>
          <w:color w:val="000000" w:themeColor="text1"/>
          <w:sz w:val="14"/>
        </w:rPr>
        <w:t xml:space="preserve"> against one another” (p. 14). There are strong parallels here with arguments advanced by assemblage thinking and complexity theory—links that could have been explored in more detail.</w:t>
      </w:r>
    </w:p>
    <w:p w14:paraId="45107DB1" w14:textId="38F2D9BA" w:rsidR="006C61C7" w:rsidRPr="002A50DC" w:rsidRDefault="006C61C7" w:rsidP="006C61C7">
      <w:pPr>
        <w:pStyle w:val="Heading4"/>
        <w:spacing w:before="0" w:line="240" w:lineRule="auto"/>
        <w:contextualSpacing/>
        <w:rPr>
          <w:rFonts w:cs="Calibri"/>
        </w:rPr>
      </w:pPr>
      <w:r w:rsidRPr="002A50DC">
        <w:rPr>
          <w:rFonts w:cs="Calibri"/>
        </w:rPr>
        <w:t>[</w:t>
      </w:r>
      <w:r>
        <w:rPr>
          <w:rFonts w:cs="Calibri"/>
        </w:rPr>
        <w:t>3</w:t>
      </w:r>
      <w:r w:rsidRPr="002A50DC">
        <w:rPr>
          <w:rFonts w:cs="Calibri"/>
        </w:rPr>
        <w:t xml:space="preserve">] Movements which refuse engagement with the state get co-opted by the ruling class – engagement is a necessity. </w:t>
      </w:r>
    </w:p>
    <w:p w14:paraId="24B2D881" w14:textId="77777777" w:rsidR="006C61C7" w:rsidRPr="002A50DC" w:rsidRDefault="006C61C7" w:rsidP="006C61C7">
      <w:pPr>
        <w:pStyle w:val="Heading4"/>
        <w:spacing w:before="0" w:line="240" w:lineRule="auto"/>
        <w:contextualSpacing/>
        <w:rPr>
          <w:rFonts w:cs="Calibri"/>
        </w:rPr>
      </w:pPr>
      <w:r w:rsidRPr="002A50DC">
        <w:rPr>
          <w:rFonts w:cs="Calibri"/>
        </w:rPr>
        <w:t xml:space="preserve">Boggs 97 </w:t>
      </w:r>
      <w:r w:rsidRPr="002A50DC">
        <w:rPr>
          <w:rFonts w:cs="Calibri"/>
          <w:b w:val="0"/>
          <w:bCs w:val="0"/>
          <w:sz w:val="16"/>
          <w:szCs w:val="16"/>
        </w:rPr>
        <w:t>[Carl Boggs, National University. “The great retreat: Decline of the public sphere in late twentieth-century America.” Theory and Society, Volume 26, Number 6, December 1997.] A Classic</w:t>
      </w:r>
    </w:p>
    <w:p w14:paraId="7C28813C" w14:textId="35FB1130" w:rsidR="006C61C7" w:rsidRDefault="006C61C7" w:rsidP="006C61C7">
      <w:pPr>
        <w:spacing w:line="240" w:lineRule="auto"/>
        <w:rPr>
          <w:sz w:val="8"/>
        </w:rPr>
      </w:pPr>
      <w:r w:rsidRPr="002A50DC">
        <w:rPr>
          <w:sz w:val="8"/>
        </w:rPr>
        <w:t xml:space="preserve">The decline of the public sphere in late twentieth-century America poses a series of great dilemmas and challenges.  Many </w:t>
      </w:r>
      <w:r w:rsidRPr="002A5F51">
        <w:rPr>
          <w:rStyle w:val="Emphasis"/>
          <w:highlight w:val="green"/>
        </w:rPr>
        <w:t>ideological currents</w:t>
      </w:r>
      <w:r w:rsidRPr="002A50DC">
        <w:rPr>
          <w:sz w:val="8"/>
        </w:rPr>
        <w:t xml:space="preserve"> scrutinized here – localism, metaphysics, </w:t>
      </w:r>
      <w:proofErr w:type="spellStart"/>
      <w:r w:rsidRPr="002A50DC">
        <w:rPr>
          <w:sz w:val="8"/>
        </w:rPr>
        <w:t>spontaneism</w:t>
      </w:r>
      <w:proofErr w:type="spellEnd"/>
      <w:r w:rsidRPr="002A50DC">
        <w:rPr>
          <w:sz w:val="8"/>
        </w:rPr>
        <w:t xml:space="preserve">, post-modernism, Deep Ecology – intersect with and reinforce each other.  While these currents have deep origins in popular movements of the 1960s and 1970s, they remain very much alive in the 1990s.  Despite their different outlooks and trajectories, they all </w:t>
      </w:r>
      <w:r w:rsidRPr="002A5F51">
        <w:rPr>
          <w:rStyle w:val="Emphasis"/>
          <w:highlight w:val="green"/>
        </w:rPr>
        <w:t xml:space="preserve">share </w:t>
      </w:r>
      <w:r w:rsidRPr="002A50DC">
        <w:rPr>
          <w:sz w:val="8"/>
        </w:rPr>
        <w:t xml:space="preserve">one thing in common: </w:t>
      </w:r>
      <w:r w:rsidRPr="002A5F51">
        <w:rPr>
          <w:rStyle w:val="Emphasis"/>
          <w:highlight w:val="green"/>
        </w:rPr>
        <w:t>a depoliticized expression of struggles</w:t>
      </w:r>
      <w:r w:rsidRPr="002A50DC">
        <w:rPr>
          <w:sz w:val="8"/>
        </w:rPr>
        <w:t xml:space="preserve"> to combat and overcome alienation.  The </w:t>
      </w:r>
      <w:r w:rsidRPr="002A5F51">
        <w:rPr>
          <w:rStyle w:val="Emphasis"/>
          <w:highlight w:val="green"/>
        </w:rPr>
        <w:t>false sense of empowerment</w:t>
      </w:r>
      <w:r w:rsidRPr="002A50DC">
        <w:rPr>
          <w:sz w:val="8"/>
        </w:rPr>
        <w:t xml:space="preserve"> that comes with such mesmerizing impulses </w:t>
      </w:r>
      <w:r w:rsidRPr="002A5F51">
        <w:rPr>
          <w:rStyle w:val="Emphasis"/>
          <w:highlight w:val="green"/>
        </w:rPr>
        <w:t>is accompanied by a loss of</w:t>
      </w:r>
      <w:r w:rsidRPr="002A50DC">
        <w:rPr>
          <w:sz w:val="8"/>
        </w:rPr>
        <w:t xml:space="preserve"> public </w:t>
      </w:r>
      <w:r w:rsidRPr="002A5F51">
        <w:rPr>
          <w:rStyle w:val="Emphasis"/>
          <w:highlight w:val="green"/>
        </w:rPr>
        <w:t>engagement</w:t>
      </w:r>
      <w:r w:rsidRPr="002A50DC">
        <w:rPr>
          <w:sz w:val="8"/>
        </w:rPr>
        <w:t xml:space="preserve">, an erosion of citizenship and a depleted capacity of individuals in large groups to work for social change.  As this ideological quagmire worsens, </w:t>
      </w:r>
      <w:r w:rsidRPr="002A5F51">
        <w:rPr>
          <w:rStyle w:val="Emphasis"/>
          <w:highlight w:val="green"/>
        </w:rPr>
        <w:t>urgent problems</w:t>
      </w:r>
      <w:r w:rsidRPr="002A50DC">
        <w:rPr>
          <w:sz w:val="8"/>
        </w:rPr>
        <w:t xml:space="preserve"> that are destroying the fabric of American society </w:t>
      </w:r>
      <w:r w:rsidRPr="002A5F51">
        <w:rPr>
          <w:rStyle w:val="Emphasis"/>
          <w:highlight w:val="green"/>
        </w:rPr>
        <w:t>will go unsolved</w:t>
      </w:r>
      <w:r w:rsidRPr="002A50DC">
        <w:rPr>
          <w:sz w:val="8"/>
        </w:rPr>
        <w:t xml:space="preserve"> – perhaps even unrecognized – only to fester more ominously in the future.  And such problems (</w:t>
      </w:r>
      <w:r w:rsidRPr="002A5F51">
        <w:rPr>
          <w:rStyle w:val="Emphasis"/>
          <w:highlight w:val="green"/>
        </w:rPr>
        <w:t>eco</w:t>
      </w:r>
      <w:r w:rsidRPr="002A50DC">
        <w:rPr>
          <w:sz w:val="8"/>
        </w:rPr>
        <w:t xml:space="preserve">logical </w:t>
      </w:r>
      <w:r w:rsidRPr="002A5F51">
        <w:rPr>
          <w:rStyle w:val="Emphasis"/>
          <w:highlight w:val="green"/>
        </w:rPr>
        <w:t>crisis, poverty</w:t>
      </w:r>
      <w:r w:rsidRPr="002A50DC">
        <w:rPr>
          <w:sz w:val="8"/>
        </w:rPr>
        <w:t xml:space="preserve">, urban decay, spread of infectious </w:t>
      </w:r>
      <w:r w:rsidRPr="002A5F51">
        <w:rPr>
          <w:rStyle w:val="Emphasis"/>
          <w:highlight w:val="green"/>
        </w:rPr>
        <w:t>diseases</w:t>
      </w:r>
      <w:r w:rsidRPr="002A50DC">
        <w:rPr>
          <w:sz w:val="8"/>
        </w:rPr>
        <w:t xml:space="preserve">, technological displacement of workers) cannot be understood outside the larger social and global context of internationalized markets,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By diluting the life of common involvements, we negate the very idea of politics as a source of public ideals and visions. 74 In the meantime, </w:t>
      </w:r>
      <w:r w:rsidRPr="002A5F51">
        <w:rPr>
          <w:rStyle w:val="Emphasis"/>
          <w:highlight w:val="green"/>
        </w:rPr>
        <w:t>the</w:t>
      </w:r>
      <w:r w:rsidRPr="002A50DC">
        <w:rPr>
          <w:sz w:val="8"/>
        </w:rPr>
        <w:t xml:space="preserve"> fate of the </w:t>
      </w:r>
      <w:r w:rsidRPr="002A5F51">
        <w:rPr>
          <w:rStyle w:val="Emphasis"/>
          <w:highlight w:val="green"/>
        </w:rPr>
        <w:t>world hangs in</w:t>
      </w:r>
      <w:r w:rsidRPr="002A50DC">
        <w:rPr>
          <w:sz w:val="8"/>
        </w:rPr>
        <w:t xml:space="preserve"> the </w:t>
      </w:r>
      <w:r w:rsidRPr="002A5F51">
        <w:rPr>
          <w:rStyle w:val="Emphasis"/>
          <w:highlight w:val="green"/>
        </w:rPr>
        <w:t>balance</w:t>
      </w:r>
      <w:r w:rsidRPr="002A50DC">
        <w:rPr>
          <w:sz w:val="8"/>
        </w:rPr>
        <w:t xml:space="preserve">.  The unyielding truth is that, even as the ethos of anti-politics becomes more compelling and even fashionable in the United States, it is the vagaries of political power that will continue to decide the fate of human societies.   This last point demands further elaboration.  The shrinkage of politics hardly means that corporate colonization will be less of a reality, that social hierarchies will somehow disappear, or that gigantic state and military structures will lose their hold over people’s lives.  Far from it: the </w:t>
      </w:r>
      <w:r w:rsidRPr="002A5F51">
        <w:rPr>
          <w:rStyle w:val="Emphasis"/>
          <w:highlight w:val="green"/>
        </w:rPr>
        <w:t>space abdicated by</w:t>
      </w:r>
      <w:r w:rsidRPr="002A50DC">
        <w:rPr>
          <w:sz w:val="8"/>
        </w:rPr>
        <w:t xml:space="preserve"> a broad </w:t>
      </w:r>
      <w:r w:rsidRPr="002A5F51">
        <w:rPr>
          <w:rStyle w:val="Emphasis"/>
          <w:highlight w:val="green"/>
        </w:rPr>
        <w:t>citizenry</w:t>
      </w:r>
      <w:r w:rsidRPr="002A50DC">
        <w:rPr>
          <w:sz w:val="8"/>
        </w:rPr>
        <w:t xml:space="preserve">, well-informed and ready to participate at many levels, </w:t>
      </w:r>
      <w:r w:rsidRPr="002A5F51">
        <w:rPr>
          <w:rStyle w:val="Emphasis"/>
          <w:highlight w:val="green"/>
        </w:rPr>
        <w:t>can</w:t>
      </w:r>
      <w:r w:rsidRPr="002A50DC">
        <w:rPr>
          <w:sz w:val="8"/>
        </w:rPr>
        <w:t xml:space="preserve"> in fact </w:t>
      </w:r>
      <w:r w:rsidRPr="002A5F51">
        <w:rPr>
          <w:rStyle w:val="Emphasis"/>
          <w:highlight w:val="green"/>
        </w:rPr>
        <w:t>be filled by authoritarian</w:t>
      </w:r>
      <w:r w:rsidRPr="002A50DC">
        <w:rPr>
          <w:sz w:val="8"/>
        </w:rPr>
        <w:t xml:space="preserve"> and reactionary </w:t>
      </w:r>
      <w:r w:rsidRPr="002A5F51">
        <w:rPr>
          <w:rStyle w:val="Emphasis"/>
          <w:highlight w:val="green"/>
        </w:rPr>
        <w:t>elites</w:t>
      </w:r>
      <w:r w:rsidRPr="002A50DC">
        <w:rPr>
          <w:sz w:val="8"/>
        </w:rPr>
        <w:t xml:space="preserve"> – an already familiar dynamic in many lesser-developed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w:t>
      </w:r>
      <w:r w:rsidRPr="002A50DC">
        <w:rPr>
          <w:sz w:val="8"/>
        </w:rPr>
        <w:lastRenderedPageBreak/>
        <w:t>eclipse of politics might set the stage for a reassertion of politics in more virulent guise – or it might help further rationalize the existing power structure.  In either case, the state would likely become what Hobbes anticipated: the embodiment of those universal, collective interests that had vanished from civil society. 75</w:t>
      </w:r>
    </w:p>
    <w:p w14:paraId="53CF258C" w14:textId="49DE3A5F" w:rsidR="006C61C7" w:rsidRPr="002A50DC" w:rsidRDefault="006C61C7" w:rsidP="006C61C7">
      <w:pPr>
        <w:pStyle w:val="Heading4"/>
        <w:spacing w:line="276" w:lineRule="auto"/>
        <w:rPr>
          <w:rFonts w:cs="Calibri"/>
        </w:rPr>
      </w:pPr>
      <w:r w:rsidRPr="002A50DC">
        <w:rPr>
          <w:rFonts w:cs="Calibri"/>
        </w:rPr>
        <w:t>[</w:t>
      </w:r>
      <w:r>
        <w:rPr>
          <w:rFonts w:cs="Calibri"/>
        </w:rPr>
        <w:t>4</w:t>
      </w:r>
      <w:r w:rsidRPr="002A50DC">
        <w:rPr>
          <w:rFonts w:cs="Calibri"/>
        </w:rPr>
        <w:t xml:space="preserve">] Our method is the </w:t>
      </w:r>
      <w:r w:rsidRPr="002A50DC">
        <w:rPr>
          <w:rFonts w:cs="Calibri"/>
          <w:u w:val="single"/>
        </w:rPr>
        <w:t>opposite</w:t>
      </w:r>
      <w:r w:rsidRPr="002A50DC">
        <w:rPr>
          <w:rFonts w:cs="Calibri"/>
        </w:rPr>
        <w:t xml:space="preserve"> of reformism – it doesn’t buy into sweeping narratives that conflate change with progress nor </w:t>
      </w:r>
      <w:r w:rsidRPr="002A50DC">
        <w:rPr>
          <w:rFonts w:cs="Calibri"/>
          <w:u w:val="single"/>
        </w:rPr>
        <w:t>expand or validate</w:t>
      </w:r>
      <w:r w:rsidRPr="002A50DC">
        <w:rPr>
          <w:rFonts w:cs="Calibri"/>
        </w:rPr>
        <w:t xml:space="preserve"> legal institutions – rather, it’s a contingent intervention that </w:t>
      </w:r>
      <w:r w:rsidRPr="002A50DC">
        <w:rPr>
          <w:rFonts w:cs="Calibri"/>
          <w:u w:val="single"/>
        </w:rPr>
        <w:t>materially reduces violence</w:t>
      </w:r>
      <w:r w:rsidRPr="002A50DC">
        <w:rPr>
          <w:rFonts w:cs="Calibri"/>
        </w:rPr>
        <w:t xml:space="preserve">, while </w:t>
      </w:r>
      <w:r w:rsidRPr="002A50DC">
        <w:rPr>
          <w:rFonts w:cs="Calibri"/>
          <w:u w:val="single"/>
        </w:rPr>
        <w:t>exposing</w:t>
      </w:r>
      <w:r w:rsidRPr="002A50DC">
        <w:rPr>
          <w:rFonts w:cs="Calibri"/>
        </w:rPr>
        <w:t xml:space="preserve"> that the alleged facial neutrality of law is a </w:t>
      </w:r>
      <w:r w:rsidRPr="002A50DC">
        <w:rPr>
          <w:rFonts w:cs="Calibri"/>
          <w:u w:val="single"/>
        </w:rPr>
        <w:t>key vector for racialized violence</w:t>
      </w:r>
    </w:p>
    <w:p w14:paraId="4CE03FB4" w14:textId="77777777" w:rsidR="006C61C7" w:rsidRPr="002A50DC" w:rsidRDefault="006C61C7" w:rsidP="006C61C7">
      <w:pPr>
        <w:spacing w:line="276" w:lineRule="auto"/>
      </w:pPr>
      <w:r w:rsidRPr="002A50DC">
        <w:rPr>
          <w:rStyle w:val="Style13ptBold"/>
        </w:rPr>
        <w:t>Spade 13</w:t>
      </w:r>
      <w:r w:rsidRPr="002A50DC">
        <w:t xml:space="preserve"> [Dean Spade, associate professor of law @ Seattle University, “Intersectional Resistance and Law Reform” Signs Vol. 38, No. 4, Summer 2013]</w:t>
      </w:r>
    </w:p>
    <w:p w14:paraId="51F8C00B" w14:textId="77777777" w:rsidR="006C61C7" w:rsidRPr="002A50DC" w:rsidRDefault="006C61C7" w:rsidP="006C61C7">
      <w:pPr>
        <w:spacing w:line="276" w:lineRule="auto"/>
      </w:pPr>
      <w:r w:rsidRPr="002A50DC">
        <w:t xml:space="preserve">--Repeal of 3 strikes law, challenges to ICE </w:t>
      </w:r>
    </w:p>
    <w:p w14:paraId="4EEC562A" w14:textId="77777777" w:rsidR="006C61C7" w:rsidRPr="002A50DC" w:rsidRDefault="006C61C7" w:rsidP="006C61C7">
      <w:pPr>
        <w:pStyle w:val="card"/>
        <w:spacing w:line="276" w:lineRule="auto"/>
        <w:ind w:left="0"/>
        <w:rPr>
          <w:rFonts w:cs="Calibri"/>
          <w:sz w:val="8"/>
          <w:szCs w:val="22"/>
        </w:rPr>
      </w:pPr>
      <w:r w:rsidRPr="002A50DC">
        <w:rPr>
          <w:rStyle w:val="Underline2Char"/>
          <w:rFonts w:eastAsiaTheme="majorEastAsia"/>
        </w:rPr>
        <w:t>Instead</w:t>
      </w:r>
      <w:r w:rsidRPr="002A5F51">
        <w:rPr>
          <w:rStyle w:val="Underline2Char"/>
          <w:rFonts w:eastAsiaTheme="majorEastAsia"/>
          <w:highlight w:val="green"/>
        </w:rPr>
        <w:t>, law</w:t>
      </w:r>
      <w:r w:rsidRPr="002A50DC">
        <w:rPr>
          <w:rStyle w:val="Underline2Char"/>
          <w:rFonts w:eastAsiaTheme="majorEastAsia"/>
        </w:rPr>
        <w:t xml:space="preserve"> reform, in this view, </w:t>
      </w:r>
      <w:r w:rsidRPr="002A5F51">
        <w:rPr>
          <w:rStyle w:val="Underline2Char"/>
          <w:rFonts w:eastAsiaTheme="majorEastAsia"/>
          <w:highlight w:val="green"/>
        </w:rPr>
        <w:t xml:space="preserve">might be used as a </w:t>
      </w:r>
      <w:r w:rsidRPr="002A5F51">
        <w:rPr>
          <w:rStyle w:val="Emphasis"/>
          <w:rFonts w:eastAsiaTheme="majorEastAsia"/>
          <w:szCs w:val="22"/>
          <w:highlight w:val="green"/>
        </w:rPr>
        <w:t xml:space="preserve">tactic </w:t>
      </w:r>
      <w:r w:rsidRPr="002A50DC">
        <w:rPr>
          <w:rStyle w:val="Emphasis"/>
          <w:rFonts w:eastAsiaTheme="majorEastAsia"/>
          <w:szCs w:val="22"/>
        </w:rPr>
        <w:t>of transformation</w:t>
      </w:r>
      <w:r w:rsidRPr="002A50DC">
        <w:rPr>
          <w:rStyle w:val="Underline2Char"/>
          <w:rFonts w:eastAsiaTheme="majorEastAsia"/>
        </w:rPr>
        <w:t xml:space="preserve"> </w:t>
      </w:r>
      <w:r w:rsidRPr="002A5F51">
        <w:rPr>
          <w:rStyle w:val="Underline2Char"/>
          <w:rFonts w:eastAsiaTheme="majorEastAsia"/>
          <w:highlight w:val="green"/>
        </w:rPr>
        <w:t xml:space="preserve">focused on </w:t>
      </w:r>
      <w:r w:rsidRPr="002A5F51">
        <w:rPr>
          <w:rStyle w:val="Emphasis"/>
          <w:rFonts w:eastAsiaTheme="majorEastAsia"/>
          <w:szCs w:val="22"/>
          <w:highlight w:val="green"/>
        </w:rPr>
        <w:t>interventions</w:t>
      </w:r>
      <w:r w:rsidRPr="002A5F51">
        <w:rPr>
          <w:rStyle w:val="Underline2Char"/>
          <w:rFonts w:eastAsiaTheme="majorEastAsia"/>
          <w:highlight w:val="green"/>
        </w:rPr>
        <w:t xml:space="preserve"> that </w:t>
      </w:r>
      <w:r w:rsidRPr="002A50DC">
        <w:rPr>
          <w:rStyle w:val="Emphasis"/>
          <w:rFonts w:eastAsiaTheme="majorEastAsia"/>
          <w:szCs w:val="22"/>
        </w:rPr>
        <w:t xml:space="preserve">materially </w:t>
      </w:r>
      <w:r w:rsidRPr="002A5F51">
        <w:rPr>
          <w:rStyle w:val="Emphasis"/>
          <w:rFonts w:eastAsiaTheme="majorEastAsia"/>
          <w:szCs w:val="22"/>
          <w:highlight w:val="green"/>
        </w:rPr>
        <w:t>reduce</w:t>
      </w:r>
      <w:r w:rsidRPr="002A50DC">
        <w:rPr>
          <w:rStyle w:val="Emphasis"/>
          <w:rFonts w:eastAsiaTheme="majorEastAsia"/>
          <w:szCs w:val="22"/>
        </w:rPr>
        <w:t xml:space="preserve"> </w:t>
      </w:r>
      <w:r w:rsidRPr="002A5F51">
        <w:rPr>
          <w:rStyle w:val="Emphasis"/>
          <w:rFonts w:eastAsiaTheme="majorEastAsia"/>
          <w:szCs w:val="22"/>
          <w:highlight w:val="green"/>
        </w:rPr>
        <w:t>violence</w:t>
      </w:r>
      <w:r w:rsidRPr="002A50DC">
        <w:rPr>
          <w:rStyle w:val="Emphasis"/>
          <w:rFonts w:eastAsiaTheme="majorEastAsia"/>
          <w:szCs w:val="22"/>
        </w:rPr>
        <w:t xml:space="preserve"> or maldistribution</w:t>
      </w:r>
      <w:r w:rsidRPr="002A50DC">
        <w:rPr>
          <w:rStyle w:val="Underline2Char"/>
          <w:rFonts w:eastAsiaTheme="majorEastAsia"/>
        </w:rPr>
        <w:t xml:space="preserve"> </w:t>
      </w:r>
      <w:r w:rsidRPr="002A5F51">
        <w:rPr>
          <w:rStyle w:val="Emphasis"/>
          <w:rFonts w:eastAsiaTheme="majorEastAsia"/>
          <w:szCs w:val="22"/>
          <w:highlight w:val="green"/>
        </w:rPr>
        <w:t xml:space="preserve">without </w:t>
      </w:r>
      <w:r w:rsidRPr="002A50DC">
        <w:rPr>
          <w:rStyle w:val="Emphasis"/>
          <w:rFonts w:eastAsiaTheme="majorEastAsia"/>
          <w:szCs w:val="22"/>
        </w:rPr>
        <w:t xml:space="preserve">inadvertently </w:t>
      </w:r>
      <w:r w:rsidRPr="002A5F51">
        <w:rPr>
          <w:rStyle w:val="Emphasis"/>
          <w:rFonts w:eastAsiaTheme="majorEastAsia"/>
          <w:szCs w:val="22"/>
          <w:highlight w:val="green"/>
        </w:rPr>
        <w:t xml:space="preserve">expanding </w:t>
      </w:r>
      <w:r w:rsidRPr="002A50DC">
        <w:rPr>
          <w:rStyle w:val="Emphasis"/>
          <w:rFonts w:eastAsiaTheme="majorEastAsia"/>
          <w:szCs w:val="22"/>
        </w:rPr>
        <w:t xml:space="preserve">harmful </w:t>
      </w:r>
      <w:r w:rsidRPr="002A5F51">
        <w:rPr>
          <w:rStyle w:val="Emphasis"/>
          <w:rFonts w:eastAsiaTheme="majorEastAsia"/>
          <w:szCs w:val="22"/>
          <w:highlight w:val="green"/>
        </w:rPr>
        <w:t>systems in the name of reform</w:t>
      </w:r>
      <w:r w:rsidRPr="002A50DC">
        <w:rPr>
          <w:rFonts w:eastAsiaTheme="majorEastAsia" w:cs="Calibri"/>
          <w:sz w:val="8"/>
          <w:szCs w:val="22"/>
        </w:rPr>
        <w:t>.</w:t>
      </w:r>
      <w:r w:rsidRPr="002A50DC">
        <w:rPr>
          <w:rFonts w:cs="Calibri"/>
          <w:sz w:val="8"/>
          <w:szCs w:val="22"/>
        </w:rPr>
        <w:t xml:space="preserve"> </w:t>
      </w:r>
      <w:r w:rsidRPr="002A50DC">
        <w:rPr>
          <w:rStyle w:val="StyleUnderline"/>
          <w:rFonts w:cs="Calibri"/>
          <w:szCs w:val="22"/>
        </w:rPr>
        <w:t>One recent example is the campaign against gang injunctions in Oakland</w:t>
      </w:r>
      <w:r w:rsidRPr="002A50DC">
        <w:rPr>
          <w:rFonts w:cs="Calibri"/>
          <w:sz w:val="8"/>
          <w:szCs w:val="22"/>
        </w:rPr>
        <w:t xml:space="preserve">, California. A </w:t>
      </w:r>
      <w:r w:rsidRPr="002A50DC">
        <w:rPr>
          <w:rStyle w:val="StyleUnderline"/>
          <w:rFonts w:cs="Calibri"/>
          <w:szCs w:val="22"/>
        </w:rPr>
        <w:t>broad coalition</w:t>
      </w:r>
      <w:r w:rsidRPr="002A50DC">
        <w:rPr>
          <w:rFonts w:cs="Calibri"/>
          <w:sz w:val="8"/>
          <w:szCs w:val="22"/>
        </w:rPr>
        <w:t>—</w:t>
      </w:r>
      <w:r w:rsidRPr="002A50DC">
        <w:rPr>
          <w:rStyle w:val="StyleUnderline"/>
          <w:rFonts w:cs="Calibri"/>
          <w:szCs w:val="22"/>
        </w:rPr>
        <w:t>comprising organizations focused on police violence, economic justice, imprisonment, youth development, immigration, gentrification, and violence against queer and trans people</w:t>
      </w:r>
      <w:r w:rsidRPr="002A50DC">
        <w:rPr>
          <w:rFonts w:cs="Calibri"/>
          <w:sz w:val="8"/>
          <w:szCs w:val="22"/>
        </w:rPr>
        <w:t>—</w:t>
      </w:r>
      <w:r w:rsidRPr="002A50DC">
        <w:rPr>
          <w:rStyle w:val="StyleUnderline"/>
          <w:rFonts w:cs="Calibri"/>
          <w:szCs w:val="22"/>
        </w:rPr>
        <w:t>succeeded</w:t>
      </w:r>
      <w:r w:rsidRPr="002A50DC">
        <w:rPr>
          <w:rFonts w:cs="Calibri"/>
          <w:sz w:val="8"/>
          <w:szCs w:val="22"/>
        </w:rPr>
        <w:t xml:space="preserve"> in recent years </w:t>
      </w:r>
      <w:r w:rsidRPr="002A50DC">
        <w:rPr>
          <w:rStyle w:val="StyleUnderline"/>
          <w:rFonts w:cs="Calibri"/>
          <w:szCs w:val="22"/>
        </w:rPr>
        <w:t>in bringing significant attention to the efforts</w:t>
      </w:r>
      <w:r w:rsidRPr="002A50DC">
        <w:rPr>
          <w:rFonts w:cs="Calibri"/>
          <w:sz w:val="8"/>
          <w:szCs w:val="22"/>
        </w:rPr>
        <w:t xml:space="preserve"> of John Russo, Oakland’s city attorney, </w:t>
      </w:r>
      <w:r w:rsidRPr="002A50DC">
        <w:rPr>
          <w:rStyle w:val="StyleUnderline"/>
          <w:rFonts w:cs="Calibri"/>
          <w:szCs w:val="22"/>
        </w:rPr>
        <w:t>to</w:t>
      </w:r>
      <w:r w:rsidRPr="002A50DC">
        <w:rPr>
          <w:rFonts w:cs="Calibri"/>
          <w:sz w:val="8"/>
          <w:szCs w:val="22"/>
        </w:rPr>
        <w:t xml:space="preserve"> </w:t>
      </w:r>
      <w:r w:rsidRPr="002A50DC">
        <w:rPr>
          <w:rStyle w:val="StyleUnderline"/>
          <w:rFonts w:cs="Calibri"/>
          <w:szCs w:val="22"/>
        </w:rPr>
        <w:t>introduce gang injunctions</w:t>
      </w:r>
      <w:r w:rsidRPr="002A50DC">
        <w:rPr>
          <w:rFonts w:cs="Calibri"/>
          <w:sz w:val="8"/>
          <w:szCs w:val="22"/>
        </w:rPr>
        <w:t xml:space="preserve"> (Critical Resistance 2011). </w:t>
      </w:r>
      <w:r w:rsidRPr="002A50DC">
        <w:rPr>
          <w:rStyle w:val="Emphasis"/>
          <w:rFonts w:eastAsiaTheme="majorEastAsia"/>
          <w:szCs w:val="22"/>
        </w:rPr>
        <w:t>The organizations</w:t>
      </w:r>
      <w:r w:rsidRPr="002A50DC">
        <w:rPr>
          <w:rFonts w:cs="Calibri"/>
          <w:b/>
          <w:sz w:val="8"/>
          <w:szCs w:val="22"/>
        </w:rPr>
        <w:t xml:space="preserve"> </w:t>
      </w:r>
      <w:r w:rsidRPr="002A50DC">
        <w:rPr>
          <w:rFonts w:cs="Calibri"/>
          <w:sz w:val="8"/>
          <w:szCs w:val="22"/>
        </w:rPr>
        <w:t xml:space="preserve">in this coalition </w:t>
      </w:r>
      <w:r w:rsidRPr="002A50DC">
        <w:rPr>
          <w:rStyle w:val="Emphasis"/>
          <w:rFonts w:eastAsiaTheme="majorEastAsia"/>
          <w:szCs w:val="22"/>
        </w:rPr>
        <w:t xml:space="preserve">are prioritizing </w:t>
      </w:r>
      <w:proofErr w:type="spellStart"/>
      <w:r w:rsidRPr="002A50DC">
        <w:rPr>
          <w:rStyle w:val="Emphasis"/>
          <w:rFonts w:eastAsiaTheme="majorEastAsia"/>
          <w:szCs w:val="22"/>
        </w:rPr>
        <w:t>anticriminalization</w:t>
      </w:r>
      <w:proofErr w:type="spellEnd"/>
      <w:r w:rsidRPr="002A50DC">
        <w:rPr>
          <w:rStyle w:val="Emphasis"/>
          <w:rFonts w:eastAsiaTheme="majorEastAsia"/>
          <w:szCs w:val="22"/>
        </w:rPr>
        <w:t xml:space="preserve"> work that might usually be cast as irrelevant</w:t>
      </w:r>
      <w:r w:rsidRPr="002A50DC">
        <w:rPr>
          <w:rFonts w:cs="Calibri"/>
          <w:sz w:val="8"/>
          <w:szCs w:val="22"/>
        </w:rPr>
        <w:t xml:space="preserve"> or marginal to organizations focused on the single axis of women’s or LGBT equality. </w:t>
      </w:r>
      <w:r w:rsidRPr="002A50DC">
        <w:rPr>
          <w:rStyle w:val="StyleUnderline"/>
          <w:rFonts w:cs="Calibri"/>
          <w:szCs w:val="22"/>
        </w:rPr>
        <w:t>The campaign has a law reform target</w:t>
      </w:r>
      <w:r w:rsidRPr="002A50DC">
        <w:rPr>
          <w:rFonts w:cs="Calibri"/>
          <w:sz w:val="8"/>
          <w:szCs w:val="22"/>
        </w:rPr>
        <w:t xml:space="preserve"> in </w:t>
      </w:r>
      <w:r w:rsidRPr="002A50DC">
        <w:rPr>
          <w:rStyle w:val="StyleUnderline"/>
          <w:rFonts w:cs="Calibri"/>
          <w:szCs w:val="22"/>
        </w:rPr>
        <w:t>that</w:t>
      </w:r>
      <w:r w:rsidRPr="002A50DC">
        <w:rPr>
          <w:rFonts w:cs="Calibri"/>
          <w:sz w:val="8"/>
          <w:szCs w:val="22"/>
        </w:rPr>
        <w:t xml:space="preserve"> it </w:t>
      </w:r>
      <w:r w:rsidRPr="002A50DC">
        <w:rPr>
          <w:rStyle w:val="StyleUnderline"/>
          <w:rFonts w:cs="Calibri"/>
          <w:szCs w:val="22"/>
        </w:rPr>
        <w:t xml:space="preserve">seeks to prevent the enactment of </w:t>
      </w:r>
      <w:r w:rsidRPr="002A50DC">
        <w:rPr>
          <w:rFonts w:cs="Calibri"/>
          <w:sz w:val="8"/>
          <w:szCs w:val="22"/>
        </w:rPr>
        <w:t xml:space="preserve">certain </w:t>
      </w:r>
      <w:r w:rsidRPr="002A50DC">
        <w:rPr>
          <w:rStyle w:val="StyleUnderline"/>
          <w:rFonts w:cs="Calibri"/>
          <w:szCs w:val="22"/>
        </w:rPr>
        <w:t>law enforcement mechanisms that are harmful to vulnerable communities</w:t>
      </w:r>
      <w:r w:rsidRPr="002A50DC">
        <w:rPr>
          <w:rFonts w:cs="Calibri"/>
          <w:sz w:val="8"/>
          <w:szCs w:val="22"/>
        </w:rPr>
        <w:t xml:space="preserve">. </w:t>
      </w:r>
      <w:r w:rsidRPr="002A50DC">
        <w:rPr>
          <w:rStyle w:val="StyleUnderline"/>
          <w:rFonts w:cs="Calibri"/>
          <w:szCs w:val="22"/>
        </w:rPr>
        <w:t xml:space="preserve">However, it is not a legal-equality </w:t>
      </w:r>
      <w:r w:rsidRPr="002A50DC">
        <w:rPr>
          <w:rStyle w:val="Underline2Char"/>
          <w:rFonts w:eastAsiaTheme="majorEastAsia"/>
        </w:rPr>
        <w:t>campaign</w:t>
      </w:r>
      <w:r w:rsidRPr="002A50DC">
        <w:rPr>
          <w:rFonts w:cs="Calibri"/>
          <w:sz w:val="8"/>
          <w:szCs w:val="22"/>
        </w:rPr>
        <w:t xml:space="preserve">. </w:t>
      </w:r>
      <w:r w:rsidRPr="002A50DC">
        <w:rPr>
          <w:rStyle w:val="StyleUnderline"/>
          <w:rFonts w:cs="Calibri"/>
          <w:szCs w:val="22"/>
        </w:rPr>
        <w:t>Rather</w:t>
      </w:r>
      <w:r w:rsidRPr="002A50DC">
        <w:rPr>
          <w:rFonts w:cs="Calibri"/>
          <w:sz w:val="8"/>
          <w:szCs w:val="22"/>
        </w:rPr>
        <w:t xml:space="preserve"> than aiming to change a law or policy that explicitly excludes a category of people, </w:t>
      </w:r>
      <w:r w:rsidRPr="002A5F51">
        <w:rPr>
          <w:rStyle w:val="Underline2Char"/>
          <w:rFonts w:eastAsiaTheme="majorEastAsia"/>
          <w:highlight w:val="green"/>
        </w:rPr>
        <w:t xml:space="preserve">it aims to </w:t>
      </w:r>
      <w:r w:rsidRPr="002A5F51">
        <w:rPr>
          <w:rStyle w:val="Emphasis"/>
          <w:rFonts w:eastAsiaTheme="majorEastAsia"/>
          <w:szCs w:val="22"/>
          <w:highlight w:val="green"/>
        </w:rPr>
        <w:t>expose</w:t>
      </w:r>
      <w:r w:rsidRPr="002A50DC">
        <w:rPr>
          <w:rStyle w:val="Underline2Char"/>
          <w:rFonts w:eastAsiaTheme="majorEastAsia"/>
        </w:rPr>
        <w:t xml:space="preserve"> the fact that a </w:t>
      </w:r>
      <w:r w:rsidRPr="002A50DC">
        <w:rPr>
          <w:rStyle w:val="Emphasis"/>
          <w:rFonts w:eastAsiaTheme="majorEastAsia"/>
          <w:szCs w:val="22"/>
        </w:rPr>
        <w:t xml:space="preserve">facially </w:t>
      </w:r>
      <w:r w:rsidRPr="002A5F51">
        <w:rPr>
          <w:rStyle w:val="Emphasis"/>
          <w:rFonts w:eastAsiaTheme="majorEastAsia"/>
          <w:szCs w:val="22"/>
          <w:highlight w:val="green"/>
        </w:rPr>
        <w:t>neutral policy</w:t>
      </w:r>
      <w:r w:rsidRPr="002A5F51">
        <w:rPr>
          <w:rStyle w:val="Underline2Char"/>
          <w:rFonts w:eastAsiaTheme="majorEastAsia"/>
          <w:highlight w:val="green"/>
        </w:rPr>
        <w:t xml:space="preserve"> is</w:t>
      </w:r>
      <w:r w:rsidRPr="002A5F51">
        <w:rPr>
          <w:rStyle w:val="StyleUnderline"/>
          <w:rFonts w:cs="Calibri"/>
          <w:szCs w:val="22"/>
          <w:highlight w:val="green"/>
        </w:rPr>
        <w:t xml:space="preserve"> </w:t>
      </w:r>
      <w:r w:rsidRPr="002A5F51">
        <w:rPr>
          <w:rStyle w:val="Emphasis"/>
          <w:rFonts w:eastAsiaTheme="majorEastAsia"/>
          <w:szCs w:val="22"/>
          <w:highlight w:val="green"/>
        </w:rPr>
        <w:t>administered in a racially targeted manner</w:t>
      </w:r>
      <w:r w:rsidRPr="002A50DC">
        <w:rPr>
          <w:rStyle w:val="Emphasis"/>
          <w:rFonts w:eastAsiaTheme="majorEastAsia"/>
          <w:szCs w:val="22"/>
        </w:rPr>
        <w:t xml:space="preserve"> </w:t>
      </w:r>
      <w:r w:rsidRPr="002A50DC">
        <w:rPr>
          <w:rFonts w:cs="Calibri"/>
          <w:sz w:val="8"/>
          <w:szCs w:val="22"/>
        </w:rPr>
        <w:t xml:space="preserve">(Davis 2011; Stop the Injunctions 2011).¶ </w:t>
      </w:r>
      <w:r w:rsidRPr="002A50DC">
        <w:rPr>
          <w:rStyle w:val="StyleUnderline"/>
          <w:rFonts w:cs="Calibri"/>
          <w:szCs w:val="22"/>
        </w:rPr>
        <w:t>Furthermore, the coalition frames its campaign within a</w:t>
      </w:r>
      <w:r w:rsidRPr="002A5F51">
        <w:rPr>
          <w:rStyle w:val="StyleUnderline"/>
          <w:rFonts w:cs="Calibri"/>
          <w:szCs w:val="22"/>
          <w:highlight w:val="green"/>
        </w:rPr>
        <w:t xml:space="preserve"> </w:t>
      </w:r>
      <w:r w:rsidRPr="002A50DC">
        <w:rPr>
          <w:rStyle w:val="Emphasis"/>
          <w:rFonts w:eastAsiaTheme="majorEastAsia"/>
          <w:szCs w:val="22"/>
        </w:rPr>
        <w:t>larger set of demands</w:t>
      </w:r>
      <w:r w:rsidRPr="002A50DC">
        <w:rPr>
          <w:rStyle w:val="Underline2Char"/>
          <w:rFonts w:eastAsiaTheme="majorEastAsia"/>
        </w:rPr>
        <w:t xml:space="preserve"> not limited to what can be won within the </w:t>
      </w:r>
      <w:r w:rsidRPr="002A50DC">
        <w:rPr>
          <w:rStyle w:val="Emphasis"/>
          <w:rFonts w:eastAsiaTheme="majorEastAsia"/>
          <w:szCs w:val="22"/>
        </w:rPr>
        <w:t>current</w:t>
      </w:r>
      <w:r w:rsidRPr="002A50DC">
        <w:rPr>
          <w:rStyle w:val="Underline2Char"/>
          <w:rFonts w:eastAsiaTheme="majorEastAsia"/>
        </w:rPr>
        <w:t xml:space="preserve"> structure of American law but </w:t>
      </w:r>
      <w:r w:rsidRPr="002A5F51">
        <w:rPr>
          <w:rStyle w:val="Underline2Char"/>
          <w:rFonts w:eastAsiaTheme="majorEastAsia"/>
          <w:highlight w:val="green"/>
        </w:rPr>
        <w:t xml:space="preserve">focused on </w:t>
      </w:r>
      <w:r w:rsidRPr="002A50DC">
        <w:rPr>
          <w:rStyle w:val="Emphasis"/>
          <w:rFonts w:eastAsiaTheme="majorEastAsia"/>
          <w:szCs w:val="22"/>
        </w:rPr>
        <w:t xml:space="preserve">population-level </w:t>
      </w:r>
      <w:r w:rsidRPr="002A5F51">
        <w:rPr>
          <w:rStyle w:val="Emphasis"/>
          <w:rFonts w:eastAsiaTheme="majorEastAsia"/>
          <w:szCs w:val="22"/>
          <w:highlight w:val="green"/>
        </w:rPr>
        <w:t>conditions</w:t>
      </w:r>
      <w:r w:rsidRPr="002A50DC">
        <w:rPr>
          <w:rStyle w:val="Underline2Char"/>
          <w:rFonts w:eastAsiaTheme="majorEastAsia"/>
        </w:rPr>
        <w:t xml:space="preserve"> </w:t>
      </w:r>
      <w:r w:rsidRPr="002A5F51">
        <w:rPr>
          <w:rStyle w:val="Underline2Char"/>
          <w:rFonts w:eastAsiaTheme="majorEastAsia"/>
          <w:highlight w:val="green"/>
        </w:rPr>
        <w:t>of maldistribution</w:t>
      </w:r>
      <w:r w:rsidRPr="002A50DC">
        <w:rPr>
          <w:rStyle w:val="Underline2Char"/>
          <w:rFonts w:eastAsiaTheme="majorEastAsia"/>
        </w:rPr>
        <w:t>.</w:t>
      </w:r>
      <w:r w:rsidRPr="002A50DC">
        <w:rPr>
          <w:rFonts w:cs="Calibri"/>
          <w:sz w:val="8"/>
          <w:szCs w:val="22"/>
        </w:rPr>
        <w:t xml:space="preserve"> </w:t>
      </w:r>
      <w:r w:rsidRPr="002A50DC">
        <w:rPr>
          <w:rStyle w:val="StyleUnderline"/>
          <w:rFonts w:cs="Calibri"/>
          <w:szCs w:val="22"/>
        </w:rPr>
        <w:t>The demands</w:t>
      </w:r>
      <w:r w:rsidRPr="002A50DC">
        <w:rPr>
          <w:rFonts w:cs="Calibri"/>
          <w:sz w:val="8"/>
          <w:szCs w:val="22"/>
        </w:rPr>
        <w:t xml:space="preserve"> of the coalition </w:t>
      </w:r>
      <w:r w:rsidRPr="002A50DC">
        <w:rPr>
          <w:rStyle w:val="StyleUnderline"/>
          <w:rFonts w:cs="Calibri"/>
          <w:szCs w:val="22"/>
        </w:rPr>
        <w:t xml:space="preserve">include </w:t>
      </w:r>
      <w:r w:rsidRPr="002A5F51">
        <w:rPr>
          <w:rStyle w:val="StyleUnderline"/>
          <w:rFonts w:cs="Calibri"/>
          <w:szCs w:val="22"/>
          <w:highlight w:val="green"/>
        </w:rPr>
        <w:t>stopping</w:t>
      </w:r>
      <w:r w:rsidRPr="002A50DC">
        <w:rPr>
          <w:rStyle w:val="StyleUnderline"/>
          <w:rFonts w:cs="Calibri"/>
          <w:szCs w:val="22"/>
        </w:rPr>
        <w:t xml:space="preserve"> all gang injunctions and police </w:t>
      </w:r>
      <w:r w:rsidRPr="002A5F51">
        <w:rPr>
          <w:rStyle w:val="StyleUnderline"/>
          <w:rFonts w:cs="Calibri"/>
          <w:szCs w:val="22"/>
          <w:highlight w:val="green"/>
        </w:rPr>
        <w:t>violence</w:t>
      </w:r>
      <w:r w:rsidRPr="002A50DC">
        <w:rPr>
          <w:rStyle w:val="StyleUnderline"/>
          <w:rFonts w:cs="Calibri"/>
          <w:szCs w:val="22"/>
        </w:rPr>
        <w:t xml:space="preserve">; putting resources toward reentry support and services for </w:t>
      </w:r>
      <w:r w:rsidRPr="002A50DC">
        <w:rPr>
          <w:rStyle w:val="StyleUnderline"/>
          <w:rFonts w:cs="Calibri"/>
          <w:sz w:val="8"/>
          <w:szCs w:val="22"/>
        </w:rPr>
        <w:t>people returning from prison, including fully funded and immediate access to identity documents, housing, job training, drug and alcohol treatment, and education; banning employers from asking about prior convictions on job applications; ending curfews for people on parole and probation; repealing California’s three-strikes law; reallocating funds from prison construction to education; ending all collaborations between Oakland’s government and</w:t>
      </w:r>
      <w:r w:rsidRPr="002A50DC">
        <w:rPr>
          <w:rFonts w:cs="Calibri"/>
          <w:sz w:val="8"/>
          <w:szCs w:val="22"/>
        </w:rPr>
        <w:t xml:space="preserve"> Immigration and Customs Enforcement (</w:t>
      </w:r>
      <w:r w:rsidRPr="002A50DC">
        <w:rPr>
          <w:rStyle w:val="StyleUnderline"/>
          <w:rFonts w:cs="Calibri"/>
          <w:szCs w:val="22"/>
        </w:rPr>
        <w:t>ICE</w:t>
      </w:r>
      <w:r w:rsidRPr="002A50DC">
        <w:rPr>
          <w:rFonts w:cs="Calibri"/>
          <w:sz w:val="8"/>
          <w:szCs w:val="22"/>
        </w:rPr>
        <w:t xml:space="preserve">); </w:t>
      </w:r>
      <w:r w:rsidRPr="002A50DC">
        <w:rPr>
          <w:rStyle w:val="StyleUnderline"/>
          <w:rFonts w:cs="Calibri"/>
          <w:szCs w:val="22"/>
        </w:rPr>
        <w:t>providing affordable and low-income housing</w:t>
      </w:r>
      <w:r w:rsidRPr="002A50DC">
        <w:rPr>
          <w:rFonts w:cs="Calibri"/>
          <w:sz w:val="8"/>
          <w:szCs w:val="22"/>
        </w:rPr>
        <w:t xml:space="preserve">; making Oakland’s Planning Commission accountable regarding environmental impacts of development; </w:t>
      </w:r>
      <w:r w:rsidRPr="002A50DC">
        <w:rPr>
          <w:rStyle w:val="StyleUnderline"/>
          <w:rFonts w:cs="Calibri"/>
          <w:sz w:val="8"/>
          <w:szCs w:val="22"/>
        </w:rPr>
        <w:t>ending gentrification; and increasing the accountability of Oakland’s city government while augmenting decision-making power for Oakland residents (Stop the Injunctions 2011). These demands evince an analysis of conditions facing vulnerable communities in Oakland</w:t>
      </w:r>
      <w:r w:rsidRPr="002A50DC">
        <w:rPr>
          <w:rFonts w:cs="Calibri"/>
          <w:sz w:val="8"/>
          <w:szCs w:val="22"/>
        </w:rPr>
        <w:t xml:space="preserve"> (and beyond) that cannot be resolved solely through legal reform since they include the significant harm inflicted when administrative bodies like ICE and the Planning Commission implement violent programs under the guise of neutral rationales. </w:t>
      </w:r>
      <w:r w:rsidRPr="002A50DC">
        <w:rPr>
          <w:rStyle w:val="StyleUnderline"/>
          <w:rFonts w:cs="Calibri"/>
          <w:szCs w:val="22"/>
        </w:rPr>
        <w:t>These demands</w:t>
      </w:r>
      <w:r w:rsidRPr="002A50DC">
        <w:rPr>
          <w:rFonts w:cs="Calibri"/>
          <w:sz w:val="8"/>
          <w:szCs w:val="22"/>
        </w:rPr>
        <w:t xml:space="preserve"> also </w:t>
      </w:r>
      <w:r w:rsidRPr="002A50DC">
        <w:rPr>
          <w:rStyle w:val="StyleUnderline"/>
          <w:rFonts w:cs="Calibri"/>
          <w:szCs w:val="22"/>
        </w:rPr>
        <w:t>demonstrate an intersectional analysis of harm</w:t>
      </w:r>
      <w:r w:rsidRPr="002A50DC">
        <w:rPr>
          <w:rFonts w:cs="Calibri"/>
          <w:sz w:val="8"/>
          <w:szCs w:val="22"/>
        </w:rPr>
        <w:t xml:space="preserve">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2A50DC">
        <w:rPr>
          <w:rFonts w:cs="Calibri"/>
          <w:sz w:val="8"/>
          <w:szCs w:val="22"/>
        </w:rPr>
        <w:t>criticized.¶</w:t>
      </w:r>
      <w:proofErr w:type="gramEnd"/>
      <w:r w:rsidRPr="002A50DC">
        <w:rPr>
          <w:rFonts w:cs="Calibri"/>
          <w:sz w:val="8"/>
          <w:szCs w:val="22"/>
        </w:rPr>
        <w:t xml:space="preserve"> </w:t>
      </w:r>
      <w:r w:rsidRPr="002A50DC">
        <w:rPr>
          <w:rStyle w:val="StyleUnderline"/>
          <w:rFonts w:cs="Calibri"/>
          <w:szCs w:val="22"/>
        </w:rPr>
        <w:t xml:space="preserve">Another example of intersectional activism </w:t>
      </w:r>
      <w:r w:rsidRPr="002A50DC">
        <w:rPr>
          <w:rStyle w:val="Emphasis"/>
          <w:rFonts w:eastAsiaTheme="majorEastAsia"/>
          <w:szCs w:val="22"/>
        </w:rPr>
        <w:t>utilizing law reform without falling into the traps of legal equality</w:t>
      </w:r>
      <w:r w:rsidRPr="002A50DC">
        <w:rPr>
          <w:rStyle w:val="Underline2Char"/>
          <w:rFonts w:eastAsiaTheme="majorEastAsia"/>
        </w:rPr>
        <w:t xml:space="preserve"> is</w:t>
      </w:r>
      <w:r w:rsidRPr="002A50DC">
        <w:rPr>
          <w:rStyle w:val="StyleUnderline"/>
          <w:rFonts w:cs="Calibri"/>
          <w:szCs w:val="22"/>
        </w:rPr>
        <w:t xml:space="preserve"> </w:t>
      </w:r>
      <w:r w:rsidRPr="002A50DC">
        <w:rPr>
          <w:rStyle w:val="StyleUnderline"/>
          <w:rFonts w:cs="Calibri"/>
          <w:sz w:val="8"/>
          <w:szCs w:val="22"/>
        </w:rPr>
        <w:t>activism against the immigration enforcement program Secure Communities</w:t>
      </w:r>
      <w:r w:rsidRPr="002A50DC">
        <w:rPr>
          <w:rFonts w:cs="Calibri"/>
          <w:sz w:val="8"/>
          <w:szCs w:val="22"/>
        </w:rPr>
        <w:t xml:space="preserve">. </w:t>
      </w:r>
      <w:r w:rsidRPr="002A50DC">
        <w:rPr>
          <w:rStyle w:val="StyleUnderline"/>
          <w:rFonts w:cs="Calibri"/>
          <w:sz w:val="8"/>
          <w:szCs w:val="22"/>
        </w:rPr>
        <w:t>Secure Communities is a federal program in which participating jurisdictions submit the fingerprints of arrestees to federal databases for an immigration check</w:t>
      </w:r>
      <w:r w:rsidRPr="002A50DC">
        <w:rPr>
          <w:rFonts w:cs="Calibri"/>
          <w:sz w:val="8"/>
          <w:szCs w:val="22"/>
        </w:rPr>
        <w:t xml:space="preserve">. As of October 2010, 686 jurisdictions in thirty-three states were participating.12 </w:t>
      </w:r>
      <w:r w:rsidRPr="002A50DC">
        <w:rPr>
          <w:rStyle w:val="StyleUnderline"/>
          <w:rFonts w:cs="Calibri"/>
          <w:szCs w:val="22"/>
        </w:rPr>
        <w:t>Diverse coalitions of activists and organizations around the U</w:t>
      </w:r>
      <w:r w:rsidRPr="002A50DC">
        <w:rPr>
          <w:rFonts w:cs="Calibri"/>
          <w:sz w:val="8"/>
          <w:szCs w:val="22"/>
        </w:rPr>
        <w:t xml:space="preserve">nited </w:t>
      </w:r>
      <w:r w:rsidRPr="002A50DC">
        <w:rPr>
          <w:rStyle w:val="StyleUnderline"/>
          <w:rFonts w:cs="Calibri"/>
          <w:szCs w:val="22"/>
        </w:rPr>
        <w:t>S</w:t>
      </w:r>
      <w:r w:rsidRPr="002A50DC">
        <w:rPr>
          <w:rFonts w:cs="Calibri"/>
          <w:sz w:val="8"/>
          <w:szCs w:val="22"/>
        </w:rPr>
        <w:t xml:space="preserve">tates </w:t>
      </w:r>
      <w:r w:rsidRPr="002A50DC">
        <w:rPr>
          <w:rStyle w:val="StyleUnderline"/>
          <w:rFonts w:cs="Calibri"/>
          <w:szCs w:val="22"/>
        </w:rPr>
        <w:t>launched organizing campaigns to push their jurisdictions to refuse to participate</w:t>
      </w:r>
      <w:r w:rsidRPr="002A50DC">
        <w:rPr>
          <w:rFonts w:cs="Calibri"/>
          <w:sz w:val="8"/>
          <w:szCs w:val="22"/>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2A50DC">
        <w:rPr>
          <w:rStyle w:val="StyleUnderline"/>
          <w:rFonts w:cs="Calibri"/>
          <w:sz w:val="8"/>
          <w:szCs w:val="22"/>
        </w:rPr>
        <w:t>Their advocacy has rejected deservingness narratives that push the conversation toward reform for “good, noncriminal” immigrants</w:t>
      </w:r>
      <w:r w:rsidRPr="002A50DC">
        <w:rPr>
          <w:rFonts w:cs="Calibri"/>
          <w:sz w:val="8"/>
          <w:szCs w:val="22"/>
        </w:rPr>
        <w:t xml:space="preserve">. </w:t>
      </w:r>
      <w:r w:rsidRPr="002A50DC">
        <w:rPr>
          <w:rStyle w:val="StyleUnderline"/>
          <w:rFonts w:cs="Calibri"/>
          <w:sz w:val="8"/>
          <w:szCs w:val="22"/>
        </w:rPr>
        <w:t>These advocates have</w:t>
      </w:r>
      <w:r w:rsidRPr="002A50DC">
        <w:rPr>
          <w:rStyle w:val="StyleUnderline"/>
          <w:rFonts w:cs="Calibri"/>
          <w:szCs w:val="22"/>
        </w:rPr>
        <w:t xml:space="preserve"> </w:t>
      </w:r>
      <w:r w:rsidRPr="002A50DC">
        <w:rPr>
          <w:rStyle w:val="Underline2Char"/>
          <w:rFonts w:eastAsiaTheme="majorEastAsia"/>
        </w:rPr>
        <w:t>won significant victories, convincing</w:t>
      </w:r>
      <w:r w:rsidRPr="002A50DC">
        <w:rPr>
          <w:rStyle w:val="StyleUnderline"/>
          <w:rFonts w:cs="Calibri"/>
          <w:szCs w:val="22"/>
        </w:rPr>
        <w:t xml:space="preserve"> </w:t>
      </w:r>
      <w:r w:rsidRPr="002A50DC">
        <w:rPr>
          <w:rFonts w:cs="Calibri"/>
          <w:sz w:val="8"/>
          <w:szCs w:val="22"/>
        </w:rPr>
        <w:t xml:space="preserve">certain </w:t>
      </w:r>
      <w:r w:rsidRPr="002A50DC">
        <w:rPr>
          <w:rStyle w:val="Underline2Char"/>
          <w:rFonts w:eastAsiaTheme="majorEastAsia"/>
        </w:rPr>
        <w:t xml:space="preserve">jurisdictions to refuse to participate and increasing understanding of the intersecting </w:t>
      </w:r>
      <w:proofErr w:type="spellStart"/>
      <w:r w:rsidRPr="002A50DC">
        <w:rPr>
          <w:rStyle w:val="Underline2Char"/>
          <w:rFonts w:eastAsiaTheme="majorEastAsia"/>
        </w:rPr>
        <w:t>violences</w:t>
      </w:r>
      <w:proofErr w:type="spellEnd"/>
      <w:r w:rsidRPr="002A50DC">
        <w:rPr>
          <w:rStyle w:val="StyleUnderline"/>
          <w:rFonts w:cs="Calibri"/>
          <w:szCs w:val="22"/>
        </w:rPr>
        <w:t xml:space="preserve"> of criminal punishment and immigration enforcement</w:t>
      </w:r>
      <w:r w:rsidRPr="002A50DC">
        <w:rPr>
          <w:rFonts w:cs="Calibri"/>
          <w:sz w:val="8"/>
          <w:szCs w:val="22"/>
        </w:rPr>
        <w:t xml:space="preserve">.13 </w:t>
      </w:r>
      <w:r w:rsidRPr="002A50DC">
        <w:rPr>
          <w:rStyle w:val="StyleUnderline"/>
          <w:rFonts w:cs="Calibri"/>
          <w:szCs w:val="22"/>
        </w:rPr>
        <w:t>This work</w:t>
      </w:r>
      <w:r w:rsidRPr="002A50DC">
        <w:rPr>
          <w:rFonts w:cs="Calibri"/>
          <w:sz w:val="8"/>
          <w:szCs w:val="22"/>
        </w:rPr>
        <w:t xml:space="preserve"> also </w:t>
      </w:r>
      <w:r w:rsidRPr="002A50DC">
        <w:rPr>
          <w:rStyle w:val="StyleUnderline"/>
          <w:rFonts w:cs="Calibri"/>
          <w:szCs w:val="22"/>
        </w:rPr>
        <w:t>avoids the danger of expanding and legitimizing harmful systems that other legal reform work can present. It is focused on reducing, dismantling, and preventing the expansion of harmful systems</w:t>
      </w:r>
      <w:r w:rsidRPr="002A50DC">
        <w:rPr>
          <w:rFonts w:cs="Calibri"/>
          <w:sz w:val="8"/>
          <w:szCs w:val="22"/>
        </w:rPr>
        <w:t xml:space="preserve">.14¶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w:t>
      </w:r>
      <w:r w:rsidRPr="002A50DC">
        <w:rPr>
          <w:rFonts w:cs="Calibri"/>
          <w:sz w:val="8"/>
          <w:szCs w:val="22"/>
        </w:rPr>
        <w:lastRenderedPageBreak/>
        <w:t xml:space="preserve">avoided and rejected. However, </w:t>
      </w:r>
      <w:r w:rsidRPr="002A5F51">
        <w:rPr>
          <w:rStyle w:val="StyleUnderline"/>
          <w:rFonts w:cs="Calibri"/>
          <w:szCs w:val="22"/>
          <w:highlight w:val="green"/>
        </w:rPr>
        <w:t>these examples are</w:t>
      </w:r>
      <w:r w:rsidRPr="002A50DC">
        <w:rPr>
          <w:rStyle w:val="StyleUnderline"/>
          <w:rFonts w:cs="Calibri"/>
          <w:szCs w:val="22"/>
        </w:rPr>
        <w:t xml:space="preserve"> indicative of </w:t>
      </w:r>
      <w:r w:rsidRPr="002A5F51">
        <w:rPr>
          <w:rStyle w:val="Emphasis"/>
          <w:rFonts w:eastAsiaTheme="majorEastAsia"/>
          <w:szCs w:val="22"/>
          <w:highlight w:val="green"/>
        </w:rPr>
        <w:t>resistance</w:t>
      </w:r>
      <w:r w:rsidRPr="002A50DC">
        <w:rPr>
          <w:rStyle w:val="StyleUnderline"/>
          <w:rFonts w:cs="Calibri"/>
          <w:szCs w:val="22"/>
        </w:rPr>
        <w:t xml:space="preserve"> to limitations of legal equality</w:t>
      </w:r>
      <w:r w:rsidRPr="002A50DC">
        <w:rPr>
          <w:rFonts w:cs="Calibri"/>
          <w:sz w:val="8"/>
          <w:szCs w:val="22"/>
        </w:rPr>
        <w:t xml:space="preserve"> or rights </w:t>
      </w:r>
      <w:r w:rsidRPr="002A50DC">
        <w:rPr>
          <w:rStyle w:val="StyleUnderline"/>
          <w:rFonts w:cs="Calibri"/>
          <w:szCs w:val="22"/>
        </w:rPr>
        <w:t xml:space="preserve">strategies. </w:t>
      </w:r>
      <w:r w:rsidRPr="002A5F51">
        <w:rPr>
          <w:rStyle w:val="StyleUnderline"/>
          <w:rFonts w:cs="Calibri"/>
          <w:szCs w:val="22"/>
          <w:highlight w:val="green"/>
        </w:rPr>
        <w:t>These</w:t>
      </w:r>
      <w:r w:rsidRPr="002A50DC">
        <w:rPr>
          <w:rStyle w:val="StyleUnderline"/>
          <w:rFonts w:cs="Calibri"/>
          <w:szCs w:val="22"/>
        </w:rPr>
        <w:t xml:space="preserve"> demands </w:t>
      </w:r>
      <w:r w:rsidRPr="002A5F51">
        <w:rPr>
          <w:rStyle w:val="Emphasis"/>
          <w:rFonts w:eastAsiaTheme="majorEastAsia"/>
          <w:szCs w:val="22"/>
          <w:highlight w:val="green"/>
        </w:rPr>
        <w:t>exceed</w:t>
      </w:r>
      <w:r w:rsidRPr="002A5F51">
        <w:rPr>
          <w:rStyle w:val="StyleUnderline"/>
          <w:rFonts w:cs="Calibri"/>
          <w:szCs w:val="22"/>
          <w:highlight w:val="green"/>
        </w:rPr>
        <w:t xml:space="preserve"> what the law recognizes as </w:t>
      </w:r>
      <w:r w:rsidRPr="002A5F51">
        <w:rPr>
          <w:rStyle w:val="Emphasis"/>
          <w:rFonts w:eastAsiaTheme="majorEastAsia"/>
          <w:szCs w:val="22"/>
          <w:highlight w:val="green"/>
        </w:rPr>
        <w:t>viable</w:t>
      </w:r>
      <w:r w:rsidRPr="002A50DC">
        <w:rPr>
          <w:rStyle w:val="Emphasis"/>
          <w:rFonts w:eastAsiaTheme="majorEastAsia"/>
          <w:szCs w:val="22"/>
        </w:rPr>
        <w:t xml:space="preserve"> claims</w:t>
      </w:r>
      <w:r w:rsidRPr="002A50DC">
        <w:rPr>
          <w:rStyle w:val="StyleUnderline"/>
          <w:rFonts w:cs="Calibri"/>
          <w:szCs w:val="22"/>
        </w:rPr>
        <w:t>.</w:t>
      </w:r>
      <w:r w:rsidRPr="002A50DC">
        <w:rPr>
          <w:rFonts w:cs="Calibri"/>
          <w:sz w:val="8"/>
          <w:szCs w:val="22"/>
        </w:rPr>
        <w:t xml:space="preserve"> </w:t>
      </w:r>
      <w:r w:rsidRPr="002A50DC">
        <w:rPr>
          <w:rStyle w:val="StyleUnderline"/>
          <w:rFonts w:cs="Calibri"/>
          <w:szCs w:val="22"/>
        </w:rPr>
        <w:t xml:space="preserve">These campaigns suggest that those who argue that a politics based on intersectional analysis is too broad, idealistic, complex, or impossible—or that it eliminates effective immediate avenues for resistance—are </w:t>
      </w:r>
      <w:r w:rsidRPr="002A50DC">
        <w:rPr>
          <w:rStyle w:val="Emphasis"/>
          <w:rFonts w:eastAsiaTheme="majorEastAsia"/>
          <w:szCs w:val="22"/>
        </w:rPr>
        <w:t>mistaken</w:t>
      </w:r>
      <w:r w:rsidRPr="002A50DC">
        <w:rPr>
          <w:rFonts w:cs="Calibri"/>
          <w:sz w:val="8"/>
          <w:szCs w:val="22"/>
        </w:rPr>
        <w:t xml:space="preserve">. </w:t>
      </w:r>
      <w:r w:rsidRPr="002A50DC">
        <w:rPr>
          <w:rStyle w:val="Underline2Char"/>
          <w:rFonts w:eastAsiaTheme="majorEastAsia"/>
        </w:rPr>
        <w:t xml:space="preserve">Critical political engagements are </w:t>
      </w:r>
      <w:r w:rsidRPr="002A50DC">
        <w:rPr>
          <w:rStyle w:val="Emphasis"/>
          <w:rFonts w:eastAsiaTheme="majorEastAsia"/>
          <w:szCs w:val="22"/>
        </w:rPr>
        <w:t>resisting the pitfalls of rights discourse</w:t>
      </w:r>
      <w:r w:rsidRPr="002A50DC">
        <w:rPr>
          <w:rStyle w:val="StyleUnderline"/>
          <w:rFonts w:cs="Calibri"/>
          <w:szCs w:val="22"/>
        </w:rPr>
        <w:t xml:space="preserve"> and </w:t>
      </w:r>
      <w:r w:rsidRPr="002A5F51">
        <w:rPr>
          <w:rStyle w:val="StyleUnderline"/>
          <w:rFonts w:cs="Calibri"/>
          <w:szCs w:val="22"/>
          <w:highlight w:val="green"/>
        </w:rPr>
        <w:t xml:space="preserve">seeking </w:t>
      </w:r>
      <w:r w:rsidRPr="002A50DC">
        <w:rPr>
          <w:rStyle w:val="StyleUnderline"/>
          <w:rFonts w:cs="Calibri"/>
          <w:szCs w:val="22"/>
        </w:rPr>
        <w:t xml:space="preserve">to build </w:t>
      </w:r>
      <w:r w:rsidRPr="002A50DC">
        <w:rPr>
          <w:rStyle w:val="Emphasis"/>
          <w:rFonts w:eastAsiaTheme="majorEastAsia"/>
          <w:szCs w:val="22"/>
        </w:rPr>
        <w:t>broad-based resistance formations</w:t>
      </w:r>
      <w:r w:rsidRPr="002A50DC">
        <w:rPr>
          <w:rStyle w:val="StyleUnderline"/>
          <w:rFonts w:cs="Calibri"/>
          <w:szCs w:val="22"/>
        </w:rPr>
        <w:t xml:space="preserve"> made up of constituencies that come from a variety of vulnerable subpopulations but find </w:t>
      </w:r>
      <w:r w:rsidRPr="002A50DC">
        <w:rPr>
          <w:rStyle w:val="Emphasis"/>
          <w:rFonts w:eastAsiaTheme="majorEastAsia"/>
          <w:szCs w:val="22"/>
        </w:rPr>
        <w:t>common cause</w:t>
      </w:r>
      <w:r w:rsidRPr="002A50DC">
        <w:rPr>
          <w:rStyle w:val="StyleUnderline"/>
          <w:rFonts w:cs="Calibri"/>
          <w:szCs w:val="22"/>
        </w:rPr>
        <w:t xml:space="preserve"> in </w:t>
      </w:r>
      <w:r w:rsidRPr="002A50DC">
        <w:rPr>
          <w:rStyle w:val="StyleUnderline"/>
          <w:rFonts w:cs="Calibri"/>
          <w:sz w:val="8"/>
          <w:szCs w:val="22"/>
        </w:rPr>
        <w:t>concerns about criminalization, immigration, poverty, colonialism, militarism, and other urgent conditions</w:t>
      </w:r>
      <w:r w:rsidRPr="002A50DC">
        <w:rPr>
          <w:rFonts w:cs="Calibri"/>
          <w:sz w:val="8"/>
          <w:szCs w:val="22"/>
        </w:rPr>
        <w:t xml:space="preserve">. </w:t>
      </w:r>
      <w:r w:rsidRPr="002A50DC">
        <w:rPr>
          <w:rStyle w:val="StyleUnderline"/>
          <w:rFonts w:cs="Calibri"/>
          <w:sz w:val="8"/>
          <w:szCs w:val="22"/>
        </w:rPr>
        <w:t>Their targets are</w:t>
      </w:r>
      <w:r w:rsidRPr="002A50DC">
        <w:rPr>
          <w:rStyle w:val="StyleUnderline"/>
          <w:rFonts w:cs="Calibri"/>
          <w:szCs w:val="22"/>
        </w:rPr>
        <w:t xml:space="preserve"> </w:t>
      </w:r>
      <w:r w:rsidRPr="002A50DC">
        <w:rPr>
          <w:rStyle w:val="Emphasis"/>
          <w:rFonts w:eastAsiaTheme="majorEastAsia"/>
          <w:szCs w:val="22"/>
        </w:rPr>
        <w:t>administrative systems</w:t>
      </w:r>
      <w:r w:rsidRPr="002A50DC">
        <w:rPr>
          <w:rStyle w:val="Underline2Char"/>
          <w:rFonts w:eastAsiaTheme="majorEastAsia"/>
        </w:rPr>
        <w:t xml:space="preserve"> and </w:t>
      </w:r>
      <w:r w:rsidRPr="002A50DC">
        <w:rPr>
          <w:rStyle w:val="Emphasis"/>
          <w:rFonts w:eastAsiaTheme="majorEastAsia"/>
          <w:szCs w:val="22"/>
        </w:rPr>
        <w:t>law enforcement mechanisms</w:t>
      </w:r>
      <w:r w:rsidRPr="002A50DC">
        <w:rPr>
          <w:rStyle w:val="StyleUnderline"/>
          <w:rFonts w:cs="Calibri"/>
          <w:szCs w:val="22"/>
        </w:rPr>
        <w:t xml:space="preserve"> that are </w:t>
      </w:r>
      <w:r w:rsidRPr="002A50DC">
        <w:rPr>
          <w:rStyle w:val="Emphasis"/>
          <w:rFonts w:eastAsiaTheme="majorEastAsia"/>
          <w:szCs w:val="22"/>
        </w:rPr>
        <w:t>nodes of distribution</w:t>
      </w:r>
      <w:r w:rsidRPr="002A50DC">
        <w:rPr>
          <w:rStyle w:val="StyleUnderline"/>
          <w:rFonts w:cs="Calibri"/>
          <w:szCs w:val="22"/>
        </w:rPr>
        <w:t xml:space="preserve"> for racialized-gendered harm and violence, and</w:t>
      </w:r>
      <w:r w:rsidRPr="002A50DC">
        <w:rPr>
          <w:rStyle w:val="Underline2Char"/>
          <w:rFonts w:eastAsiaTheme="majorEastAsia"/>
        </w:rPr>
        <w:t xml:space="preserve"> </w:t>
      </w:r>
      <w:r w:rsidRPr="002A50DC">
        <w:rPr>
          <w:rStyle w:val="Emphasis"/>
          <w:rFonts w:eastAsiaTheme="majorEastAsia"/>
          <w:szCs w:val="22"/>
        </w:rPr>
        <w:t xml:space="preserve">their </w:t>
      </w:r>
      <w:r w:rsidRPr="002A5F51">
        <w:rPr>
          <w:rStyle w:val="Emphasis"/>
          <w:rFonts w:eastAsiaTheme="majorEastAsia"/>
          <w:szCs w:val="22"/>
          <w:highlight w:val="green"/>
        </w:rPr>
        <w:t>tactics seek</w:t>
      </w:r>
      <w:r w:rsidRPr="002A5F51">
        <w:rPr>
          <w:rStyle w:val="Underline2Char"/>
          <w:rFonts w:eastAsiaTheme="majorEastAsia"/>
          <w:highlight w:val="green"/>
        </w:rPr>
        <w:t xml:space="preserve"> </w:t>
      </w:r>
      <w:r w:rsidRPr="002A5F51">
        <w:rPr>
          <w:rStyle w:val="Emphasis"/>
          <w:rFonts w:eastAsiaTheme="majorEastAsia"/>
          <w:szCs w:val="22"/>
          <w:highlight w:val="green"/>
        </w:rPr>
        <w:t>material change</w:t>
      </w:r>
      <w:r w:rsidRPr="002A5F51">
        <w:rPr>
          <w:rStyle w:val="Underline2Char"/>
          <w:rFonts w:eastAsiaTheme="majorEastAsia"/>
          <w:highlight w:val="green"/>
        </w:rPr>
        <w:t xml:space="preserve"> </w:t>
      </w:r>
      <w:r w:rsidRPr="002A5F51">
        <w:rPr>
          <w:rStyle w:val="Emphasis"/>
          <w:rFonts w:eastAsiaTheme="majorEastAsia"/>
          <w:szCs w:val="22"/>
          <w:highlight w:val="green"/>
        </w:rPr>
        <w:t>in the lives of vulnerable populations rather than</w:t>
      </w:r>
      <w:r w:rsidRPr="002A5F51">
        <w:rPr>
          <w:rStyle w:val="Underline2Char"/>
          <w:rFonts w:eastAsiaTheme="majorEastAsia"/>
          <w:highlight w:val="green"/>
        </w:rPr>
        <w:t xml:space="preserve"> </w:t>
      </w:r>
      <w:r w:rsidRPr="002A5F51">
        <w:rPr>
          <w:rStyle w:val="Emphasis"/>
          <w:rFonts w:eastAsiaTheme="majorEastAsia"/>
          <w:szCs w:val="22"/>
          <w:highlight w:val="green"/>
        </w:rPr>
        <w:t>recognition</w:t>
      </w:r>
      <w:r w:rsidRPr="002A50DC">
        <w:rPr>
          <w:rStyle w:val="Emphasis"/>
          <w:rFonts w:eastAsiaTheme="majorEastAsia"/>
          <w:szCs w:val="22"/>
        </w:rPr>
        <w:t xml:space="preserve"> and formal inclusion</w:t>
      </w:r>
      <w:r w:rsidRPr="002A50DC">
        <w:rPr>
          <w:rStyle w:val="StyleUnderline"/>
          <w:rFonts w:cs="Calibri"/>
          <w:szCs w:val="22"/>
        </w:rPr>
        <w:t>.</w:t>
      </w:r>
      <w:r w:rsidRPr="002A50DC">
        <w:rPr>
          <w:rFonts w:cs="Calibri"/>
          <w:sz w:val="8"/>
          <w:szCs w:val="22"/>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5BB25FE0" w14:textId="6D721850" w:rsidR="006C61C7" w:rsidRPr="002A50DC" w:rsidRDefault="006C61C7" w:rsidP="006C61C7">
      <w:pPr>
        <w:pStyle w:val="Heading4"/>
        <w:rPr>
          <w:rFonts w:cs="Calibri"/>
          <w:b w:val="0"/>
        </w:rPr>
      </w:pPr>
      <w:r w:rsidRPr="002A50DC">
        <w:rPr>
          <w:rStyle w:val="Style13ptBold"/>
          <w:rFonts w:cs="Calibri"/>
          <w:b/>
        </w:rPr>
        <w:t>[</w:t>
      </w:r>
      <w:r>
        <w:rPr>
          <w:rStyle w:val="Style13ptBold"/>
          <w:rFonts w:cs="Calibri"/>
          <w:b/>
        </w:rPr>
        <w:t>5</w:t>
      </w:r>
      <w:r w:rsidRPr="002A50DC">
        <w:rPr>
          <w:rStyle w:val="Style13ptBold"/>
          <w:rFonts w:cs="Calibri"/>
          <w:b/>
        </w:rPr>
        <w:t xml:space="preserve">] Working within the state functions to expose hidden oppression and to fully understand the state – we’re a prerequisite to the </w:t>
      </w:r>
      <w:proofErr w:type="spellStart"/>
      <w:r w:rsidRPr="002A50DC">
        <w:rPr>
          <w:rStyle w:val="Style13ptBold"/>
          <w:rFonts w:cs="Calibri"/>
          <w:b/>
        </w:rPr>
        <w:t>kritik</w:t>
      </w:r>
      <w:proofErr w:type="spellEnd"/>
      <w:r w:rsidRPr="002A50DC">
        <w:rPr>
          <w:rStyle w:val="Style13ptBold"/>
          <w:rFonts w:cs="Calibri"/>
          <w:b/>
        </w:rPr>
        <w:t>.</w:t>
      </w:r>
    </w:p>
    <w:p w14:paraId="41AA4A56" w14:textId="30299F46" w:rsidR="00313845" w:rsidRPr="00313845" w:rsidRDefault="00313845" w:rsidP="00313845">
      <w:pPr>
        <w:pStyle w:val="Heading4"/>
      </w:pPr>
    </w:p>
    <w:sectPr w:rsidR="00313845" w:rsidRPr="003138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57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C3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45"/>
    <w:rsid w:val="0031385D"/>
    <w:rsid w:val="003171AB"/>
    <w:rsid w:val="003223B2"/>
    <w:rsid w:val="00322A67"/>
    <w:rsid w:val="00330E13"/>
    <w:rsid w:val="00331D3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509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1C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70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FD28E5"/>
  <w14:defaultImageDpi w14:val="300"/>
  <w15:docId w15:val="{F41AAD4B-9283-2340-BFBD-EDD37F67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570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A57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57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9A570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A57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57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701"/>
  </w:style>
  <w:style w:type="character" w:customStyle="1" w:styleId="Heading1Char">
    <w:name w:val="Heading 1 Char"/>
    <w:aliases w:val="Pocket Char"/>
    <w:basedOn w:val="DefaultParagraphFont"/>
    <w:link w:val="Heading1"/>
    <w:uiPriority w:val="9"/>
    <w:rsid w:val="009A57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570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9A5701"/>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A57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570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9A5701"/>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A570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A570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A5701"/>
    <w:rPr>
      <w:color w:val="auto"/>
      <w:u w:val="none"/>
    </w:rPr>
  </w:style>
  <w:style w:type="paragraph" w:styleId="DocumentMap">
    <w:name w:val="Document Map"/>
    <w:basedOn w:val="Normal"/>
    <w:link w:val="DocumentMapChar"/>
    <w:uiPriority w:val="99"/>
    <w:semiHidden/>
    <w:unhideWhenUsed/>
    <w:rsid w:val="009A57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570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9A57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A5701"/>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customStyle="1" w:styleId="card">
    <w:name w:val="card"/>
    <w:basedOn w:val="Normal"/>
    <w:next w:val="Normal"/>
    <w:link w:val="cardChar"/>
    <w:uiPriority w:val="6"/>
    <w:qFormat/>
    <w:rsid w:val="006C61C7"/>
    <w:pPr>
      <w:spacing w:after="0" w:line="240" w:lineRule="auto"/>
      <w:ind w:left="288" w:right="288"/>
    </w:pPr>
    <w:rPr>
      <w:rFonts w:eastAsia="Times New Roman" w:cs="Times New Roman"/>
      <w:szCs w:val="20"/>
    </w:rPr>
  </w:style>
  <w:style w:type="character" w:customStyle="1" w:styleId="cardChar">
    <w:name w:val="card Char"/>
    <w:basedOn w:val="DefaultParagraphFont"/>
    <w:link w:val="card"/>
    <w:uiPriority w:val="6"/>
    <w:rsid w:val="006C61C7"/>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6C61C7"/>
    <w:rPr>
      <w:rFonts w:eastAsiaTheme="minorHAnsi"/>
      <w:b/>
      <w:szCs w:val="22"/>
      <w:u w:val="single"/>
    </w:rPr>
  </w:style>
  <w:style w:type="character" w:customStyle="1" w:styleId="Underline2Char">
    <w:name w:val="Underline2 Char"/>
    <w:basedOn w:val="DefaultParagraphFont"/>
    <w:link w:val="Underline2"/>
    <w:uiPriority w:val="4"/>
    <w:rsid w:val="006C61C7"/>
    <w:rPr>
      <w:rFonts w:ascii="Calibri" w:eastAsiaTheme="minorHAnsi" w:hAnsi="Calibri" w:cs="Calibri"/>
      <w:b/>
      <w:sz w:val="1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customXml" Target="../customXml/item3.xml"/><Relationship Id="rId21" Type="http://schemas.openxmlformats.org/officeDocument/2006/relationships/hyperlink" Target="https://www.foreignaffairs.com/articles/china/1995-05-01/democratization-and-war"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digitalcommons.wcl.american.edu/cgi/viewcontent.cgi?referer=https://www.google.com/&amp;httpsredir=1&amp;article=1047&amp;context=lelb"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9902</Words>
  <Characters>56443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2021-10-30T18:06:00Z</dcterms:created>
  <dcterms:modified xsi:type="dcterms:W3CDTF">2021-10-30T20:08:00Z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