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A62B1" w14:textId="77777777" w:rsidR="00244A57" w:rsidRDefault="00244A57" w:rsidP="00244A57">
      <w:pPr>
        <w:pStyle w:val="Heading3"/>
      </w:pPr>
      <w:bookmarkStart w:id="0" w:name="_Hlk93071916"/>
      <w:r>
        <w:t>1AC – Framework</w:t>
      </w:r>
    </w:p>
    <w:p w14:paraId="33A8F6C5" w14:textId="77777777" w:rsidR="00244A57" w:rsidRPr="0094014A" w:rsidRDefault="00244A57" w:rsidP="00244A57">
      <w:pPr>
        <w:pStyle w:val="Heading4"/>
        <w:rPr>
          <w:rFonts w:cs="Calibri"/>
        </w:rPr>
      </w:pPr>
      <w:r w:rsidRPr="005F04F4">
        <w:rPr>
          <w:rFonts w:cs="Calibri"/>
        </w:rPr>
        <w:t>Agents must be practical reasoners –  </w:t>
      </w:r>
    </w:p>
    <w:p w14:paraId="740FAE91" w14:textId="77777777" w:rsidR="00244A57" w:rsidRPr="00557A09" w:rsidRDefault="00244A57" w:rsidP="00244A57"/>
    <w:p w14:paraId="18A8EA10" w14:textId="77777777" w:rsidR="00244A57" w:rsidRDefault="00244A57" w:rsidP="00244A57">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328252E" w14:textId="77777777" w:rsidR="00244A57" w:rsidRPr="008D5108" w:rsidRDefault="00244A57" w:rsidP="00244A57"/>
    <w:p w14:paraId="5627267C" w14:textId="77777777" w:rsidR="00244A57" w:rsidRPr="00D728DC" w:rsidRDefault="00244A57" w:rsidP="00244A57">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36FC358B" w14:textId="77777777" w:rsidR="00244A57" w:rsidRPr="008D5108" w:rsidRDefault="00244A57" w:rsidP="00244A57"/>
    <w:p w14:paraId="049EEED1" w14:textId="77777777" w:rsidR="00244A57" w:rsidRPr="005F04F4" w:rsidRDefault="00244A57" w:rsidP="00244A57">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603C68D1" w14:textId="77777777" w:rsidR="00244A57" w:rsidRDefault="00244A57" w:rsidP="00244A57">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088E102B" w14:textId="77777777" w:rsidR="00244A57" w:rsidRDefault="00244A57" w:rsidP="00244A57">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4D0EE6DC" w14:textId="77777777" w:rsidR="00244A57" w:rsidRPr="008D5108" w:rsidRDefault="00244A57" w:rsidP="00244A57">
      <w:pPr>
        <w:spacing w:after="120"/>
        <w:rPr>
          <w:sz w:val="16"/>
        </w:rPr>
      </w:pPr>
    </w:p>
    <w:p w14:paraId="4FBB6A53" w14:textId="77777777" w:rsidR="00244A57" w:rsidRPr="008D5108" w:rsidRDefault="00244A57" w:rsidP="00244A57">
      <w:pPr>
        <w:pStyle w:val="Heading4"/>
        <w:rPr>
          <w:bCs/>
        </w:rPr>
      </w:pPr>
      <w:r>
        <w:t xml:space="preserve">[4] </w:t>
      </w:r>
      <w:r w:rsidRPr="00A234B5">
        <w:rPr>
          <w:u w:val="single"/>
        </w:rPr>
        <w:t>Epistemology</w:t>
      </w:r>
      <w:r w:rsidRPr="005F04F4">
        <w:t xml:space="preserve"> – ethics must begin a priori, meaning they can’t be derived from our experience. </w:t>
      </w:r>
    </w:p>
    <w:p w14:paraId="63EADB46" w14:textId="77777777" w:rsidR="00244A57" w:rsidRPr="008D5108" w:rsidRDefault="00244A57" w:rsidP="00244A57">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43EB0690" w14:textId="77777777" w:rsidR="00244A57" w:rsidRPr="007A30D9" w:rsidRDefault="00244A57" w:rsidP="00244A57">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2A679F00" w14:textId="77777777" w:rsidR="00244A57" w:rsidRPr="005F04F4" w:rsidRDefault="00244A57" w:rsidP="00244A57"/>
    <w:p w14:paraId="644B90EC" w14:textId="77777777" w:rsidR="00244A57" w:rsidRDefault="00244A57" w:rsidP="00244A57">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4203AA57" w14:textId="77777777" w:rsidR="00244A57" w:rsidRPr="005F04F4" w:rsidRDefault="00244A57" w:rsidP="00244A57"/>
    <w:p w14:paraId="21AAA812" w14:textId="77777777" w:rsidR="00244A57" w:rsidRPr="005F04F4" w:rsidRDefault="00244A57" w:rsidP="00244A57">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2AFE7390" w14:textId="77777777" w:rsidR="00244A57" w:rsidRPr="005F04F4" w:rsidRDefault="00244A57" w:rsidP="00244A57"/>
    <w:p w14:paraId="7EA4178D" w14:textId="77777777" w:rsidR="00244A57" w:rsidRPr="001C6C52" w:rsidRDefault="00244A57" w:rsidP="00244A57">
      <w:pPr>
        <w:pStyle w:val="Heading4"/>
        <w:rPr>
          <w:rFonts w:cs="Calibri"/>
        </w:rPr>
      </w:pPr>
      <w:r w:rsidRPr="005F04F4">
        <w:rPr>
          <w:rFonts w:cs="Calibri"/>
        </w:rPr>
        <w:t xml:space="preserve">Impact calc – </w:t>
      </w:r>
    </w:p>
    <w:p w14:paraId="78287DEC" w14:textId="77777777" w:rsidR="00244A57" w:rsidRPr="005F04F4" w:rsidRDefault="00244A57" w:rsidP="00244A57">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4473B0C2" w14:textId="77777777" w:rsidR="00244A57" w:rsidRPr="00C32E73" w:rsidRDefault="00244A57" w:rsidP="00244A57">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2550DD37" w14:textId="77777777" w:rsidR="00244A57" w:rsidRDefault="00244A57" w:rsidP="00244A57">
      <w:pPr>
        <w:pStyle w:val="Heading3"/>
      </w:pPr>
      <w:bookmarkStart w:id="1" w:name="_Hlk93071925"/>
      <w:bookmarkEnd w:id="0"/>
      <w:r>
        <w:t>1AC – Offense</w:t>
      </w:r>
    </w:p>
    <w:p w14:paraId="2A435F8C" w14:textId="77777777" w:rsidR="00244A57" w:rsidRPr="00EF3BB6" w:rsidRDefault="00244A57" w:rsidP="00244A57">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75B54C28" w14:textId="77777777" w:rsidR="00244A57" w:rsidRPr="00602EC8" w:rsidRDefault="00244A57" w:rsidP="00244A57">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r>
        <w:rPr>
          <w:rFonts w:cs="Calibri"/>
        </w:rPr>
        <w:t xml:space="preserve"> PICs don’t negate – they don’t disprove the general thesis of the affirmative.</w:t>
      </w:r>
    </w:p>
    <w:p w14:paraId="4737939E" w14:textId="77777777" w:rsidR="00244A57" w:rsidRPr="00CB7CC3" w:rsidRDefault="00244A57" w:rsidP="00244A57">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3A26DC41" w14:textId="77777777" w:rsidR="00244A57" w:rsidRDefault="00244A57" w:rsidP="00244A57">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7FDC8ADE" w14:textId="77777777" w:rsidR="00244A57" w:rsidRPr="00DB7D02" w:rsidRDefault="00244A57" w:rsidP="00244A57">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AC85E02" w14:textId="77777777" w:rsidR="00244A57" w:rsidRDefault="00244A57" w:rsidP="00244A57">
      <w:pPr>
        <w:pStyle w:val="Heading4"/>
      </w:pPr>
      <w:r>
        <w:t>[2] In outer space, there is no governing authority and thus claiming property imposes your will over others.</w:t>
      </w:r>
    </w:p>
    <w:p w14:paraId="03CB5A35" w14:textId="77777777" w:rsidR="00244A57" w:rsidRDefault="00244A57" w:rsidP="00244A57">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B5050D0" w14:textId="77777777" w:rsidR="00244A57" w:rsidRDefault="00244A57" w:rsidP="00244A57">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4338FFD3" w14:textId="77777777" w:rsidR="00244A57" w:rsidRDefault="00244A57" w:rsidP="00244A57">
      <w:pPr>
        <w:pStyle w:val="Heading4"/>
      </w:pPr>
      <w:r>
        <w:t>[3] In the state of nature, everyone is an equal arbitrator of justice – that makes rights violations impossible to resolve.</w:t>
      </w:r>
    </w:p>
    <w:p w14:paraId="7CBB0755" w14:textId="77777777" w:rsidR="00244A57" w:rsidRPr="00122E01" w:rsidRDefault="00244A57" w:rsidP="00244A57">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E15453C" w14:textId="77777777" w:rsidR="00244A57" w:rsidRPr="00122E01" w:rsidRDefault="00244A57" w:rsidP="00244A57">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bookmarkEnd w:id="1"/>
    <w:p w14:paraId="010DE44B" w14:textId="179AFBB2" w:rsidR="00A95652" w:rsidRDefault="00244A57" w:rsidP="00244A57">
      <w:pPr>
        <w:pStyle w:val="Heading3"/>
      </w:pPr>
      <w:r>
        <w:t xml:space="preserve">1AC – </w:t>
      </w:r>
      <w:proofErr w:type="spellStart"/>
      <w:r>
        <w:t>Underview</w:t>
      </w:r>
      <w:proofErr w:type="spellEnd"/>
    </w:p>
    <w:p w14:paraId="2FB6A34C" w14:textId="79BC9633" w:rsidR="00A05080" w:rsidRPr="00A05080" w:rsidRDefault="00A05080" w:rsidP="00A05080">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5"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2"/>
      <w:bookmarkEnd w:id="3"/>
      <w:bookmarkEnd w:id="4"/>
      <w:bookmarkEnd w:id="5"/>
    </w:p>
    <w:p w14:paraId="33FD1586" w14:textId="41C75880" w:rsidR="00A05080" w:rsidRDefault="00A05080" w:rsidP="00A05080">
      <w:pPr>
        <w:pStyle w:val="Heading4"/>
      </w:pPr>
      <w:bookmarkStart w:id="6" w:name="_Hlk93071953"/>
      <w:r>
        <w:rPr>
          <w:rFonts w:eastAsia="Times New Roman"/>
        </w:rPr>
        <w:t>2</w:t>
      </w:r>
      <w:r w:rsidRPr="00044772">
        <w:rPr>
          <w:rFonts w:eastAsia="Times New Roman"/>
        </w:rPr>
        <w:t xml:space="preserve">] </w:t>
      </w:r>
      <w:proofErr w:type="spellStart"/>
      <w:r>
        <w:t>Interp</w:t>
      </w:r>
      <w:proofErr w:type="spellEnd"/>
      <w:r>
        <w:t xml:space="preserve"> – provided that the 1ac framework is not utilitarian, the negative must concede the offense under the 1ac framework.</w:t>
      </w:r>
    </w:p>
    <w:p w14:paraId="0F2F91EB" w14:textId="77777777" w:rsidR="00A05080" w:rsidRPr="00366208" w:rsidRDefault="00A05080" w:rsidP="00A05080">
      <w:pPr>
        <w:pStyle w:val="Heading4"/>
      </w:pPr>
      <w:bookmarkStart w:id="7" w:name="_Hlk93149860"/>
      <w:bookmarkStart w:id="8" w:name="_Hlk93071988"/>
      <w:bookmarkEnd w:id="6"/>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7"/>
    <w:p w14:paraId="2EFDAEDA" w14:textId="15F9B173" w:rsidR="00A05080" w:rsidRDefault="00A05080" w:rsidP="00A05080">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462F8A02" w14:textId="053BDF37" w:rsidR="00BF3C07" w:rsidRDefault="00BF3C07" w:rsidP="00BF3C07">
      <w:pPr>
        <w:pStyle w:val="Heading4"/>
        <w:spacing w:line="276" w:lineRule="auto"/>
      </w:pPr>
      <w:r>
        <w:t xml:space="preserve">3] Presumption and permissibility affirm – </w:t>
      </w:r>
    </w:p>
    <w:p w14:paraId="7AA717AB" w14:textId="636C20B4" w:rsidR="00BF3C07" w:rsidRPr="00A636AD" w:rsidRDefault="00BF3C07" w:rsidP="00BF3C07">
      <w:pPr>
        <w:pStyle w:val="Heading4"/>
        <w:spacing w:line="276" w:lineRule="auto"/>
        <w:rPr>
          <w:rFonts w:cstheme="majorHAnsi"/>
        </w:rPr>
      </w:pPr>
      <w:r>
        <w:t xml:space="preserve">a] </w:t>
      </w:r>
      <w:r>
        <w:rPr>
          <w:rFonts w:cstheme="majorHAnsi"/>
        </w:rPr>
        <w:t>L</w:t>
      </w:r>
      <w:r w:rsidRPr="00A636AD">
        <w:rPr>
          <w:rFonts w:cstheme="majorHAnsi"/>
        </w:rPr>
        <w:t xml:space="preserve">ogic – if its permissible to do P, then you don’t have an obligation to do not </w:t>
      </w:r>
      <w:proofErr w:type="gramStart"/>
      <w:r w:rsidRPr="00A636AD">
        <w:rPr>
          <w:rFonts w:cstheme="majorHAnsi"/>
        </w:rPr>
        <w:t>P by definition</w:t>
      </w:r>
      <w:proofErr w:type="gramEnd"/>
      <w:r w:rsidRPr="00A636AD">
        <w:rPr>
          <w:rFonts w:cstheme="majorHAnsi"/>
        </w:rPr>
        <w:t xml:space="preserve">. </w:t>
      </w:r>
    </w:p>
    <w:p w14:paraId="7743F3C1" w14:textId="77777777" w:rsidR="00BF3C07" w:rsidRPr="00A636AD" w:rsidRDefault="00BF3C07" w:rsidP="00BF3C07">
      <w:pPr>
        <w:spacing w:line="276" w:lineRule="auto"/>
      </w:pPr>
      <w:r w:rsidRPr="00A636AD">
        <w:rPr>
          <w:rStyle w:val="Style13ptBold"/>
        </w:rPr>
        <w:t>Paraphrasing McNamara</w:t>
      </w:r>
      <w:r w:rsidRPr="00A636AD">
        <w:rPr>
          <w:b/>
          <w:bCs/>
        </w:rPr>
        <w:t xml:space="preserve"> </w:t>
      </w:r>
      <w:r w:rsidRPr="00A636AD">
        <w:rPr>
          <w:sz w:val="16"/>
          <w:szCs w:val="16"/>
        </w:rPr>
        <w:t xml:space="preserve">[Paul McNamara (Associate Professor of Philosophy @ the University of New Hampshire). “Deontic Logic.” Stanford Encyclopedia of Philosophy. First published Tue Feb 7, 2006; substantive revision Wed Apr 21, 2010. Accessed 11/16/19. </w:t>
      </w:r>
      <w:hyperlink r:id="rId6" w:history="1">
        <w:r w:rsidRPr="00A636AD">
          <w:rPr>
            <w:rStyle w:val="Hyperlink"/>
            <w:sz w:val="16"/>
            <w:szCs w:val="16"/>
          </w:rPr>
          <w:t>https://plato.stanford.edu/entries/logic-deontic//</w:t>
        </w:r>
      </w:hyperlink>
      <w:r w:rsidRPr="00A636AD">
        <w:rPr>
          <w:sz w:val="16"/>
          <w:szCs w:val="16"/>
        </w:rPr>
        <w:t xml:space="preserve"> Xu]</w:t>
      </w:r>
    </w:p>
    <w:p w14:paraId="04EB1E0A" w14:textId="77777777" w:rsidR="00BF3C07" w:rsidRPr="008005DE" w:rsidRDefault="00BF3C07" w:rsidP="00BF3C07">
      <w:pPr>
        <w:spacing w:line="276" w:lineRule="auto"/>
        <w:rPr>
          <w:sz w:val="14"/>
        </w:rPr>
      </w:pPr>
      <w:r w:rsidRPr="008005DE">
        <w:rPr>
          <w:sz w:val="14"/>
        </w:rPr>
        <w:t>The five normative statuses of the Traditional Scheme are:</w:t>
      </w:r>
      <w:r w:rsidRPr="008005DE">
        <w:rPr>
          <w:sz w:val="14"/>
          <w:vertAlign w:val="superscript"/>
        </w:rPr>
        <w:t>[</w:t>
      </w:r>
      <w:hyperlink r:id="rId7" w:anchor="4" w:history="1">
        <w:r w:rsidRPr="008005DE">
          <w:rPr>
            <w:rStyle w:val="Hyperlink"/>
            <w:sz w:val="14"/>
            <w:vertAlign w:val="superscript"/>
          </w:rPr>
          <w:t>4</w:t>
        </w:r>
      </w:hyperlink>
      <w:r w:rsidRPr="008005DE">
        <w:rPr>
          <w:sz w:val="14"/>
          <w:vertAlign w:val="superscript"/>
        </w:rPr>
        <w:t>]</w:t>
      </w:r>
      <w:r w:rsidRPr="008005DE">
        <w:rPr>
          <w:sz w:val="14"/>
        </w:rPr>
        <w:t xml:space="preserve"> it is </w:t>
      </w:r>
      <w:r w:rsidRPr="00862C0C">
        <w:rPr>
          <w:rStyle w:val="Emphasis"/>
          <w:rFonts w:ascii="Georgia" w:hAnsi="Georgia" w:cstheme="majorHAnsi"/>
          <w:b w:val="0"/>
          <w:bCs/>
          <w:highlight w:val="green"/>
        </w:rPr>
        <w:t>obligatory that (OB)</w:t>
      </w:r>
      <w:r w:rsidRPr="008005DE">
        <w:rPr>
          <w:sz w:val="14"/>
        </w:rPr>
        <w:t xml:space="preserve"> it is </w:t>
      </w:r>
      <w:r w:rsidRPr="00862C0C">
        <w:rPr>
          <w:rStyle w:val="Emphasis"/>
          <w:rFonts w:ascii="Georgia" w:hAnsi="Georgia" w:cstheme="majorHAnsi"/>
          <w:b w:val="0"/>
          <w:bCs/>
          <w:highlight w:val="green"/>
        </w:rPr>
        <w:t>permissible that (PE)</w:t>
      </w:r>
      <w:r w:rsidRPr="008005DE">
        <w:rPr>
          <w:sz w:val="14"/>
        </w:rPr>
        <w:t xml:space="preserve"> it is impermissible that (IM) it is omissible that (OM) it is optional that (OP) The first three are familiar, but the fourth is widely ignored, and the fifth has regularly been conflated with “it is a matter of </w:t>
      </w:r>
      <w:r w:rsidRPr="008005DE">
        <w:rPr>
          <w:i/>
          <w:sz w:val="14"/>
        </w:rPr>
        <w:t>indifference</w:t>
      </w:r>
      <w:r w:rsidRPr="008005DE">
        <w:rPr>
          <w:sz w:val="14"/>
        </w:rPr>
        <w:t xml:space="preserve"> that p” (by being defined in terms of one of the first three), which is not really part of the traditional scheme (more below). Typically, one of the first two is taken as basic, and the others defined in terms of it, but any of the first four can play the same sort of purported defining role. The most prevalent approach is to take the first as basic, and define the rest as follows: </w:t>
      </w:r>
      <w:proofErr w:type="spellStart"/>
      <w:r w:rsidRPr="00862C0C">
        <w:rPr>
          <w:rStyle w:val="Emphasis"/>
          <w:rFonts w:ascii="Georgia" w:hAnsi="Georgia" w:cstheme="majorHAnsi"/>
          <w:b w:val="0"/>
          <w:bCs/>
          <w:highlight w:val="green"/>
        </w:rPr>
        <w:t>PEp</w:t>
      </w:r>
      <w:proofErr w:type="spellEnd"/>
      <w:r w:rsidRPr="00862C0C">
        <w:rPr>
          <w:rStyle w:val="Emphasis"/>
          <w:rFonts w:ascii="Georgia" w:hAnsi="Georgia" w:cstheme="majorHAnsi"/>
          <w:b w:val="0"/>
          <w:bCs/>
          <w:highlight w:val="green"/>
        </w:rPr>
        <w:t xml:space="preserve"> </w:t>
      </w:r>
      <w:r w:rsidRPr="00862C0C">
        <w:rPr>
          <w:rStyle w:val="Emphasis"/>
          <w:rFonts w:ascii="Segoe UI Emoji" w:hAnsi="Segoe UI Emoji" w:cs="Segoe UI Emoji"/>
          <w:b w:val="0"/>
          <w:bCs/>
          <w:highlight w:val="green"/>
        </w:rPr>
        <w:t>↔</w:t>
      </w:r>
      <w:r w:rsidRPr="00862C0C">
        <w:rPr>
          <w:rStyle w:val="Emphasis"/>
          <w:rFonts w:ascii="Georgia" w:hAnsi="Georgia" w:cstheme="majorHAnsi"/>
          <w:b w:val="0"/>
          <w:bCs/>
          <w:highlight w:val="green"/>
        </w:rPr>
        <w:t xml:space="preserve"> ~</w:t>
      </w:r>
      <w:proofErr w:type="spellStart"/>
      <w:r w:rsidRPr="00862C0C">
        <w:rPr>
          <w:rStyle w:val="Emphasis"/>
          <w:rFonts w:ascii="Georgia" w:hAnsi="Georgia" w:cstheme="majorHAnsi"/>
          <w:b w:val="0"/>
          <w:bCs/>
          <w:highlight w:val="green"/>
        </w:rPr>
        <w:t>OB~p</w:t>
      </w:r>
      <w:proofErr w:type="spellEnd"/>
      <w:r w:rsidRPr="008005DE">
        <w:rPr>
          <w:rStyle w:val="Emphasis"/>
          <w:rFonts w:ascii="Georgia" w:hAnsi="Georgia" w:cstheme="majorHAnsi"/>
        </w:rPr>
        <w:t xml:space="preserve"> </w:t>
      </w:r>
      <w:proofErr w:type="spellStart"/>
      <w:r w:rsidRPr="008005DE">
        <w:rPr>
          <w:sz w:val="14"/>
        </w:rPr>
        <w:t>IM</w:t>
      </w:r>
      <w:r w:rsidRPr="008005DE">
        <w:rPr>
          <w:i/>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sz w:val="14"/>
        </w:rPr>
        <w:t>p</w:t>
      </w:r>
      <w:proofErr w:type="spellEnd"/>
      <w:r w:rsidRPr="008005DE">
        <w:rPr>
          <w:sz w:val="14"/>
        </w:rPr>
        <w:t xml:space="preserve"> </w:t>
      </w:r>
      <w:proofErr w:type="spellStart"/>
      <w:r w:rsidRPr="008005DE">
        <w:rPr>
          <w:sz w:val="14"/>
        </w:rPr>
        <w:t>OM</w:t>
      </w:r>
      <w:r w:rsidRPr="008005DE">
        <w:rPr>
          <w:i/>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sz w:val="14"/>
        </w:rPr>
        <w:t>p</w:t>
      </w:r>
      <w:proofErr w:type="spellEnd"/>
      <w:r w:rsidRPr="008005DE">
        <w:rPr>
          <w:sz w:val="14"/>
        </w:rPr>
        <w:t xml:space="preserve"> </w:t>
      </w:r>
      <w:proofErr w:type="spellStart"/>
      <w:r w:rsidRPr="008005DE">
        <w:rPr>
          <w:sz w:val="14"/>
        </w:rPr>
        <w:t>OP</w:t>
      </w:r>
      <w:r w:rsidRPr="008005DE">
        <w:rPr>
          <w:i/>
          <w:sz w:val="14"/>
        </w:rPr>
        <w:t>p</w:t>
      </w:r>
      <w:proofErr w:type="spellEnd"/>
      <w:r w:rsidRPr="008005DE">
        <w:rPr>
          <w:sz w:val="14"/>
        </w:rPr>
        <w:t xml:space="preserve"> </w:t>
      </w:r>
      <w:r w:rsidRPr="008005DE">
        <w:rPr>
          <w:rFonts w:ascii="Segoe UI Emoji" w:hAnsi="Segoe UI Emoji" w:cs="Segoe UI Emoji"/>
          <w:sz w:val="14"/>
        </w:rPr>
        <w:t>↔</w:t>
      </w:r>
      <w:r w:rsidRPr="008005DE">
        <w:rPr>
          <w:sz w:val="14"/>
        </w:rPr>
        <w:t xml:space="preserve"> (~</w:t>
      </w:r>
      <w:proofErr w:type="spellStart"/>
      <w:r w:rsidRPr="008005DE">
        <w:rPr>
          <w:sz w:val="14"/>
        </w:rPr>
        <w:t>OB</w:t>
      </w:r>
      <w:r w:rsidRPr="008005DE">
        <w:rPr>
          <w:i/>
          <w:sz w:val="14"/>
        </w:rPr>
        <w:t>p</w:t>
      </w:r>
      <w:proofErr w:type="spellEnd"/>
      <w:r w:rsidRPr="008005DE">
        <w:rPr>
          <w:sz w:val="14"/>
        </w:rPr>
        <w:t xml:space="preserve"> &amp; ~</w:t>
      </w:r>
      <w:proofErr w:type="spellStart"/>
      <w:r w:rsidRPr="008005DE">
        <w:rPr>
          <w:sz w:val="14"/>
        </w:rPr>
        <w:t>OB~</w:t>
      </w:r>
      <w:r w:rsidRPr="008005DE">
        <w:rPr>
          <w:i/>
          <w:sz w:val="14"/>
        </w:rPr>
        <w:t>p</w:t>
      </w:r>
      <w:proofErr w:type="spellEnd"/>
      <w:r w:rsidRPr="008005DE">
        <w:rPr>
          <w:sz w:val="14"/>
        </w:rPr>
        <w:t xml:space="preserve">). </w:t>
      </w:r>
    </w:p>
    <w:p w14:paraId="4AEC20E7" w14:textId="77777777" w:rsidR="00BF3C07" w:rsidRPr="00A636AD" w:rsidRDefault="00BF3C07" w:rsidP="00BF3C07">
      <w:pPr>
        <w:pStyle w:val="Heading4"/>
      </w:pPr>
      <w:r w:rsidRPr="007D526C">
        <w:t>Thus, if you do not have an obligation to do not P, then you have an obligation to do P by the Law of Double Negation.</w:t>
      </w:r>
    </w:p>
    <w:p w14:paraId="5FB70B64" w14:textId="77777777" w:rsidR="00BF3C07" w:rsidRDefault="00BF3C07" w:rsidP="00BF3C07">
      <w:pPr>
        <w:pStyle w:val="Heading4"/>
        <w:rPr>
          <w:bCs/>
          <w:szCs w:val="26"/>
        </w:rPr>
      </w:pPr>
      <w:r>
        <w:rPr>
          <w:bCs/>
          <w:szCs w:val="26"/>
        </w:rPr>
        <w:t>b]</w:t>
      </w:r>
      <w:r w:rsidRPr="0087188E">
        <w:rPr>
          <w:bCs/>
          <w:szCs w:val="26"/>
        </w:rPr>
        <w:t xml:space="preserve"> Statements are true before false since if I told you my name, you’d believe me</w:t>
      </w:r>
    </w:p>
    <w:p w14:paraId="0C3CF47E" w14:textId="77777777" w:rsidR="00BF3C07" w:rsidRDefault="00BF3C07" w:rsidP="00BF3C07">
      <w:pPr>
        <w:pStyle w:val="Heading4"/>
        <w:rPr>
          <w:bCs/>
          <w:szCs w:val="26"/>
        </w:rPr>
      </w:pPr>
      <w:r>
        <w:rPr>
          <w:bCs/>
          <w:szCs w:val="26"/>
        </w:rPr>
        <w:t>c]</w:t>
      </w:r>
      <w:r w:rsidRPr="0087188E">
        <w:rPr>
          <w:bCs/>
          <w:szCs w:val="26"/>
        </w:rPr>
        <w:t xml:space="preserve"> Epistemics – we wouldn’t be abl</w:t>
      </w:r>
      <w:r w:rsidRPr="009A3C20">
        <w:rPr>
          <w:bCs/>
          <w:szCs w:val="26"/>
        </w:rPr>
        <w:t>e t</w:t>
      </w:r>
      <w:r w:rsidRPr="0087188E">
        <w:rPr>
          <w:bCs/>
          <w:szCs w:val="26"/>
        </w:rPr>
        <w:t>o start a strand of reasoning since we’d have to question that reason</w:t>
      </w:r>
    </w:p>
    <w:p w14:paraId="197C2E3D" w14:textId="77777777" w:rsidR="00BF3C07" w:rsidRDefault="00BF3C07" w:rsidP="00BF3C07">
      <w:pPr>
        <w:pStyle w:val="Heading4"/>
        <w:rPr>
          <w:bCs/>
          <w:szCs w:val="26"/>
        </w:rPr>
      </w:pPr>
      <w:r>
        <w:rPr>
          <w:bCs/>
          <w:szCs w:val="26"/>
        </w:rPr>
        <w:t>d]</w:t>
      </w:r>
      <w:r w:rsidRPr="0087188E">
        <w:rPr>
          <w:bCs/>
          <w:szCs w:val="26"/>
        </w:rPr>
        <w:t xml:space="preserve"> Otherwise, we’d have to have a proactive justification to do things like drink water</w:t>
      </w:r>
    </w:p>
    <w:p w14:paraId="4C0690EF" w14:textId="77777777" w:rsidR="00BF3C07" w:rsidRDefault="00BF3C07" w:rsidP="00BF3C07">
      <w:pPr>
        <w:pStyle w:val="Heading4"/>
        <w:rPr>
          <w:bCs/>
          <w:szCs w:val="26"/>
        </w:rPr>
      </w:pPr>
      <w:r>
        <w:rPr>
          <w:bCs/>
          <w:szCs w:val="26"/>
        </w:rPr>
        <w:t>e]</w:t>
      </w:r>
      <w:r w:rsidRPr="0087188E">
        <w:rPr>
          <w:bCs/>
          <w:szCs w:val="26"/>
        </w:rPr>
        <w:t xml:space="preserve"> If anything is permissible, then definitively so is the aff since there is nothing that prevents us from doing it</w:t>
      </w:r>
    </w:p>
    <w:p w14:paraId="27193BA8" w14:textId="2C5FB923" w:rsidR="00BF3C07" w:rsidRPr="00BF3C07" w:rsidRDefault="00BF3C07" w:rsidP="00BF3C07">
      <w:pPr>
        <w:pStyle w:val="Heading4"/>
      </w:pPr>
      <w:r>
        <w:t>f] Permissibility means that there’s no risk that the aff is bad but there is always a risk that it could be good</w:t>
      </w:r>
    </w:p>
    <w:p w14:paraId="4BABF336" w14:textId="383ADD28" w:rsidR="00A05080" w:rsidRPr="008F26C2" w:rsidRDefault="00BF3C07" w:rsidP="00A05080">
      <w:pPr>
        <w:pStyle w:val="Heading4"/>
      </w:pPr>
      <w:bookmarkStart w:id="9" w:name="_Hlk93072013"/>
      <w:bookmarkEnd w:id="8"/>
      <w:r>
        <w:t>4</w:t>
      </w:r>
      <w:r w:rsidR="00A05080">
        <w:t xml:space="preserve">] </w:t>
      </w:r>
      <w:r w:rsidR="00A05080">
        <w:t>Ideal theory is good and inevitable.</w:t>
      </w:r>
    </w:p>
    <w:p w14:paraId="1E9E3683" w14:textId="1E1ABD2B" w:rsidR="00A05080" w:rsidRPr="0036278C" w:rsidRDefault="00A05080" w:rsidP="00A05080">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369DF58A" w14:textId="77777777" w:rsidR="00A05080" w:rsidRDefault="00A05080" w:rsidP="00A05080">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0041AF7F" w14:textId="3A9234A0" w:rsidR="00A05080" w:rsidRDefault="00BF3C07" w:rsidP="00A05080">
      <w:pPr>
        <w:pStyle w:val="Heading4"/>
      </w:pPr>
      <w:bookmarkStart w:id="10" w:name="_Hlk93072024"/>
      <w:bookmarkEnd w:id="9"/>
      <w:r>
        <w:t>5</w:t>
      </w:r>
      <w:r w:rsidR="00A05080">
        <w:t xml:space="preserve">] </w:t>
      </w:r>
      <w:r w:rsidR="00A05080">
        <w:t xml:space="preserve">Reject ad </w:t>
      </w:r>
      <w:proofErr w:type="spellStart"/>
      <w:r w:rsidR="00A05080">
        <w:t>homs</w:t>
      </w:r>
      <w:proofErr w:type="spellEnd"/>
      <w:r w:rsidR="00A05080">
        <w:t xml:space="preserve"> – Kant’s ideas are important precisely because his abstract ideas were more advanced than his political beliefs and ad </w:t>
      </w:r>
      <w:proofErr w:type="spellStart"/>
      <w:r w:rsidR="00A05080">
        <w:t>homs</w:t>
      </w:r>
      <w:proofErr w:type="spellEnd"/>
      <w:r w:rsidR="00A05080">
        <w:t xml:space="preserve"> don’t implicate the truth of Kant’s theory.</w:t>
      </w:r>
    </w:p>
    <w:p w14:paraId="72F64013" w14:textId="77777777" w:rsidR="00A05080" w:rsidRPr="00993E13" w:rsidRDefault="00A05080" w:rsidP="00A05080">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6C0507CC" w14:textId="77777777" w:rsidR="00A05080" w:rsidRPr="00D72586" w:rsidRDefault="00A05080" w:rsidP="00A05080">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bookmarkEnd w:id="10"/>
    <w:p w14:paraId="47D317A8" w14:textId="77777777" w:rsidR="00A05080" w:rsidRPr="00244A57" w:rsidRDefault="00A05080" w:rsidP="00244A57"/>
    <w:sectPr w:rsidR="00A05080" w:rsidRPr="00244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9B4B3A"/>
    <w:rsid w:val="000139A3"/>
    <w:rsid w:val="00100833"/>
    <w:rsid w:val="00104529"/>
    <w:rsid w:val="00105942"/>
    <w:rsid w:val="00107396"/>
    <w:rsid w:val="00114ED3"/>
    <w:rsid w:val="00144A4C"/>
    <w:rsid w:val="00176AB0"/>
    <w:rsid w:val="00177B7D"/>
    <w:rsid w:val="0018322D"/>
    <w:rsid w:val="001B5776"/>
    <w:rsid w:val="001E527A"/>
    <w:rsid w:val="001F78CE"/>
    <w:rsid w:val="00244A57"/>
    <w:rsid w:val="00251FC7"/>
    <w:rsid w:val="002855A7"/>
    <w:rsid w:val="002B146A"/>
    <w:rsid w:val="002B5E17"/>
    <w:rsid w:val="00315690"/>
    <w:rsid w:val="00316B75"/>
    <w:rsid w:val="00325646"/>
    <w:rsid w:val="003460F2"/>
    <w:rsid w:val="0038158C"/>
    <w:rsid w:val="003902BA"/>
    <w:rsid w:val="003A09E2"/>
    <w:rsid w:val="00407037"/>
    <w:rsid w:val="004605D6"/>
    <w:rsid w:val="0047526F"/>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1627E"/>
    <w:rsid w:val="0097032B"/>
    <w:rsid w:val="009B4B3A"/>
    <w:rsid w:val="009D2EAD"/>
    <w:rsid w:val="009D54B2"/>
    <w:rsid w:val="009E1922"/>
    <w:rsid w:val="009F7ED2"/>
    <w:rsid w:val="00A05080"/>
    <w:rsid w:val="00A93661"/>
    <w:rsid w:val="00A95652"/>
    <w:rsid w:val="00AC0AB8"/>
    <w:rsid w:val="00B33C6D"/>
    <w:rsid w:val="00B4508F"/>
    <w:rsid w:val="00B55AD5"/>
    <w:rsid w:val="00B8057C"/>
    <w:rsid w:val="00BD6238"/>
    <w:rsid w:val="00BF3C0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2339"/>
  <w15:chartTrackingRefBased/>
  <w15:docId w15:val="{939168AD-A208-4FB8-A7C3-7A89A21FF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4B3A"/>
    <w:rPr>
      <w:rFonts w:cs="Calibri"/>
    </w:rPr>
  </w:style>
  <w:style w:type="paragraph" w:styleId="Heading1">
    <w:name w:val="heading 1"/>
    <w:aliases w:val="Pocket"/>
    <w:basedOn w:val="Normal"/>
    <w:next w:val="Normal"/>
    <w:link w:val="Heading1Char"/>
    <w:qFormat/>
    <w:rsid w:val="009B4B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4B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B4B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9B4B3A"/>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9B4B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B3A"/>
  </w:style>
  <w:style w:type="character" w:customStyle="1" w:styleId="Heading1Char">
    <w:name w:val="Heading 1 Char"/>
    <w:aliases w:val="Pocket Char"/>
    <w:basedOn w:val="DefaultParagraphFont"/>
    <w:link w:val="Heading1"/>
    <w:rsid w:val="009B4B3A"/>
    <w:rPr>
      <w:rFonts w:eastAsiaTheme="majorEastAsia"/>
      <w:b/>
      <w:sz w:val="52"/>
      <w:szCs w:val="32"/>
    </w:rPr>
  </w:style>
  <w:style w:type="character" w:customStyle="1" w:styleId="Heading2Char">
    <w:name w:val="Heading 2 Char"/>
    <w:aliases w:val="Hat Char"/>
    <w:basedOn w:val="DefaultParagraphFont"/>
    <w:link w:val="Heading2"/>
    <w:uiPriority w:val="1"/>
    <w:rsid w:val="009B4B3A"/>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B4B3A"/>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B4B3A"/>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9B4B3A"/>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4B3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B4B3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uiPriority w:val="99"/>
    <w:unhideWhenUsed/>
    <w:rsid w:val="009B4B3A"/>
    <w:rPr>
      <w:color w:val="auto"/>
      <w:u w:val="none"/>
    </w:rPr>
  </w:style>
  <w:style w:type="character" w:styleId="FollowedHyperlink">
    <w:name w:val="FollowedHyperlink"/>
    <w:basedOn w:val="DefaultParagraphFont"/>
    <w:uiPriority w:val="99"/>
    <w:semiHidden/>
    <w:unhideWhenUsed/>
    <w:rsid w:val="009B4B3A"/>
    <w:rPr>
      <w:color w:val="auto"/>
      <w:u w:val="none"/>
    </w:rPr>
  </w:style>
  <w:style w:type="paragraph" w:customStyle="1" w:styleId="textbold">
    <w:name w:val="text bold"/>
    <w:basedOn w:val="Normal"/>
    <w:link w:val="Emphasis"/>
    <w:uiPriority w:val="7"/>
    <w:qFormat/>
    <w:rsid w:val="00244A57"/>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o.stanford.edu/entries/logic-deontic/not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logic-deonti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7091</Words>
  <Characters>40422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5</cp:revision>
  <dcterms:created xsi:type="dcterms:W3CDTF">2022-02-06T22:00:00Z</dcterms:created>
  <dcterms:modified xsi:type="dcterms:W3CDTF">2022-02-06T23:03:00Z</dcterms:modified>
</cp:coreProperties>
</file>