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99A93" w14:textId="77777777" w:rsidR="00220964" w:rsidRDefault="00220964" w:rsidP="00220964">
      <w:pPr>
        <w:pStyle w:val="Heading3"/>
      </w:pPr>
      <w:bookmarkStart w:id="0" w:name="_Hlk93071916"/>
      <w:r>
        <w:t>1AC – Framework</w:t>
      </w:r>
    </w:p>
    <w:p w14:paraId="43DBEC58" w14:textId="77777777" w:rsidR="00220964" w:rsidRPr="0094014A" w:rsidRDefault="00220964" w:rsidP="00220964">
      <w:pPr>
        <w:pStyle w:val="Heading4"/>
        <w:rPr>
          <w:rFonts w:cs="Calibri"/>
        </w:rPr>
      </w:pPr>
      <w:r w:rsidRPr="005F04F4">
        <w:rPr>
          <w:rFonts w:cs="Calibri"/>
        </w:rPr>
        <w:t>Agents must be practical reasoners –  </w:t>
      </w:r>
    </w:p>
    <w:p w14:paraId="6706B7DE" w14:textId="77777777" w:rsidR="00220964" w:rsidRPr="00557A09" w:rsidRDefault="00220964" w:rsidP="00220964"/>
    <w:p w14:paraId="07C8BFEE" w14:textId="77777777" w:rsidR="00220964" w:rsidRDefault="00220964" w:rsidP="00220964">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B77BFBD" w14:textId="77777777" w:rsidR="00220964" w:rsidRPr="008D5108" w:rsidRDefault="00220964" w:rsidP="00220964"/>
    <w:p w14:paraId="7C038AED" w14:textId="77777777" w:rsidR="00220964" w:rsidRDefault="00220964" w:rsidP="00220964">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2EF59B10" w14:textId="77777777" w:rsidR="00220964" w:rsidRPr="008D5108" w:rsidRDefault="00220964" w:rsidP="00220964"/>
    <w:p w14:paraId="1F4A7D1F" w14:textId="77777777" w:rsidR="00220964" w:rsidRPr="005F04F4" w:rsidRDefault="00220964" w:rsidP="00220964">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07AECC9B" w14:textId="77777777" w:rsidR="00220964" w:rsidRDefault="00220964" w:rsidP="00220964">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57EC0E94" w14:textId="77777777" w:rsidR="00220964" w:rsidRDefault="00220964" w:rsidP="00220964">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15F82D6B" w14:textId="77777777" w:rsidR="00220964" w:rsidRPr="008D5108" w:rsidRDefault="00220964" w:rsidP="00220964">
      <w:pPr>
        <w:spacing w:after="120"/>
        <w:rPr>
          <w:sz w:val="16"/>
        </w:rPr>
      </w:pPr>
    </w:p>
    <w:p w14:paraId="6CF319B1" w14:textId="77777777" w:rsidR="00220964" w:rsidRPr="008D5108" w:rsidRDefault="00220964" w:rsidP="00220964">
      <w:pPr>
        <w:pStyle w:val="Heading4"/>
        <w:rPr>
          <w:bCs/>
        </w:rPr>
      </w:pPr>
      <w:r>
        <w:t xml:space="preserve">[4] </w:t>
      </w:r>
      <w:r w:rsidRPr="00A234B5">
        <w:rPr>
          <w:u w:val="single"/>
        </w:rPr>
        <w:t>Epistemology</w:t>
      </w:r>
      <w:r w:rsidRPr="005F04F4">
        <w:t xml:space="preserve"> – ethics must begin a priori, meaning they can’t be derived from our experience. </w:t>
      </w:r>
    </w:p>
    <w:p w14:paraId="452D8181" w14:textId="77777777" w:rsidR="00220964" w:rsidRPr="008D5108" w:rsidRDefault="00220964" w:rsidP="00220964">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7DCE0268" w14:textId="77777777" w:rsidR="00220964" w:rsidRPr="007A30D9" w:rsidRDefault="00220964" w:rsidP="00220964">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633F5A19" w14:textId="77777777" w:rsidR="00220964" w:rsidRPr="005F04F4" w:rsidRDefault="00220964" w:rsidP="00220964"/>
    <w:p w14:paraId="107056EA" w14:textId="77777777" w:rsidR="00220964" w:rsidRDefault="00220964" w:rsidP="00220964">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40C2FCB7" w14:textId="77777777" w:rsidR="00220964" w:rsidRPr="005F04F4" w:rsidRDefault="00220964" w:rsidP="00220964"/>
    <w:p w14:paraId="1365CAAE" w14:textId="77777777" w:rsidR="00220964" w:rsidRPr="005F04F4" w:rsidRDefault="00220964" w:rsidP="00220964">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431D32A7" w14:textId="77777777" w:rsidR="00220964" w:rsidRPr="005F04F4" w:rsidRDefault="00220964" w:rsidP="00220964"/>
    <w:p w14:paraId="522D0869" w14:textId="77777777" w:rsidR="00220964" w:rsidRPr="001C6C52" w:rsidRDefault="00220964" w:rsidP="00220964">
      <w:pPr>
        <w:pStyle w:val="Heading4"/>
        <w:rPr>
          <w:rFonts w:cs="Calibri"/>
        </w:rPr>
      </w:pPr>
      <w:r w:rsidRPr="005F04F4">
        <w:rPr>
          <w:rFonts w:cs="Calibri"/>
        </w:rPr>
        <w:t xml:space="preserve">Impact calc – </w:t>
      </w:r>
    </w:p>
    <w:p w14:paraId="24A87286" w14:textId="77777777" w:rsidR="00220964" w:rsidRPr="005F04F4" w:rsidRDefault="00220964" w:rsidP="00220964">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6D3E3201" w14:textId="77777777" w:rsidR="00220964" w:rsidRPr="00C32E73" w:rsidRDefault="00220964" w:rsidP="00220964">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06113A77" w14:textId="77777777" w:rsidR="00220964" w:rsidRDefault="00220964" w:rsidP="00220964">
      <w:pPr>
        <w:pStyle w:val="Heading3"/>
      </w:pPr>
      <w:bookmarkStart w:id="1" w:name="_Hlk93071925"/>
      <w:bookmarkEnd w:id="0"/>
      <w:r>
        <w:t>1AC – Offense</w:t>
      </w:r>
    </w:p>
    <w:p w14:paraId="5DFCA27F" w14:textId="77777777" w:rsidR="00220964" w:rsidRPr="00EF3BB6" w:rsidRDefault="00220964" w:rsidP="00220964">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3FF2D5FA" w14:textId="77777777" w:rsidR="00220964" w:rsidRPr="002862B7" w:rsidRDefault="00220964" w:rsidP="00220964">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w:t>
      </w:r>
      <w:r>
        <w:rPr>
          <w:rFonts w:cs="Calibri"/>
        </w:rPr>
        <w:t xml:space="preserve"> PICs don’t negate – they don’t disprove the general thesis of the affirmative.</w:t>
      </w:r>
    </w:p>
    <w:p w14:paraId="6207AA9D" w14:textId="77777777" w:rsidR="00220964" w:rsidRPr="00CB7CC3" w:rsidRDefault="00220964" w:rsidP="00220964">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5B293E39" w14:textId="77777777" w:rsidR="00220964" w:rsidRDefault="00220964" w:rsidP="00220964">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844EDD7" w14:textId="77777777" w:rsidR="00220964" w:rsidRPr="00DB7D02" w:rsidRDefault="00220964" w:rsidP="00220964">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76548D7" w14:textId="77777777" w:rsidR="00220964" w:rsidRDefault="00220964" w:rsidP="00220964">
      <w:pPr>
        <w:pStyle w:val="Heading4"/>
      </w:pPr>
      <w:r>
        <w:t>[2] In outer space, there is no governing authority and thus claiming property imposes your will over others.</w:t>
      </w:r>
    </w:p>
    <w:p w14:paraId="33A843FC" w14:textId="77777777" w:rsidR="00220964" w:rsidRDefault="00220964" w:rsidP="00220964">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944F941" w14:textId="77777777" w:rsidR="00220964" w:rsidRDefault="00220964" w:rsidP="00220964">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61B233B" w14:textId="77777777" w:rsidR="00220964" w:rsidRDefault="00220964" w:rsidP="00220964">
      <w:pPr>
        <w:pStyle w:val="Heading4"/>
      </w:pPr>
      <w:r>
        <w:t>[3] In the state of nature, everyone is an equal arbitrator of justice – that makes rights violations impossible to resolve.</w:t>
      </w:r>
    </w:p>
    <w:p w14:paraId="1A236880" w14:textId="77777777" w:rsidR="00220964" w:rsidRPr="00122E01" w:rsidRDefault="00220964" w:rsidP="00220964">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B6CB6B6" w14:textId="77777777" w:rsidR="00220964" w:rsidRPr="00122E01" w:rsidRDefault="00220964" w:rsidP="00220964">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bookmarkEnd w:id="1"/>
    <w:p w14:paraId="74AA5781" w14:textId="4B492B84" w:rsidR="00A95652" w:rsidRDefault="00220964" w:rsidP="00220964">
      <w:pPr>
        <w:pStyle w:val="Heading3"/>
      </w:pPr>
      <w:r>
        <w:t xml:space="preserve">1AC – </w:t>
      </w:r>
      <w:proofErr w:type="spellStart"/>
      <w:r>
        <w:t>Underview</w:t>
      </w:r>
      <w:proofErr w:type="spellEnd"/>
    </w:p>
    <w:p w14:paraId="4751EBB7" w14:textId="4F995807" w:rsidR="00B3497F" w:rsidRDefault="00B3497F" w:rsidP="00B3497F">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w:t>
      </w:r>
      <w:bookmarkStart w:id="5" w:name="_Hlk13734666"/>
      <w:r w:rsidRPr="00AD4C5F">
        <w:t>g) voters – fairness because debate’s a game that needs rules to evaluate it and education since it gives us portable skills for life like research and thinking.</w:t>
      </w:r>
      <w:bookmarkEnd w:id="2"/>
      <w:bookmarkEnd w:id="5"/>
    </w:p>
    <w:p w14:paraId="48D2D70A" w14:textId="73D6493A" w:rsidR="00B3497F" w:rsidRPr="00B3497F" w:rsidRDefault="00B3497F" w:rsidP="00B3497F">
      <w:pPr>
        <w:pStyle w:val="Heading4"/>
      </w:pPr>
      <w:r>
        <w:t>2]</w:t>
      </w:r>
      <w:bookmarkStart w:id="6" w:name="_Hlk93071953"/>
      <w:r w:rsidRPr="00B3497F">
        <w:rPr>
          <w:rFonts w:eastAsia="Times New Roman"/>
        </w:rPr>
        <w:t xml:space="preserve"> </w:t>
      </w:r>
      <w:proofErr w:type="spellStart"/>
      <w:r>
        <w:t>Interp</w:t>
      </w:r>
      <w:proofErr w:type="spellEnd"/>
      <w:r>
        <w:t xml:space="preserve"> – provided that the 1ac framework is not utilitarian, the negative must concede the offense under the 1ac framework.</w:t>
      </w:r>
      <w:bookmarkEnd w:id="6"/>
    </w:p>
    <w:p w14:paraId="58500B6E" w14:textId="77777777" w:rsidR="00B3497F" w:rsidRPr="00366208" w:rsidRDefault="00B3497F" w:rsidP="00B3497F">
      <w:pPr>
        <w:pStyle w:val="Heading4"/>
      </w:pPr>
      <w:bookmarkStart w:id="7" w:name="_Hlk93149860"/>
      <w:bookmarkStart w:id="8" w:name="_Hlk93071988"/>
      <w:bookmarkEnd w:id="3"/>
      <w:r>
        <w:t xml:space="preserve">A] Strat skew – 1) it’s impossible for the 1AR to win both layers of framing and offense when you can frame me </w:t>
      </w:r>
      <w:proofErr w:type="spellStart"/>
      <w:r>
        <w:t>mout</w:t>
      </w:r>
      <w:proofErr w:type="spellEnd"/>
      <w:r>
        <w:t xml:space="preserve">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bookmarkEnd w:id="7"/>
    <w:p w14:paraId="11D357A6" w14:textId="4B4B59EE" w:rsidR="00B3497F" w:rsidRDefault="00B3497F" w:rsidP="00B3497F">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7E510350" w14:textId="0EBDE5E9" w:rsidR="00244A77" w:rsidRPr="006742E6" w:rsidRDefault="00244A77" w:rsidP="00244A77">
      <w:pPr>
        <w:pStyle w:val="Heading4"/>
        <w:rPr>
          <w:rFonts w:cs="Calibri"/>
          <w:color w:val="000000" w:themeColor="text1"/>
        </w:rPr>
      </w:pPr>
      <w:r>
        <w:t xml:space="preserve">3] </w:t>
      </w:r>
      <w:r w:rsidRPr="006742E6">
        <w:rPr>
          <w:rFonts w:cs="Calibri"/>
          <w:color w:val="000000" w:themeColor="text1"/>
        </w:rPr>
        <w:t>Nothing in the 1AC triggers presumption or permissibility – but they should affirm:</w:t>
      </w:r>
    </w:p>
    <w:p w14:paraId="04F915C4" w14:textId="77777777" w:rsidR="00244A77" w:rsidRPr="006742E6" w:rsidRDefault="00244A77" w:rsidP="00244A77">
      <w:pPr>
        <w:pStyle w:val="Heading4"/>
        <w:rPr>
          <w:rFonts w:cs="Calibri"/>
          <w:color w:val="000000" w:themeColor="text1"/>
        </w:rPr>
      </w:pPr>
      <w:r w:rsidRPr="006742E6">
        <w:rPr>
          <w:rFonts w:cs="Calibri"/>
          <w:color w:val="000000" w:themeColor="text1"/>
        </w:rPr>
        <w:t xml:space="preserve">A] 1ar time skew means 1ar has to answer 7 minutes of offense and hedge against a </w:t>
      </w:r>
      <w:proofErr w:type="gramStart"/>
      <w:r w:rsidRPr="006742E6">
        <w:rPr>
          <w:rFonts w:cs="Calibri"/>
          <w:color w:val="000000" w:themeColor="text1"/>
        </w:rPr>
        <w:t>6 minute</w:t>
      </w:r>
      <w:proofErr w:type="gramEnd"/>
      <w:r w:rsidRPr="006742E6">
        <w:rPr>
          <w:rFonts w:cs="Calibri"/>
          <w:color w:val="000000" w:themeColor="text1"/>
        </w:rPr>
        <w:t xml:space="preserve"> 2nr collapse, if the neg can’t prove the aff false you should presume its true</w:t>
      </w:r>
    </w:p>
    <w:p w14:paraId="62C4C3DD" w14:textId="77777777" w:rsidR="00244A77" w:rsidRPr="006742E6" w:rsidRDefault="00244A77" w:rsidP="00244A77">
      <w:pPr>
        <w:pStyle w:val="Heading4"/>
        <w:rPr>
          <w:rFonts w:cs="Calibri"/>
          <w:color w:val="000000" w:themeColor="text1"/>
        </w:rPr>
      </w:pPr>
      <w:r w:rsidRPr="006742E6">
        <w:rPr>
          <w:rFonts w:cs="Calibri"/>
          <w:color w:val="000000" w:themeColor="text1"/>
        </w:rPr>
        <w:t xml:space="preserve">B] You presume statements true unless proven false – If I tell you my name is </w:t>
      </w:r>
      <w:proofErr w:type="gramStart"/>
      <w:r w:rsidRPr="006742E6">
        <w:rPr>
          <w:rFonts w:cs="Calibri"/>
          <w:color w:val="000000" w:themeColor="text1"/>
        </w:rPr>
        <w:t>Jonathan</w:t>
      </w:r>
      <w:proofErr w:type="gramEnd"/>
      <w:r w:rsidRPr="006742E6">
        <w:rPr>
          <w:rFonts w:cs="Calibri"/>
          <w:color w:val="000000" w:themeColor="text1"/>
        </w:rPr>
        <w:t xml:space="preserve"> you believe me unless you have evidence to the contrary</w:t>
      </w:r>
    </w:p>
    <w:p w14:paraId="24C5E298" w14:textId="2629DC3C" w:rsidR="00244A77" w:rsidRPr="00244A77" w:rsidRDefault="00244A77" w:rsidP="00244A77">
      <w:pPr>
        <w:pStyle w:val="Heading4"/>
        <w:rPr>
          <w:rFonts w:cs="Calibri"/>
          <w:color w:val="000000" w:themeColor="text1"/>
        </w:rPr>
      </w:pPr>
      <w:r w:rsidRPr="006742E6">
        <w:rPr>
          <w:rFonts w:cs="Calibri"/>
          <w:color w:val="000000" w:themeColor="text1"/>
        </w:rPr>
        <w:t>C] Presuming statements are false is impossible – we can’t operate in the world if we can’t trust anything we hear</w:t>
      </w:r>
    </w:p>
    <w:p w14:paraId="1BBE23E1" w14:textId="39281F89" w:rsidR="00B3497F" w:rsidRPr="00C32E73" w:rsidRDefault="00E534C1" w:rsidP="00B3497F">
      <w:pPr>
        <w:pStyle w:val="Heading4"/>
      </w:pPr>
      <w:r>
        <w:t>4</w:t>
      </w:r>
      <w:r w:rsidR="00B3497F">
        <w:t xml:space="preserve">] </w:t>
      </w:r>
      <w:bookmarkStart w:id="9" w:name="_Hlk93072013"/>
      <w:r w:rsidR="00B3497F">
        <w:t>Ideal theory is good and inevitable.</w:t>
      </w:r>
    </w:p>
    <w:p w14:paraId="68732223" w14:textId="77777777" w:rsidR="00B3497F" w:rsidRPr="0036278C" w:rsidRDefault="00B3497F" w:rsidP="00B3497F">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23F189C9" w14:textId="590A4A8E" w:rsidR="00B3497F" w:rsidRDefault="00B3497F" w:rsidP="00B3497F">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7E31D851" w14:textId="77777777" w:rsidR="0025507B" w:rsidRPr="00B65362" w:rsidRDefault="0025507B" w:rsidP="0025507B">
      <w:pPr>
        <w:pStyle w:val="Heading4"/>
      </w:pPr>
      <w:r>
        <w:t xml:space="preserve">5] </w:t>
      </w:r>
      <w:r>
        <w:t>Psychoanalysis is not empirical and has no explanatory power – prefer social science because it can explain events based on causal relationships</w:t>
      </w:r>
    </w:p>
    <w:p w14:paraId="59448A3E" w14:textId="77777777" w:rsidR="0025507B" w:rsidRDefault="0025507B" w:rsidP="0025507B">
      <w:proofErr w:type="spellStart"/>
      <w:r>
        <w:rPr>
          <w:rStyle w:val="Style13ptBold"/>
        </w:rPr>
        <w:t>Sadovnikov</w:t>
      </w:r>
      <w:proofErr w:type="spellEnd"/>
      <w:r>
        <w:t xml:space="preserve">, York University, </w:t>
      </w:r>
      <w:r>
        <w:rPr>
          <w:rStyle w:val="Style13ptBold"/>
        </w:rPr>
        <w:t>’07</w:t>
      </w:r>
      <w:r>
        <w:t xml:space="preserve"> (Slava, "Escape from Reason: Labels as Arguments and Theories", Dialogue XLVI (2007), 781-796, philpapers.org/archive/SADEFR.pdf)</w:t>
      </w:r>
    </w:p>
    <w:p w14:paraId="35785F3D" w14:textId="77777777" w:rsidR="0025507B" w:rsidRPr="00983EB8" w:rsidRDefault="0025507B" w:rsidP="0025507B">
      <w:pPr>
        <w:rPr>
          <w:sz w:val="16"/>
          <w:szCs w:val="20"/>
        </w:rPr>
      </w:pPr>
      <w:r>
        <w:rPr>
          <w:rStyle w:val="StyleUnderline"/>
          <w:szCs w:val="20"/>
        </w:rPr>
        <w:t>The way McLaughlin shows</w:t>
      </w:r>
      <w:r w:rsidRPr="00983EB8">
        <w:rPr>
          <w:sz w:val="16"/>
          <w:szCs w:val="20"/>
        </w:rPr>
        <w:t xml:space="preserve"> the </w:t>
      </w:r>
      <w:r>
        <w:rPr>
          <w:rStyle w:val="StyleUnderline"/>
          <w:szCs w:val="20"/>
        </w:rPr>
        <w:t xml:space="preserve">rosy prospects of </w:t>
      </w:r>
      <w:r w:rsidRPr="007A6577">
        <w:rPr>
          <w:rStyle w:val="StyleUnderline"/>
          <w:szCs w:val="20"/>
          <w:highlight w:val="green"/>
        </w:rPr>
        <w:t>psychoanalytical</w:t>
      </w:r>
      <w:r w:rsidRPr="00983EB8">
        <w:rPr>
          <w:sz w:val="16"/>
          <w:szCs w:val="20"/>
        </w:rPr>
        <w:t xml:space="preserve"> social </w:t>
      </w:r>
      <w:r w:rsidRPr="007A6577">
        <w:rPr>
          <w:rStyle w:val="StyleUnderline"/>
          <w:szCs w:val="20"/>
          <w:highlight w:val="green"/>
        </w:rPr>
        <w:t>theory</w:t>
      </w:r>
      <w:r>
        <w:rPr>
          <w:rStyle w:val="StyleUnderline"/>
          <w:szCs w:val="20"/>
        </w:rPr>
        <w:t xml:space="preserve"> boils down to</w:t>
      </w:r>
      <w:r w:rsidRPr="00983EB8">
        <w:rPr>
          <w:sz w:val="16"/>
          <w:szCs w:val="20"/>
        </w:rPr>
        <w:t xml:space="preserve"> this: there are </w:t>
      </w:r>
      <w:r>
        <w:rPr>
          <w:rStyle w:val="StyleUnderline"/>
          <w:szCs w:val="20"/>
        </w:rPr>
        <w:t xml:space="preserve">people who </w:t>
      </w:r>
      <w:proofErr w:type="spellStart"/>
      <w:r>
        <w:rPr>
          <w:rStyle w:val="StyleUnderline"/>
          <w:szCs w:val="20"/>
        </w:rPr>
        <w:t>labour</w:t>
      </w:r>
      <w:proofErr w:type="spellEnd"/>
      <w:r>
        <w:rPr>
          <w:rStyle w:val="StyleUnderline"/>
          <w:szCs w:val="20"/>
        </w:rPr>
        <w:t xml:space="preserve"> at it.</w:t>
      </w:r>
      <w:r w:rsidRPr="00983EB8">
        <w:rPr>
          <w:sz w:val="16"/>
          <w:szCs w:val="20"/>
        </w:rPr>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Pr>
          <w:rStyle w:val="StyleUnderline"/>
          <w:szCs w:val="20"/>
        </w:rPr>
        <w:t xml:space="preserve">He correctly expects that I might not view his examples as scientiﬁc. Their </w:t>
      </w:r>
      <w:r w:rsidRPr="007A6577">
        <w:rPr>
          <w:rStyle w:val="StyleUnderline"/>
          <w:szCs w:val="20"/>
          <w:highlight w:val="green"/>
        </w:rPr>
        <w:t>problems begin</w:t>
      </w:r>
      <w:r>
        <w:rPr>
          <w:rStyle w:val="StyleUnderline"/>
          <w:szCs w:val="20"/>
        </w:rPr>
        <w:t xml:space="preserve"> well before</w:t>
      </w:r>
      <w:r w:rsidRPr="00983EB8">
        <w:rPr>
          <w:sz w:val="16"/>
          <w:szCs w:val="20"/>
        </w:rPr>
        <w:t xml:space="preserve"> that. First, </w:t>
      </w:r>
      <w:r w:rsidRPr="007A6577">
        <w:rPr>
          <w:rStyle w:val="StyleUnderline"/>
          <w:szCs w:val="20"/>
          <w:highlight w:val="green"/>
        </w:rPr>
        <w:t xml:space="preserve">due to their </w:t>
      </w:r>
      <w:r w:rsidRPr="007A6577">
        <w:rPr>
          <w:rStyle w:val="Emphasis"/>
          <w:szCs w:val="20"/>
          <w:highlight w:val="green"/>
        </w:rPr>
        <w:t>informative emptiness</w:t>
      </w:r>
      <w:r>
        <w:rPr>
          <w:rStyle w:val="Emphasis"/>
          <w:szCs w:val="20"/>
        </w:rPr>
        <w:t>, or tautological character</w:t>
      </w:r>
      <w:r>
        <w:rPr>
          <w:rStyle w:val="StyleUnderline"/>
          <w:szCs w:val="20"/>
        </w:rPr>
        <w:t>, all they amount to is rewordings of everyday assumptions</w:t>
      </w:r>
      <w:r w:rsidRPr="00983EB8">
        <w:rPr>
          <w:sz w:val="16"/>
          <w:szCs w:val="20"/>
        </w:rPr>
        <w:t xml:space="preserve">. Second, </w:t>
      </w:r>
      <w:r>
        <w:rPr>
          <w:rStyle w:val="StyleUnderline"/>
          <w:szCs w:val="20"/>
        </w:rPr>
        <w:t xml:space="preserve">due to their vagueness these accounts are compatible with any outcomes; in other words, </w:t>
      </w:r>
      <w:r w:rsidRPr="007A6577">
        <w:rPr>
          <w:rStyle w:val="Emphasis"/>
          <w:szCs w:val="20"/>
          <w:highlight w:val="green"/>
        </w:rPr>
        <w:t>they lack explanatory and predictive power</w:t>
      </w:r>
      <w:r w:rsidRPr="007A6577">
        <w:rPr>
          <w:rStyle w:val="StyleUnderline"/>
          <w:szCs w:val="20"/>
          <w:highlight w:val="green"/>
        </w:rPr>
        <w:t>. The proposed ideas are too inarticulate to subject to</w:t>
      </w:r>
      <w:r>
        <w:rPr>
          <w:rStyle w:val="StyleUnderline"/>
          <w:szCs w:val="20"/>
        </w:rPr>
        <w:t xml:space="preserve"> intersubjective </w:t>
      </w:r>
      <w:r w:rsidRPr="007A6577">
        <w:rPr>
          <w:rStyle w:val="StyleUnderline"/>
          <w:szCs w:val="20"/>
          <w:highlight w:val="green"/>
        </w:rPr>
        <w:t xml:space="preserve">criticism, and </w:t>
      </w:r>
      <w:r w:rsidRPr="007A6577">
        <w:rPr>
          <w:rStyle w:val="Emphasis"/>
          <w:szCs w:val="20"/>
          <w:highlight w:val="green"/>
        </w:rPr>
        <w:t>to call them empirical or scientiﬁc</w:t>
      </w:r>
      <w:r>
        <w:rPr>
          <w:rStyle w:val="Emphasis"/>
          <w:szCs w:val="20"/>
        </w:rPr>
        <w:t xml:space="preserve"> theories </w:t>
      </w:r>
      <w:r w:rsidRPr="007A6577">
        <w:rPr>
          <w:rStyle w:val="Emphasis"/>
          <w:szCs w:val="20"/>
          <w:highlight w:val="green"/>
        </w:rPr>
        <w:t>would be</w:t>
      </w:r>
      <w:r>
        <w:rPr>
          <w:rStyle w:val="Emphasis"/>
          <w:szCs w:val="20"/>
        </w:rPr>
        <w:t xml:space="preserve">, no matter how comforting, </w:t>
      </w:r>
      <w:r w:rsidRPr="007A6577">
        <w:rPr>
          <w:rStyle w:val="Emphasis"/>
          <w:szCs w:val="20"/>
          <w:highlight w:val="green"/>
        </w:rPr>
        <w:t>a gross misuse of words.</w:t>
      </w:r>
      <w:r w:rsidRPr="00983EB8">
        <w:rPr>
          <w:sz w:val="16"/>
          <w:szCs w:val="20"/>
        </w:rPr>
        <w:t xml:space="preserve"> On the constructive side, a psychoanalytic theorist may be challenged to unambiguously formulate her suppositions and specify conditions of their disproof, to leave out what we already well know and smooth out internal </w:t>
      </w:r>
      <w:proofErr w:type="gramStart"/>
      <w:r w:rsidRPr="00983EB8">
        <w:rPr>
          <w:sz w:val="16"/>
          <w:szCs w:val="20"/>
        </w:rPr>
        <w:t>inconsistencies, and</w:t>
      </w:r>
      <w:proofErr w:type="gramEnd"/>
      <w:r w:rsidRPr="00983EB8">
        <w:rPr>
          <w:sz w:val="16"/>
          <w:szCs w:val="20"/>
        </w:rPr>
        <w:t xml:space="preserve"> revise the theories in view of easily available counter-examples and competing accounts. Only after having done this </w:t>
      </w:r>
      <w:proofErr w:type="gramStart"/>
      <w:r w:rsidRPr="00983EB8">
        <w:rPr>
          <w:sz w:val="16"/>
          <w:szCs w:val="20"/>
        </w:rPr>
        <w:t>can</w:t>
      </w:r>
      <w:proofErr w:type="gramEnd"/>
      <w:r w:rsidRPr="00983EB8">
        <w:rPr>
          <w:sz w:val="16"/>
          <w:szCs w:val="20"/>
        </w:rPr>
        <w:t xml:space="preserve"> one present candidate theories to public criticism and thus make them part of science, and fruitfully discuss their further reﬁnements. Another suggestion is not to label them “powerful theories,” “classics,” or anything else before their real scrutiny begins. </w:t>
      </w:r>
      <w:r>
        <w:rPr>
          <w:rStyle w:val="StyleUnderline"/>
          <w:szCs w:val="20"/>
        </w:rPr>
        <w:t xml:space="preserve">That criticism and disagreement are indispensable for </w:t>
      </w:r>
      <w:r w:rsidRPr="007A6577">
        <w:rPr>
          <w:rStyle w:val="Emphasis"/>
          <w:szCs w:val="20"/>
          <w:highlight w:val="green"/>
        </w:rPr>
        <w:t>science is not a “Popperian orthodoxy</w:t>
      </w:r>
      <w:r w:rsidRPr="00983EB8">
        <w:rPr>
          <w:sz w:val="16"/>
          <w:szCs w:val="20"/>
        </w:rPr>
        <w:t xml:space="preserve">,” although Popper does champion this idea; </w:t>
      </w:r>
      <w:r>
        <w:rPr>
          <w:rStyle w:val="StyleUnderline"/>
          <w:szCs w:val="20"/>
        </w:rPr>
        <w:t>it is the pivot of the tradition</w:t>
      </w:r>
      <w:r w:rsidRPr="00983EB8">
        <w:rPr>
          <w:sz w:val="16"/>
          <w:szCs w:val="20"/>
        </w:rPr>
        <w:t xml:space="preserve"> (which we owe to the Greeks) </w:t>
      </w:r>
      <w:r>
        <w:rPr>
          <w:rStyle w:val="StyleUnderline"/>
          <w:szCs w:val="20"/>
        </w:rPr>
        <w:t>which identiﬁes rationalism with criticism</w:t>
      </w:r>
      <w:r w:rsidRPr="00983EB8">
        <w:rPr>
          <w:sz w:val="16"/>
          <w:szCs w:val="20"/>
        </w:rPr>
        <w:t xml:space="preserve">. 4 McLaughlin ostensibly bows to the critical tradition but does not put it to use. Instead of critical evaluation of the theories in question he writes of “compelling case,” “powerful analytic model,” and “useful conceptual tool.” </w:t>
      </w:r>
      <w:r>
        <w:rPr>
          <w:rStyle w:val="StyleUnderline"/>
          <w:szCs w:val="20"/>
        </w:rPr>
        <w:t>On the methodological side of the issue, we should inquire into the mode of thinking common</w:t>
      </w:r>
      <w:r w:rsidRPr="00983EB8">
        <w:rPr>
          <w:sz w:val="16"/>
          <w:szCs w:val="20"/>
        </w:rPr>
        <w:t xml:space="preserve"> to Fromm and all adherents of conﬁrmation-ism. </w:t>
      </w:r>
      <w:r>
        <w:rPr>
          <w:rStyle w:val="StyleUnderline"/>
          <w:szCs w:val="20"/>
        </w:rPr>
        <w:t>The trick consists in mere replacement of familiar words with</w:t>
      </w:r>
      <w:r w:rsidRPr="00983EB8">
        <w:rPr>
          <w:sz w:val="16"/>
          <w:szCs w:val="20"/>
        </w:rPr>
        <w:t xml:space="preserve"> new, more </w:t>
      </w:r>
      <w:r>
        <w:rPr>
          <w:rStyle w:val="StyleUnderline"/>
          <w:szCs w:val="20"/>
        </w:rPr>
        <w:t>peculiar ones</w:t>
      </w:r>
      <w:r w:rsidRPr="00983EB8">
        <w:rPr>
          <w:sz w:val="16"/>
          <w:szCs w:val="20"/>
        </w:rPr>
        <w:t xml:space="preserve">; customary expressions are substituted by “instrumental intimacy,” “collaborative circles,” and “idealization of a self-object.” </w:t>
      </w:r>
      <w:r>
        <w:rPr>
          <w:rStyle w:val="StyleUnderline"/>
          <w:szCs w:val="20"/>
        </w:rPr>
        <w:t>Since the new</w:t>
      </w:r>
      <w:r w:rsidRPr="00983EB8">
        <w:rPr>
          <w:sz w:val="16"/>
          <w:szCs w:val="20"/>
        </w:rPr>
        <w:t xml:space="preserve">, funnier, and </w:t>
      </w:r>
      <w:r>
        <w:rPr>
          <w:rStyle w:val="StyleUnderline"/>
          <w:szCs w:val="20"/>
        </w:rPr>
        <w:t>pseudo-theoretical tag does the job of naming just as well, it “shows how” things work. The new labels</w:t>
      </w:r>
      <w:r w:rsidRPr="00983EB8">
        <w:rPr>
          <w:sz w:val="16"/>
          <w:szCs w:val="20"/>
        </w:rPr>
        <w:t xml:space="preserve"> in the cases criticized here </w:t>
      </w:r>
      <w:r>
        <w:rPr>
          <w:rStyle w:val="StyleUnderline"/>
          <w:szCs w:val="20"/>
        </w:rPr>
        <w:t>do not add anything to our knowledge; nor do they explain</w:t>
      </w:r>
      <w:r w:rsidRPr="00983EB8">
        <w:rPr>
          <w:sz w:val="16"/>
          <w:szCs w:val="20"/>
        </w:rPr>
        <w:t xml:space="preserve">. We have seen Fromm routinely abuse this technique. The vacuity of Fromm’s explanations by character type was the central point in my analysis of </w:t>
      </w:r>
      <w:proofErr w:type="gramStart"/>
      <w:r w:rsidRPr="00983EB8">
        <w:rPr>
          <w:sz w:val="16"/>
          <w:szCs w:val="20"/>
        </w:rPr>
        <w:t>Escape ,</w:t>
      </w:r>
      <w:proofErr w:type="gramEnd"/>
      <w:r w:rsidRPr="00983EB8">
        <w:rPr>
          <w:sz w:val="16"/>
          <w:szCs w:val="20"/>
        </w:rPr>
        <w:t xml:space="preserve"> yet McLaughlin conveniently ignores it and, like Fromm, uses the method of labelling as somehow supporting his cause. </w:t>
      </w:r>
      <w:r w:rsidRPr="007A6577">
        <w:rPr>
          <w:rStyle w:val="StyleUnderline"/>
          <w:szCs w:val="20"/>
          <w:highlight w:val="green"/>
        </w:rPr>
        <w:t>The</w:t>
      </w:r>
      <w:r>
        <w:rPr>
          <w:rStyle w:val="StyleUnderline"/>
          <w:szCs w:val="20"/>
        </w:rPr>
        <w:t xml:space="preserve"> widely popular </w:t>
      </w:r>
      <w:r w:rsidRPr="007A6577">
        <w:rPr>
          <w:rStyle w:val="StyleUnderline"/>
          <w:szCs w:val="20"/>
          <w:highlight w:val="green"/>
        </w:rPr>
        <w:t>practice of mistaking new labels for explanations has been exposed</w:t>
      </w:r>
      <w:r>
        <w:rPr>
          <w:rStyle w:val="StyleUnderline"/>
          <w:szCs w:val="20"/>
        </w:rPr>
        <w:t xml:space="preserve"> by many methodologists</w:t>
      </w:r>
      <w:r w:rsidRPr="00983EB8">
        <w:rPr>
          <w:sz w:val="16"/>
          <w:szCs w:val="20"/>
        </w:rPr>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983EB8">
        <w:rPr>
          <w:sz w:val="16"/>
          <w:szCs w:val="20"/>
        </w:rPr>
        <w:t>virtus</w:t>
      </w:r>
      <w:proofErr w:type="spellEnd"/>
      <w:r w:rsidRPr="00983EB8">
        <w:rPr>
          <w:sz w:val="16"/>
          <w:szCs w:val="20"/>
        </w:rPr>
        <w:t xml:space="preserve"> </w:t>
      </w:r>
      <w:proofErr w:type="spellStart"/>
      <w:r w:rsidRPr="00983EB8">
        <w:rPr>
          <w:sz w:val="16"/>
          <w:szCs w:val="20"/>
        </w:rPr>
        <w:t>dormitiva</w:t>
      </w:r>
      <w:proofErr w:type="spellEnd"/>
      <w:r w:rsidRPr="00983EB8">
        <w:rPr>
          <w:sz w:val="16"/>
          <w:szCs w:val="20"/>
        </w:rPr>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7A6577">
        <w:rPr>
          <w:rStyle w:val="StyleUnderline"/>
          <w:szCs w:val="20"/>
          <w:highlight w:val="green"/>
        </w:rPr>
        <w:t>social scientists</w:t>
      </w:r>
      <w:r>
        <w:rPr>
          <w:rStyle w:val="StyleUnderline"/>
          <w:szCs w:val="20"/>
        </w:rPr>
        <w:t xml:space="preserve"> often</w:t>
      </w:r>
      <w:r w:rsidRPr="00983EB8">
        <w:rPr>
          <w:sz w:val="16"/>
          <w:szCs w:val="20"/>
        </w:rPr>
        <w:t xml:space="preserve"> try to </w:t>
      </w:r>
      <w:r w:rsidRPr="007A6577">
        <w:rPr>
          <w:rStyle w:val="StyleUnderline"/>
          <w:szCs w:val="20"/>
          <w:highlight w:val="green"/>
        </w:rPr>
        <w:t>answer the question, “What is this phenomenon?” by giving an “explanation-by-concept</w:t>
      </w:r>
      <w:r>
        <w:rPr>
          <w:rStyle w:val="StyleUnderline"/>
          <w:szCs w:val="20"/>
        </w:rPr>
        <w:t>”</w:t>
      </w:r>
      <w:r w:rsidRPr="00983EB8">
        <w:rPr>
          <w:sz w:val="16"/>
          <w:szCs w:val="20"/>
        </w:rPr>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 Hempel agrees with Dray that </w:t>
      </w:r>
      <w:r w:rsidRPr="007A6577">
        <w:rPr>
          <w:rStyle w:val="StyleUnderline"/>
          <w:szCs w:val="20"/>
          <w:highlight w:val="green"/>
        </w:rPr>
        <w:t>such</w:t>
      </w:r>
      <w:r>
        <w:rPr>
          <w:rStyle w:val="StyleUnderline"/>
          <w:szCs w:val="20"/>
        </w:rPr>
        <w:t xml:space="preserve"> concepts </w:t>
      </w:r>
      <w:r w:rsidRPr="007A6577">
        <w:rPr>
          <w:rStyle w:val="StyleUnderline"/>
          <w:szCs w:val="20"/>
          <w:highlight w:val="green"/>
        </w:rPr>
        <w:t>may be explanatory, but</w:t>
      </w:r>
      <w:r>
        <w:rPr>
          <w:rStyle w:val="StyleUnderline"/>
          <w:szCs w:val="20"/>
        </w:rPr>
        <w:t xml:space="preserve"> they are so </w:t>
      </w:r>
      <w:r w:rsidRPr="007A6577">
        <w:rPr>
          <w:rStyle w:val="StyleUnderline"/>
          <w:szCs w:val="20"/>
          <w:highlight w:val="green"/>
        </w:rPr>
        <w:t>only if the</w:t>
      </w:r>
      <w:r>
        <w:rPr>
          <w:rStyle w:val="StyleUnderline"/>
          <w:szCs w:val="20"/>
        </w:rPr>
        <w:t xml:space="preserve"> chosen </w:t>
      </w:r>
      <w:r w:rsidRPr="007A6577">
        <w:rPr>
          <w:rStyle w:val="StyleUnderline"/>
          <w:szCs w:val="20"/>
          <w:highlight w:val="green"/>
        </w:rPr>
        <w:t>labels</w:t>
      </w:r>
      <w:r>
        <w:rPr>
          <w:rStyle w:val="StyleUnderline"/>
          <w:szCs w:val="20"/>
        </w:rPr>
        <w:t xml:space="preserve"> or classiﬁcatory tags </w:t>
      </w:r>
      <w:r w:rsidRPr="007A6577">
        <w:rPr>
          <w:rStyle w:val="StyleUnderline"/>
          <w:szCs w:val="20"/>
          <w:highlight w:val="green"/>
        </w:rPr>
        <w:t xml:space="preserve">refer to some </w:t>
      </w:r>
      <w:proofErr w:type="gramStart"/>
      <w:r w:rsidRPr="007A6577">
        <w:rPr>
          <w:rStyle w:val="StyleUnderline"/>
          <w:szCs w:val="20"/>
          <w:highlight w:val="green"/>
        </w:rPr>
        <w:t>uniformities</w:t>
      </w:r>
      <w:r w:rsidRPr="00983EB8">
        <w:rPr>
          <w:sz w:val="16"/>
          <w:szCs w:val="20"/>
        </w:rPr>
        <w:t>, or</w:t>
      </w:r>
      <w:proofErr w:type="gramEnd"/>
      <w:r w:rsidRPr="00983EB8">
        <w:rPr>
          <w:sz w:val="16"/>
          <w:szCs w:val="20"/>
        </w:rPr>
        <w:t xml:space="preserve"> are based on nomic analogies. In other words, </w:t>
      </w:r>
      <w:r w:rsidRPr="007A6577">
        <w:rPr>
          <w:rStyle w:val="StyleUnderline"/>
          <w:szCs w:val="20"/>
          <w:highlight w:val="green"/>
        </w:rPr>
        <w:t>our new label has explanatory force if it</w:t>
      </w:r>
      <w:r w:rsidRPr="00983EB8">
        <w:rPr>
          <w:sz w:val="16"/>
          <w:szCs w:val="20"/>
        </w:rPr>
        <w:t xml:space="preserve"> states or </w:t>
      </w:r>
      <w:r w:rsidRPr="007A6577">
        <w:rPr>
          <w:rStyle w:val="StyleUnderline"/>
          <w:szCs w:val="20"/>
          <w:highlight w:val="green"/>
        </w:rPr>
        <w:t>implies some</w:t>
      </w:r>
      <w:r>
        <w:rPr>
          <w:rStyle w:val="StyleUnderline"/>
          <w:szCs w:val="20"/>
        </w:rPr>
        <w:t xml:space="preserve"> established </w:t>
      </w:r>
      <w:r w:rsidRPr="007A6577">
        <w:rPr>
          <w:rStyle w:val="StyleUnderline"/>
          <w:szCs w:val="20"/>
          <w:highlight w:val="green"/>
        </w:rPr>
        <w:t>regularity</w:t>
      </w:r>
      <w:r w:rsidRPr="00983EB8">
        <w:rPr>
          <w:sz w:val="16"/>
          <w:szCs w:val="20"/>
        </w:rPr>
        <w:t xml:space="preserve"> (Hempel 1970, pp. 453-57). </w:t>
      </w:r>
      <w:r w:rsidRPr="007A6577">
        <w:rPr>
          <w:rStyle w:val="StyleUnderline"/>
          <w:szCs w:val="20"/>
          <w:highlight w:val="green"/>
        </w:rPr>
        <w:t>For example, you travel to a foreign country and</w:t>
      </w:r>
      <w:r>
        <w:rPr>
          <w:rStyle w:val="StyleUnderline"/>
          <w:szCs w:val="20"/>
        </w:rPr>
        <w:t xml:space="preserve">, strolling along the street, </w:t>
      </w:r>
      <w:r w:rsidRPr="007A6577">
        <w:rPr>
          <w:rStyle w:val="StyleUnderline"/>
          <w:szCs w:val="20"/>
          <w:highlight w:val="green"/>
        </w:rPr>
        <w:t>see a boisterous crowd. Your guide may explain the crowd with</w:t>
      </w:r>
      <w:r>
        <w:rPr>
          <w:rStyle w:val="StyleUnderline"/>
          <w:szCs w:val="20"/>
        </w:rPr>
        <w:t xml:space="preserve"> one of </w:t>
      </w:r>
      <w:r w:rsidRPr="007A6577">
        <w:rPr>
          <w:rStyle w:val="StyleUnderline"/>
          <w:szCs w:val="20"/>
          <w:highlight w:val="green"/>
        </w:rPr>
        <w:t>several terms</w:t>
      </w:r>
      <w:r w:rsidRPr="00983EB8">
        <w:rPr>
          <w:sz w:val="16"/>
          <w:szCs w:val="20"/>
        </w:rPr>
        <w:t xml:space="preserve">: that it is </w:t>
      </w:r>
      <w:r>
        <w:rPr>
          <w:rStyle w:val="StyleUnderline"/>
          <w:szCs w:val="20"/>
        </w:rPr>
        <w:t>the local soccer team’s fans</w:t>
      </w:r>
      <w:r w:rsidRPr="00983EB8">
        <w:rPr>
          <w:sz w:val="16"/>
          <w:szCs w:val="20"/>
        </w:rPr>
        <w:t xml:space="preserve"> celebrating its victory, </w:t>
      </w:r>
      <w:r>
        <w:rPr>
          <w:rStyle w:val="StyleUnderline"/>
          <w:szCs w:val="20"/>
        </w:rPr>
        <w:t>or</w:t>
      </w:r>
      <w:r w:rsidRPr="00983EB8">
        <w:rPr>
          <w:sz w:val="16"/>
          <w:szCs w:val="20"/>
        </w:rPr>
        <w:t xml:space="preserve"> it is </w:t>
      </w:r>
      <w:r>
        <w:rPr>
          <w:rStyle w:val="StyleUnderline"/>
          <w:szCs w:val="20"/>
        </w:rPr>
        <w:t xml:space="preserve">a local religious festival, or a teachers’ strike, etc. </w:t>
      </w:r>
      <w:r w:rsidRPr="007A6577">
        <w:rPr>
          <w:rStyle w:val="Emphasis"/>
          <w:szCs w:val="20"/>
          <w:highlight w:val="green"/>
        </w:rPr>
        <w:t>The labels</w:t>
      </w:r>
      <w:r>
        <w:rPr>
          <w:rStyle w:val="Emphasis"/>
          <w:szCs w:val="20"/>
        </w:rPr>
        <w:t xml:space="preserve"> applied here—</w:t>
      </w:r>
      <w:r w:rsidRPr="007A6577">
        <w:rPr>
          <w:rStyle w:val="Emphasis"/>
          <w:szCs w:val="20"/>
          <w:highlight w:val="green"/>
        </w:rPr>
        <w:t>celebration, festival, strike— have explanatory value</w:t>
      </w:r>
      <w:r w:rsidRPr="007A6577">
        <w:rPr>
          <w:rStyle w:val="StyleUnderline"/>
          <w:szCs w:val="20"/>
          <w:highlight w:val="green"/>
        </w:rPr>
        <w:t xml:space="preserve">, because we know that </w:t>
      </w:r>
      <w:proofErr w:type="gramStart"/>
      <w:r w:rsidRPr="007A6577">
        <w:rPr>
          <w:rStyle w:val="StyleUnderline"/>
          <w:szCs w:val="20"/>
          <w:highlight w:val="green"/>
        </w:rPr>
        <w:t>things</w:t>
      </w:r>
      <w:proofErr w:type="gramEnd"/>
      <w:r w:rsidRPr="007A6577">
        <w:rPr>
          <w:rStyle w:val="StyleUnderline"/>
          <w:szCs w:val="20"/>
          <w:highlight w:val="green"/>
        </w:rPr>
        <w:t xml:space="preserve"> they refer to</w:t>
      </w:r>
      <w:r>
        <w:rPr>
          <w:rStyle w:val="StyleUnderline"/>
          <w:szCs w:val="20"/>
        </w:rPr>
        <w:t xml:space="preserve"> usually </w:t>
      </w:r>
      <w:r w:rsidRPr="007A6577">
        <w:rPr>
          <w:rStyle w:val="StyleUnderline"/>
          <w:szCs w:val="20"/>
          <w:highlight w:val="green"/>
        </w:rPr>
        <w:t>manifest themselves in noisy</w:t>
      </w:r>
      <w:r w:rsidRPr="00983EB8">
        <w:rPr>
          <w:sz w:val="16"/>
          <w:szCs w:val="20"/>
        </w:rPr>
        <w:t xml:space="preserve"> or unruly </w:t>
      </w:r>
      <w:r>
        <w:rPr>
          <w:rStyle w:val="StyleUnderline"/>
          <w:szCs w:val="20"/>
        </w:rPr>
        <w:t xml:space="preserve">mass </w:t>
      </w:r>
      <w:r w:rsidRPr="007A6577">
        <w:rPr>
          <w:rStyle w:val="StyleUnderline"/>
          <w:szCs w:val="20"/>
          <w:highlight w:val="green"/>
        </w:rPr>
        <w:t>gatherings</w:t>
      </w:r>
      <w:r w:rsidRPr="00983EB8">
        <w:rPr>
          <w:sz w:val="16"/>
          <w:szCs w:val="20"/>
        </w:rPr>
        <w:t xml:space="preserve">. </w:t>
      </w:r>
      <w:r w:rsidRPr="007A6577">
        <w:rPr>
          <w:rStyle w:val="Emphasis"/>
          <w:szCs w:val="20"/>
          <w:highlight w:val="green"/>
        </w:rPr>
        <w:t>If, on the other hand</w:t>
      </w:r>
      <w:r>
        <w:rPr>
          <w:rStyle w:val="StyleUnderline"/>
          <w:szCs w:val="20"/>
        </w:rPr>
        <w:t xml:space="preserve">, by way of explaining the boisterous crowd </w:t>
      </w:r>
      <w:r w:rsidRPr="007A6577">
        <w:rPr>
          <w:rStyle w:val="Emphasis"/>
          <w:szCs w:val="20"/>
          <w:highlight w:val="green"/>
        </w:rPr>
        <w:t>the guide had invoked</w:t>
      </w:r>
      <w:r w:rsidRPr="007A6577">
        <w:rPr>
          <w:rStyle w:val="StyleUnderline"/>
          <w:szCs w:val="20"/>
          <w:highlight w:val="green"/>
        </w:rPr>
        <w:t xml:space="preserve"> </w:t>
      </w:r>
      <w:r>
        <w:rPr>
          <w:rStyle w:val="StyleUnderline"/>
          <w:szCs w:val="20"/>
        </w:rPr>
        <w:t xml:space="preserve">some </w:t>
      </w:r>
      <w:r w:rsidRPr="007A6577">
        <w:rPr>
          <w:rStyle w:val="Emphasis"/>
          <w:szCs w:val="20"/>
          <w:highlight w:val="green"/>
        </w:rPr>
        <w:t>hidden</w:t>
      </w:r>
      <w:r w:rsidRPr="00983EB8">
        <w:rPr>
          <w:sz w:val="16"/>
          <w:szCs w:val="20"/>
        </w:rPr>
        <w:t xml:space="preserve"> social or </w:t>
      </w:r>
      <w:r w:rsidRPr="007A6577">
        <w:rPr>
          <w:rStyle w:val="Emphasis"/>
          <w:szCs w:val="20"/>
          <w:highlight w:val="green"/>
        </w:rPr>
        <w:t>psychological forces</w:t>
      </w:r>
      <w:r w:rsidRPr="007A6577">
        <w:rPr>
          <w:rStyle w:val="StyleUnderline"/>
          <w:szCs w:val="20"/>
          <w:highlight w:val="green"/>
        </w:rPr>
        <w:t>,</w:t>
      </w:r>
      <w:r>
        <w:rPr>
          <w:rStyle w:val="StyleUnderline"/>
          <w:szCs w:val="20"/>
        </w:rPr>
        <w:t xml:space="preserve"> or used expressions such as</w:t>
      </w:r>
      <w:r w:rsidRPr="00983EB8">
        <w:rPr>
          <w:sz w:val="16"/>
          <w:szCs w:val="20"/>
        </w:rPr>
        <w:t xml:space="preserve"> embodiment, mode of production, de-</w:t>
      </w:r>
      <w:proofErr w:type="spellStart"/>
      <w:r w:rsidRPr="00983EB8">
        <w:rPr>
          <w:sz w:val="16"/>
          <w:szCs w:val="20"/>
        </w:rPr>
        <w:t>centring</w:t>
      </w:r>
      <w:proofErr w:type="spellEnd"/>
      <w:r w:rsidRPr="00983EB8">
        <w:rPr>
          <w:sz w:val="16"/>
          <w:szCs w:val="20"/>
        </w:rPr>
        <w:t xml:space="preserve">, </w:t>
      </w:r>
      <w:r>
        <w:rPr>
          <w:rStyle w:val="StyleUnderline"/>
          <w:szCs w:val="20"/>
        </w:rPr>
        <w:t xml:space="preserve">simulacra, otherness, etc., </w:t>
      </w:r>
      <w:r w:rsidRPr="007A6577">
        <w:rPr>
          <w:rStyle w:val="Emphasis"/>
          <w:szCs w:val="20"/>
          <w:highlight w:val="green"/>
        </w:rPr>
        <w:t>its causes would remain obscure</w:t>
      </w:r>
      <w:r w:rsidRPr="007A6577">
        <w:rPr>
          <w:rStyle w:val="StyleUnderline"/>
          <w:szCs w:val="20"/>
          <w:highlight w:val="green"/>
        </w:rPr>
        <w:t>. If she had referred to psychoanalytic</w:t>
      </w:r>
      <w:r>
        <w:rPr>
          <w:rStyle w:val="StyleUnderline"/>
          <w:szCs w:val="20"/>
        </w:rPr>
        <w:t xml:space="preserve"> “character </w:t>
      </w:r>
      <w:r w:rsidRPr="007A6577">
        <w:rPr>
          <w:rStyle w:val="StyleUnderline"/>
          <w:szCs w:val="20"/>
          <w:highlight w:val="green"/>
        </w:rPr>
        <w:t>types</w:t>
      </w:r>
      <w:r>
        <w:rPr>
          <w:rStyle w:val="StyleUnderline"/>
          <w:szCs w:val="20"/>
        </w:rPr>
        <w:t>”</w:t>
      </w:r>
      <w:r w:rsidRPr="00983EB8">
        <w:rPr>
          <w:sz w:val="16"/>
          <w:szCs w:val="20"/>
        </w:rPr>
        <w:t xml:space="preserve"> (say, Fromm’s authoritarian, anal, or necrophiliac types), </w:t>
      </w:r>
      <w:r w:rsidRPr="007A6577">
        <w:rPr>
          <w:rStyle w:val="Emphasis"/>
          <w:szCs w:val="20"/>
          <w:highlight w:val="green"/>
        </w:rPr>
        <w:t xml:space="preserve">the explanation would not make </w:t>
      </w:r>
      <w:r>
        <w:rPr>
          <w:rStyle w:val="Emphasis"/>
          <w:szCs w:val="20"/>
        </w:rPr>
        <w:t xml:space="preserve">much </w:t>
      </w:r>
      <w:r w:rsidRPr="007A6577">
        <w:rPr>
          <w:rStyle w:val="Emphasis"/>
          <w:szCs w:val="20"/>
          <w:highlight w:val="green"/>
        </w:rPr>
        <w:t>sense</w:t>
      </w:r>
      <w:r>
        <w:rPr>
          <w:rStyle w:val="Emphasis"/>
          <w:szCs w:val="20"/>
        </w:rPr>
        <w:t xml:space="preserve"> either</w:t>
      </w:r>
      <w:r>
        <w:rPr>
          <w:rStyle w:val="StyleUnderline"/>
          <w:szCs w:val="20"/>
        </w:rPr>
        <w:t>.</w:t>
      </w:r>
      <w:r w:rsidRPr="00983EB8">
        <w:rPr>
          <w:sz w:val="16"/>
          <w:szCs w:val="20"/>
        </w:rPr>
        <w:t xml:space="preserve"> Nothing prevents us nevertheless from unconditionally attaching all these labels to any event. </w:t>
      </w:r>
      <w:r w:rsidRPr="007A6577">
        <w:rPr>
          <w:rStyle w:val="StyleUnderline"/>
          <w:szCs w:val="20"/>
          <w:highlight w:val="green"/>
        </w:rPr>
        <w:t>The mistake</w:t>
      </w:r>
      <w:r w:rsidRPr="00983EB8">
        <w:rPr>
          <w:sz w:val="16"/>
          <w:szCs w:val="20"/>
        </w:rPr>
        <w:t xml:space="preserve"> McLaughlin and </w:t>
      </w:r>
      <w:proofErr w:type="spellStart"/>
      <w:r>
        <w:rPr>
          <w:rStyle w:val="StyleUnderline"/>
          <w:szCs w:val="20"/>
        </w:rPr>
        <w:t>conﬁrmationists</w:t>
      </w:r>
      <w:proofErr w:type="spellEnd"/>
      <w:r w:rsidRPr="00983EB8">
        <w:rPr>
          <w:sz w:val="16"/>
          <w:szCs w:val="20"/>
        </w:rPr>
        <w:t xml:space="preserve"> persistently </w:t>
      </w:r>
      <w:r>
        <w:rPr>
          <w:rStyle w:val="StyleUnderline"/>
          <w:szCs w:val="20"/>
        </w:rPr>
        <w:t xml:space="preserve">make </w:t>
      </w:r>
      <w:r w:rsidRPr="007A6577">
        <w:rPr>
          <w:rStyle w:val="StyleUnderline"/>
          <w:szCs w:val="20"/>
          <w:highlight w:val="green"/>
        </w:rPr>
        <w:t>is in thinking that labelling</w:t>
      </w:r>
      <w:r>
        <w:rPr>
          <w:rStyle w:val="StyleUnderline"/>
          <w:szCs w:val="20"/>
        </w:rPr>
        <w:t xml:space="preserve"> social </w:t>
      </w:r>
      <w:r w:rsidRPr="007A6577">
        <w:rPr>
          <w:rStyle w:val="StyleUnderline"/>
          <w:szCs w:val="20"/>
          <w:highlight w:val="green"/>
        </w:rPr>
        <w:t>phenomena alone does</w:t>
      </w:r>
      <w:r>
        <w:rPr>
          <w:rStyle w:val="StyleUnderline"/>
          <w:szCs w:val="20"/>
        </w:rPr>
        <w:t xml:space="preserve"> theoretical and </w:t>
      </w:r>
      <w:r w:rsidRPr="007A6577">
        <w:rPr>
          <w:rStyle w:val="StyleUnderline"/>
          <w:szCs w:val="20"/>
          <w:highlight w:val="green"/>
        </w:rPr>
        <w:t>explanatory work</w:t>
      </w:r>
      <w:r>
        <w:rPr>
          <w:rStyle w:val="StyleUnderline"/>
          <w:szCs w:val="20"/>
        </w:rPr>
        <w:t>.</w:t>
      </w:r>
      <w:r w:rsidRPr="00983EB8">
        <w:rPr>
          <w:sz w:val="16"/>
          <w:szCs w:val="20"/>
        </w:rPr>
        <w:t xml:space="preserve"> 5 George Homans observed the prevalence of this trick some decades ago: </w:t>
      </w:r>
      <w:r>
        <w:rPr>
          <w:rStyle w:val="StyleUnderline"/>
          <w:szCs w:val="20"/>
        </w:rPr>
        <w:t>Much</w:t>
      </w:r>
      <w:r w:rsidRPr="00983EB8">
        <w:rPr>
          <w:sz w:val="16"/>
          <w:szCs w:val="20"/>
        </w:rPr>
        <w:t xml:space="preserve"> modern </w:t>
      </w:r>
      <w:r>
        <w:rPr>
          <w:rStyle w:val="StyleUnderline"/>
          <w:szCs w:val="20"/>
        </w:rPr>
        <w:t xml:space="preserve">sociological </w:t>
      </w:r>
      <w:r w:rsidRPr="007A6577">
        <w:rPr>
          <w:rStyle w:val="Emphasis"/>
          <w:szCs w:val="20"/>
          <w:highlight w:val="green"/>
        </w:rPr>
        <w:t>theory seems to</w:t>
      </w:r>
      <w:r>
        <w:rPr>
          <w:rStyle w:val="Emphasis"/>
          <w:szCs w:val="20"/>
        </w:rPr>
        <w:t xml:space="preserve"> us to </w:t>
      </w:r>
      <w:r w:rsidRPr="007A6577">
        <w:rPr>
          <w:rStyle w:val="Emphasis"/>
          <w:szCs w:val="20"/>
          <w:highlight w:val="green"/>
        </w:rPr>
        <w:t>possess every virtue except that of explaining anything</w:t>
      </w:r>
      <w:proofErr w:type="gramStart"/>
      <w:r w:rsidRPr="007A6577">
        <w:rPr>
          <w:rStyle w:val="StyleUnderline"/>
          <w:szCs w:val="20"/>
          <w:highlight w:val="green"/>
        </w:rPr>
        <w:t>.</w:t>
      </w:r>
      <w:r w:rsidRPr="00983EB8">
        <w:rPr>
          <w:sz w:val="16"/>
          <w:szCs w:val="20"/>
        </w:rPr>
        <w:t xml:space="preserve"> . . .</w:t>
      </w:r>
      <w:proofErr w:type="gramEnd"/>
      <w:r w:rsidRPr="00983EB8">
        <w:rPr>
          <w:sz w:val="16"/>
          <w:szCs w:val="20"/>
        </w:rPr>
        <w:t xml:space="preserve"> </w:t>
      </w:r>
      <w:r w:rsidRPr="007A6577">
        <w:rPr>
          <w:rStyle w:val="StyleUnderline"/>
          <w:szCs w:val="20"/>
          <w:highlight w:val="green"/>
        </w:rPr>
        <w:t>The theorist shoves various aspects of behavior into</w:t>
      </w:r>
      <w:r>
        <w:rPr>
          <w:rStyle w:val="StyleUnderline"/>
          <w:szCs w:val="20"/>
        </w:rPr>
        <w:t xml:space="preserve"> his </w:t>
      </w:r>
      <w:r w:rsidRPr="007A6577">
        <w:rPr>
          <w:rStyle w:val="StyleUnderline"/>
          <w:szCs w:val="20"/>
          <w:highlight w:val="green"/>
        </w:rPr>
        <w:t>pigeonholes, cries “Ah-ha!” and leaves</w:t>
      </w:r>
      <w:r>
        <w:rPr>
          <w:rStyle w:val="StyleUnderline"/>
          <w:szCs w:val="20"/>
        </w:rPr>
        <w:t xml:space="preserve"> it at that. </w:t>
      </w:r>
      <w:r w:rsidRPr="007A6577">
        <w:rPr>
          <w:rStyle w:val="StyleUnderline"/>
          <w:szCs w:val="20"/>
          <w:highlight w:val="green"/>
        </w:rPr>
        <w:t>Like magicians</w:t>
      </w:r>
      <w:r w:rsidRPr="00983EB8">
        <w:rPr>
          <w:sz w:val="16"/>
          <w:szCs w:val="20"/>
        </w:rPr>
        <w:t xml:space="preserve"> in all times and places, </w:t>
      </w:r>
      <w:r w:rsidRPr="007A6577">
        <w:rPr>
          <w:rStyle w:val="StyleUnderline"/>
          <w:szCs w:val="20"/>
          <w:highlight w:val="green"/>
        </w:rPr>
        <w:t xml:space="preserve">the theorist thinks he controls phenomena if he </w:t>
      </w:r>
      <w:proofErr w:type="gramStart"/>
      <w:r w:rsidRPr="007A6577">
        <w:rPr>
          <w:rStyle w:val="StyleUnderline"/>
          <w:szCs w:val="20"/>
          <w:highlight w:val="green"/>
        </w:rPr>
        <w:t>is able to</w:t>
      </w:r>
      <w:proofErr w:type="gramEnd"/>
      <w:r w:rsidRPr="007A6577">
        <w:rPr>
          <w:rStyle w:val="StyleUnderline"/>
          <w:szCs w:val="20"/>
          <w:highlight w:val="green"/>
        </w:rPr>
        <w:t xml:space="preserve"> give them names</w:t>
      </w:r>
      <w:r>
        <w:rPr>
          <w:rStyle w:val="StyleUnderline"/>
          <w:szCs w:val="20"/>
        </w:rPr>
        <w:t>, particularly names of his own invention</w:t>
      </w:r>
      <w:r w:rsidRPr="00983EB8">
        <w:rPr>
          <w:sz w:val="16"/>
          <w:szCs w:val="20"/>
        </w:rPr>
        <w:t>. (1974, pp. 10-11)</w:t>
      </w:r>
    </w:p>
    <w:bookmarkEnd w:id="9"/>
    <w:p w14:paraId="47D8F362" w14:textId="0D0EC305" w:rsidR="00B3497F" w:rsidRPr="00B3497F" w:rsidRDefault="00B3497F" w:rsidP="00B3497F">
      <w:pPr>
        <w:pStyle w:val="Heading4"/>
      </w:pPr>
    </w:p>
    <w:bookmarkEnd w:id="8"/>
    <w:p w14:paraId="2CCCA5FF" w14:textId="77777777" w:rsidR="00B3497F" w:rsidRPr="0022039F" w:rsidRDefault="00B3497F" w:rsidP="00B3497F"/>
    <w:bookmarkEnd w:id="4"/>
    <w:p w14:paraId="7E5C8B62" w14:textId="77777777" w:rsidR="00220964" w:rsidRPr="00220964" w:rsidRDefault="00220964" w:rsidP="00220964"/>
    <w:sectPr w:rsidR="00220964" w:rsidRPr="00220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842233"/>
    <w:rsid w:val="000139A3"/>
    <w:rsid w:val="00100833"/>
    <w:rsid w:val="00104529"/>
    <w:rsid w:val="00105942"/>
    <w:rsid w:val="00107396"/>
    <w:rsid w:val="00144A4C"/>
    <w:rsid w:val="00176AB0"/>
    <w:rsid w:val="00177B7D"/>
    <w:rsid w:val="0018322D"/>
    <w:rsid w:val="001B5776"/>
    <w:rsid w:val="001E527A"/>
    <w:rsid w:val="001F78CE"/>
    <w:rsid w:val="00220964"/>
    <w:rsid w:val="00244A77"/>
    <w:rsid w:val="00251FC7"/>
    <w:rsid w:val="0025507B"/>
    <w:rsid w:val="002855A7"/>
    <w:rsid w:val="002B146A"/>
    <w:rsid w:val="002B5E17"/>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3F58"/>
    <w:rsid w:val="00722258"/>
    <w:rsid w:val="007243E5"/>
    <w:rsid w:val="00766EA0"/>
    <w:rsid w:val="007A2226"/>
    <w:rsid w:val="007F5B66"/>
    <w:rsid w:val="00823A1C"/>
    <w:rsid w:val="00842233"/>
    <w:rsid w:val="00845B9D"/>
    <w:rsid w:val="00857E1E"/>
    <w:rsid w:val="00860984"/>
    <w:rsid w:val="008B3ECB"/>
    <w:rsid w:val="008B4E85"/>
    <w:rsid w:val="008C1B2E"/>
    <w:rsid w:val="009007CE"/>
    <w:rsid w:val="0091627E"/>
    <w:rsid w:val="0097032B"/>
    <w:rsid w:val="0098502C"/>
    <w:rsid w:val="009D2EAD"/>
    <w:rsid w:val="009D54B2"/>
    <w:rsid w:val="009E1922"/>
    <w:rsid w:val="009F7ED2"/>
    <w:rsid w:val="00A93661"/>
    <w:rsid w:val="00A95652"/>
    <w:rsid w:val="00AC0AB8"/>
    <w:rsid w:val="00B33C6D"/>
    <w:rsid w:val="00B3497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34C1"/>
    <w:rsid w:val="00EC7DC4"/>
    <w:rsid w:val="00ED30CF"/>
    <w:rsid w:val="00F176EF"/>
    <w:rsid w:val="00F45E10"/>
    <w:rsid w:val="00F6364A"/>
    <w:rsid w:val="00F72A69"/>
    <w:rsid w:val="00F9113A"/>
    <w:rsid w:val="00F934A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333ED"/>
  <w15:chartTrackingRefBased/>
  <w15:docId w15:val="{B59886B9-D238-4880-BC06-51BA9FB8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2233"/>
    <w:rPr>
      <w:rFonts w:cs="Calibri"/>
    </w:rPr>
  </w:style>
  <w:style w:type="paragraph" w:styleId="Heading1">
    <w:name w:val="heading 1"/>
    <w:aliases w:val="Pocket"/>
    <w:basedOn w:val="Normal"/>
    <w:next w:val="Normal"/>
    <w:link w:val="Heading1Char"/>
    <w:qFormat/>
    <w:rsid w:val="008422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22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422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842233"/>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8422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233"/>
  </w:style>
  <w:style w:type="character" w:customStyle="1" w:styleId="Heading1Char">
    <w:name w:val="Heading 1 Char"/>
    <w:aliases w:val="Pocket Char"/>
    <w:basedOn w:val="DefaultParagraphFont"/>
    <w:link w:val="Heading1"/>
    <w:rsid w:val="00842233"/>
    <w:rPr>
      <w:rFonts w:eastAsiaTheme="majorEastAsia"/>
      <w:b/>
      <w:sz w:val="52"/>
      <w:szCs w:val="32"/>
    </w:rPr>
  </w:style>
  <w:style w:type="character" w:customStyle="1" w:styleId="Heading2Char">
    <w:name w:val="Heading 2 Char"/>
    <w:aliases w:val="Hat Char"/>
    <w:basedOn w:val="DefaultParagraphFont"/>
    <w:link w:val="Heading2"/>
    <w:uiPriority w:val="1"/>
    <w:rsid w:val="00842233"/>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42233"/>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42233"/>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842233"/>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223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842233"/>
    <w:rPr>
      <w:b w:val="0"/>
      <w:sz w:val="22"/>
      <w:u w:val="single"/>
    </w:rPr>
  </w:style>
  <w:style w:type="character" w:styleId="Hyperlink">
    <w:name w:val="Hyperlink"/>
    <w:basedOn w:val="DefaultParagraphFont"/>
    <w:uiPriority w:val="99"/>
    <w:semiHidden/>
    <w:unhideWhenUsed/>
    <w:rsid w:val="00842233"/>
    <w:rPr>
      <w:color w:val="auto"/>
      <w:u w:val="none"/>
    </w:rPr>
  </w:style>
  <w:style w:type="character" w:styleId="FollowedHyperlink">
    <w:name w:val="FollowedHyperlink"/>
    <w:basedOn w:val="DefaultParagraphFont"/>
    <w:uiPriority w:val="99"/>
    <w:semiHidden/>
    <w:unhideWhenUsed/>
    <w:rsid w:val="00842233"/>
    <w:rPr>
      <w:color w:val="auto"/>
      <w:u w:val="none"/>
    </w:rPr>
  </w:style>
  <w:style w:type="paragraph" w:customStyle="1" w:styleId="textbold">
    <w:name w:val="text bold"/>
    <w:basedOn w:val="Normal"/>
    <w:link w:val="Emphasis"/>
    <w:uiPriority w:val="7"/>
    <w:qFormat/>
    <w:rsid w:val="00220964"/>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7490</Words>
  <Characters>42694</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11</cp:revision>
  <dcterms:created xsi:type="dcterms:W3CDTF">2022-01-28T21:12:00Z</dcterms:created>
  <dcterms:modified xsi:type="dcterms:W3CDTF">2022-01-28T21:43:00Z</dcterms:modified>
</cp:coreProperties>
</file>