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A65CC" w14:textId="77777777" w:rsidR="00241202" w:rsidRDefault="00241202" w:rsidP="005808CB"/>
    <w:p w14:paraId="7528104A" w14:textId="77777777" w:rsidR="005808CB" w:rsidRPr="005808CB" w:rsidRDefault="005808CB" w:rsidP="005808CB"/>
    <w:p w14:paraId="1DE182AA" w14:textId="0B4982E5" w:rsidR="005808CB" w:rsidRDefault="005808CB" w:rsidP="005808CB">
      <w:pPr>
        <w:pStyle w:val="Heading2"/>
      </w:pPr>
      <w:r>
        <w:t>1ac</w:t>
      </w:r>
    </w:p>
    <w:p w14:paraId="595B4318" w14:textId="64D015CF" w:rsidR="002E395B" w:rsidRDefault="002E395B" w:rsidP="002E395B">
      <w:pPr>
        <w:pStyle w:val="Heading4"/>
      </w:pPr>
      <w:r>
        <w:t xml:space="preserve">Plan text: The United States ought to recognize an unconditional right to strike for agricultural laborers. </w:t>
      </w:r>
    </w:p>
    <w:p w14:paraId="1D29C91C" w14:textId="77777777" w:rsidR="002E395B" w:rsidRPr="00C53236" w:rsidRDefault="002E395B" w:rsidP="002E395B"/>
    <w:p w14:paraId="67150565" w14:textId="77777777" w:rsidR="002E395B" w:rsidRPr="005958F8" w:rsidRDefault="002E395B" w:rsidP="002E395B">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give the unconditional right to strike</w:t>
      </w:r>
    </w:p>
    <w:p w14:paraId="2C7CE5CF" w14:textId="77777777" w:rsidR="002E395B" w:rsidRDefault="002E395B" w:rsidP="002E395B">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4E89022D" w14:textId="77777777" w:rsidR="002E395B" w:rsidRDefault="002E395B" w:rsidP="002E395B">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7925593A" w14:textId="77777777" w:rsidR="002E395B" w:rsidRDefault="002E395B" w:rsidP="002E395B">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28DD00F4" w14:textId="77777777" w:rsidR="002E395B" w:rsidRDefault="002E395B" w:rsidP="002E395B">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17A6649" w14:textId="77777777" w:rsidR="002E395B" w:rsidRDefault="002E395B" w:rsidP="002E395B">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FB2C99A" w14:textId="77777777" w:rsidR="002E395B" w:rsidRDefault="002E395B" w:rsidP="002E395B">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8ECCC92" w14:textId="77777777" w:rsidR="002E395B" w:rsidRDefault="002E395B" w:rsidP="002E395B">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F70DCA7" w14:textId="77777777" w:rsidR="002E395B" w:rsidRDefault="002E395B" w:rsidP="002E395B">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7CD9D73" w14:textId="77777777" w:rsidR="002E395B" w:rsidRDefault="002E395B" w:rsidP="002E395B">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261E3A1E" w14:textId="77777777" w:rsidR="002E395B" w:rsidRDefault="002E395B" w:rsidP="002E395B">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70A855C1" w14:textId="77777777" w:rsidR="002E395B" w:rsidRDefault="002E395B" w:rsidP="002E395B">
      <w:pPr>
        <w:pStyle w:val="Heading3"/>
        <w:ind w:left="2160" w:firstLine="720"/>
        <w:jc w:val="left"/>
      </w:pPr>
      <w:r>
        <w:t>Advantage 1 - Yield</w:t>
      </w:r>
    </w:p>
    <w:p w14:paraId="04EECA8C" w14:textId="77777777" w:rsidR="002E395B" w:rsidRDefault="002E395B" w:rsidP="002E395B">
      <w:pPr>
        <w:pStyle w:val="Heading4"/>
      </w:pPr>
      <w:r>
        <w:t xml:space="preserve">Farmer’s yield is nearing an all-time low – government support doesn’t help the </w:t>
      </w:r>
      <w:proofErr w:type="gramStart"/>
      <w:r>
        <w:t>most needy</w:t>
      </w:r>
      <w:proofErr w:type="gramEnd"/>
      <w:r>
        <w:t xml:space="preserve"> and isn’t a long term solution</w:t>
      </w:r>
    </w:p>
    <w:p w14:paraId="57DD1308" w14:textId="77777777" w:rsidR="002E395B" w:rsidRDefault="002E395B" w:rsidP="002E395B">
      <w:pPr>
        <w:rPr>
          <w:sz w:val="16"/>
          <w:szCs w:val="16"/>
        </w:rPr>
      </w:pPr>
      <w:r>
        <w:rPr>
          <w:b/>
        </w:rPr>
        <w:t>Farm-Aid, 20,</w:t>
      </w:r>
      <w:r>
        <w:rPr>
          <w:sz w:val="16"/>
          <w:szCs w:val="16"/>
        </w:rPr>
        <w:t xml:space="preserve"> 9/14/20, “Understanding the Economic Crisis Family Farms are Facing”, 2Farm Aid works with local, </w:t>
      </w:r>
      <w:proofErr w:type="gramStart"/>
      <w:r>
        <w:rPr>
          <w:sz w:val="16"/>
          <w:szCs w:val="16"/>
        </w:rPr>
        <w:t>regional</w:t>
      </w:r>
      <w:proofErr w:type="gramEnd"/>
      <w:r>
        <w:rPr>
          <w:sz w:val="16"/>
          <w:szCs w:val="16"/>
        </w:rPr>
        <w:t xml:space="preserve">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57300042" w14:textId="77777777" w:rsidR="002E395B" w:rsidRDefault="002E395B" w:rsidP="002E395B">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6786C276" w14:textId="77777777" w:rsidR="002E395B" w:rsidRDefault="002E395B" w:rsidP="002E395B">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w:t>
      </w:r>
      <w:proofErr w:type="gramStart"/>
      <w:r>
        <w:rPr>
          <w:b/>
          <w:u w:val="single"/>
        </w:rPr>
        <w:t>beef</w:t>
      </w:r>
      <w:proofErr w:type="gramEnd"/>
      <w:r>
        <w:rPr>
          <w:b/>
          <w:u w:val="single"/>
        </w:rPr>
        <w:t xml:space="preserve"> and other farm products </w:t>
      </w:r>
      <w:r>
        <w:rPr>
          <w:b/>
          <w:highlight w:val="green"/>
          <w:u w:val="single"/>
        </w:rPr>
        <w:t>crashed</w:t>
      </w:r>
      <w:r>
        <w:t xml:space="preserve">. </w:t>
      </w:r>
      <w:r>
        <w:rPr>
          <w:sz w:val="16"/>
          <w:szCs w:val="16"/>
        </w:rPr>
        <w:t xml:space="preserve">While net farm income rose by 3% in 2019, government payments accounted for </w:t>
      </w:r>
      <w:proofErr w:type="gramStart"/>
      <w:r>
        <w:rPr>
          <w:sz w:val="16"/>
          <w:szCs w:val="16"/>
        </w:rPr>
        <w:t>all of</w:t>
      </w:r>
      <w:proofErr w:type="gramEnd"/>
      <w:r>
        <w:rPr>
          <w:sz w:val="16"/>
          <w:szCs w:val="16"/>
        </w:rPr>
        <w:t xml:space="preserve"> that increase (namely, via the trade bailout program). Without it, 2019 delivered farmers their second lowest income since 2013.[13]</w:t>
      </w:r>
    </w:p>
    <w:p w14:paraId="37DF0495" w14:textId="77777777" w:rsidR="002E395B" w:rsidRDefault="002E395B" w:rsidP="002E395B">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01BF8832" w14:textId="77777777" w:rsidR="002E395B" w:rsidRDefault="002E395B" w:rsidP="002E395B">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2BD8A541" w14:textId="77777777" w:rsidR="002E395B" w:rsidRDefault="002E395B" w:rsidP="002E395B">
      <w:pPr>
        <w:rPr>
          <w:sz w:val="16"/>
          <w:szCs w:val="16"/>
        </w:rPr>
      </w:pPr>
      <w:r>
        <w:rPr>
          <w:sz w:val="16"/>
          <w:szCs w:val="16"/>
        </w:rPr>
        <w:t>FARM CREDIT CONDITIONS WEAKEN</w:t>
      </w:r>
    </w:p>
    <w:p w14:paraId="31488635" w14:textId="77777777" w:rsidR="002E395B" w:rsidRDefault="002E395B" w:rsidP="002E395B">
      <w:pPr>
        <w:rPr>
          <w:sz w:val="16"/>
          <w:szCs w:val="16"/>
        </w:rPr>
      </w:pPr>
      <w:r>
        <w:rPr>
          <w:sz w:val="16"/>
          <w:szCs w:val="16"/>
        </w:rPr>
        <w:t xml:space="preserve">Farmers rely heavily on credit to buy the seeds, fertilizer, machinery, </w:t>
      </w:r>
      <w:proofErr w:type="gramStart"/>
      <w:r>
        <w:rPr>
          <w:sz w:val="16"/>
          <w:szCs w:val="16"/>
        </w:rPr>
        <w:t>livestock</w:t>
      </w:r>
      <w:proofErr w:type="gramEnd"/>
      <w:r>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Pr>
          <w:sz w:val="16"/>
          <w:szCs w:val="16"/>
        </w:rPr>
        <w:t>ratio</w:t>
      </w:r>
      <w:proofErr w:type="gramEnd"/>
      <w:r>
        <w:rPr>
          <w:sz w:val="16"/>
          <w:szCs w:val="16"/>
        </w:rPr>
        <w:t xml:space="preserve"> and equity-to-asset ratio. </w:t>
      </w:r>
      <w:proofErr w:type="gramStart"/>
      <w:r>
        <w:rPr>
          <w:sz w:val="16"/>
          <w:szCs w:val="16"/>
        </w:rPr>
        <w:t>All of</w:t>
      </w:r>
      <w:proofErr w:type="gramEnd"/>
      <w:r>
        <w:rPr>
          <w:sz w:val="16"/>
          <w:szCs w:val="16"/>
        </w:rPr>
        <w:t xml:space="preserve">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465176B2" w14:textId="77777777" w:rsidR="002E395B" w:rsidRDefault="002E395B" w:rsidP="002E395B">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3E436388" w14:textId="77777777" w:rsidR="002E395B" w:rsidRDefault="002E395B" w:rsidP="002E395B">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3A4E1C38" w14:textId="77777777" w:rsidR="002E395B" w:rsidRDefault="002E395B" w:rsidP="002E395B">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619D5294" w14:textId="77777777" w:rsidR="002E395B" w:rsidRDefault="002E395B" w:rsidP="002E395B">
      <w:pPr>
        <w:rPr>
          <w:b/>
          <w:u w:val="single"/>
        </w:rPr>
      </w:pPr>
      <w:r>
        <w:rPr>
          <w:sz w:val="16"/>
          <w:szCs w:val="16"/>
        </w:rPr>
        <w:t xml:space="preserve">While economists and lenders note that federal relief has helped farmers navigate these conditions, many remain concerned that </w:t>
      </w:r>
      <w:r>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Pr>
          <w:b/>
          <w:u w:val="single"/>
        </w:rPr>
        <w:t>in particular continue</w:t>
      </w:r>
      <w:proofErr w:type="gramEnd"/>
      <w:r>
        <w:rPr>
          <w:b/>
          <w:u w:val="single"/>
        </w:rPr>
        <w:t xml:space="preserve"> to struggle.</w:t>
      </w:r>
    </w:p>
    <w:p w14:paraId="6B75E77B" w14:textId="77777777" w:rsidR="002E395B" w:rsidRDefault="002E395B" w:rsidP="002E395B">
      <w:pPr>
        <w:rPr>
          <w:b/>
          <w:u w:val="single"/>
        </w:rPr>
      </w:pPr>
    </w:p>
    <w:p w14:paraId="253E5338" w14:textId="77777777" w:rsidR="002E395B" w:rsidRDefault="002E395B" w:rsidP="002E395B">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630B56CB" w14:textId="77777777" w:rsidR="002E395B" w:rsidRDefault="002E395B" w:rsidP="002E395B">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450DA694" w14:textId="77777777" w:rsidR="002E395B" w:rsidRDefault="002E395B" w:rsidP="002E395B">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 xml:space="preserve">two professions that </w:t>
      </w:r>
      <w:proofErr w:type="gramStart"/>
      <w:r>
        <w:rPr>
          <w:b/>
          <w:highlight w:val="green"/>
          <w:u w:val="single"/>
        </w:rPr>
        <w:t>are able to</w:t>
      </w:r>
      <w:proofErr w:type="gramEnd"/>
      <w:r>
        <w:rPr>
          <w:b/>
          <w:highlight w:val="green"/>
          <w:u w:val="single"/>
        </w:rPr>
        <w:t xml:space="preserve">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37BC46C5" w14:textId="77777777" w:rsidR="002E395B" w:rsidRDefault="002E395B" w:rsidP="002E395B">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Pr>
          <w:sz w:val="16"/>
          <w:szCs w:val="16"/>
        </w:rPr>
        <w:t>NLRA, but</w:t>
      </w:r>
      <w:proofErr w:type="gramEnd"/>
      <w:r>
        <w:rPr>
          <w:sz w:val="16"/>
          <w:szCs w:val="16"/>
        </w:rPr>
        <w:t xml:space="preserve"> is not itself conclusive. If seasonal workers in other industries </w:t>
      </w:r>
      <w:proofErr w:type="gramStart"/>
      <w:r>
        <w:rPr>
          <w:sz w:val="16"/>
          <w:szCs w:val="16"/>
        </w:rPr>
        <w:t>are able to</w:t>
      </w:r>
      <w:proofErr w:type="gramEnd"/>
      <w:r>
        <w:rPr>
          <w:sz w:val="16"/>
          <w:szCs w:val="16"/>
        </w:rPr>
        <w:t xml:space="preserve"> unionize, the seasonal nature of agricultural work should not be a major point of opposition to allowing agricultural laborers the right to collectively bargain.</w:t>
      </w:r>
    </w:p>
    <w:p w14:paraId="4CF3C696" w14:textId="77777777" w:rsidR="002E395B" w:rsidRDefault="002E395B" w:rsidP="002E395B">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w:t>
      </w:r>
      <w:proofErr w:type="gramStart"/>
      <w:r>
        <w:rPr>
          <w:b/>
          <w:u w:val="single"/>
        </w:rPr>
        <w:t>in order to</w:t>
      </w:r>
      <w:proofErr w:type="gramEnd"/>
      <w:r>
        <w:rPr>
          <w:b/>
          <w:u w:val="single"/>
        </w:rPr>
        <w:t xml:space="preserve">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3F164C39" w14:textId="77777777" w:rsidR="002E395B" w:rsidRDefault="002E395B" w:rsidP="002E395B">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576F77B" w14:textId="77777777" w:rsidR="002E395B" w:rsidRDefault="002E395B" w:rsidP="002E395B">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000FC2E" w14:textId="77777777" w:rsidR="002E395B" w:rsidRDefault="002E395B" w:rsidP="002E395B"/>
    <w:p w14:paraId="50D74A06" w14:textId="77777777" w:rsidR="002E395B" w:rsidRDefault="002E395B" w:rsidP="002E395B">
      <w:pPr>
        <w:pStyle w:val="Heading4"/>
      </w:pPr>
      <w:r>
        <w:t>2 Distinct links:</w:t>
      </w:r>
    </w:p>
    <w:p w14:paraId="6E3FB5CC" w14:textId="77777777" w:rsidR="002E395B" w:rsidRDefault="002E395B" w:rsidP="002E395B">
      <w:pPr>
        <w:pStyle w:val="Heading4"/>
      </w:pPr>
      <w:r>
        <w:t xml:space="preserve">1] Productivity </w:t>
      </w:r>
      <w:proofErr w:type="gramStart"/>
      <w:r>
        <w:t>–  Wages</w:t>
      </w:r>
      <w:proofErr w:type="gramEnd"/>
      <w:r>
        <w:t xml:space="preserve"> increase consumer spending AND create economic value</w:t>
      </w:r>
    </w:p>
    <w:p w14:paraId="1D2E4959" w14:textId="77777777" w:rsidR="002E395B" w:rsidRDefault="002E395B" w:rsidP="002E395B">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13C0A716" w14:textId="77777777" w:rsidR="002E395B" w:rsidRDefault="002E395B" w:rsidP="002E395B">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60D6C2F8" w14:textId="77777777" w:rsidR="002E395B" w:rsidRDefault="002E395B" w:rsidP="002E395B">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2A0284FA" w14:textId="77777777" w:rsidR="002E395B" w:rsidRDefault="002E395B" w:rsidP="002E395B">
      <w:pPr>
        <w:rPr>
          <w:sz w:val="16"/>
          <w:szCs w:val="16"/>
        </w:rPr>
      </w:pPr>
      <w:r>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Pr>
          <w:sz w:val="16"/>
          <w:szCs w:val="16"/>
        </w:rPr>
        <w:t>provided that</w:t>
      </w:r>
      <w:proofErr w:type="gramEnd"/>
      <w:r>
        <w:rPr>
          <w:sz w:val="16"/>
          <w:szCs w:val="16"/>
        </w:rPr>
        <w:t xml:space="preserve"> it is above the federal rate. For example, Ohio’s minimum wage is $8.70 an hour and New York state’s is $11.80. San Francisco’s is $15.59 an hour.</w:t>
      </w:r>
    </w:p>
    <w:p w14:paraId="3DB43F57" w14:textId="77777777" w:rsidR="002E395B" w:rsidRDefault="002E395B" w:rsidP="002E395B">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46EEC240" w14:textId="77777777" w:rsidR="002E395B" w:rsidRDefault="002E395B" w:rsidP="002E395B">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509EDC54" w14:textId="77777777" w:rsidR="002E395B" w:rsidRDefault="002E395B" w:rsidP="002E395B">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79775C80" w14:textId="77777777" w:rsidR="002E395B" w:rsidRDefault="002E395B" w:rsidP="002E395B">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7324A078" w14:textId="77777777" w:rsidR="002E395B" w:rsidRDefault="002E395B" w:rsidP="002E395B">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F2D131A" w14:textId="77777777" w:rsidR="002E395B" w:rsidRDefault="002E395B" w:rsidP="002E395B">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5F42C1DB" w14:textId="77777777" w:rsidR="002E395B" w:rsidRDefault="002E395B" w:rsidP="002E395B">
      <w:pPr>
        <w:rPr>
          <w:sz w:val="16"/>
          <w:szCs w:val="16"/>
        </w:rPr>
      </w:pPr>
      <w:r>
        <w:rPr>
          <w:sz w:val="16"/>
          <w:szCs w:val="16"/>
        </w:rPr>
        <w:t>PG&amp;E says it faces a federal inquiry and $1.15 billion in losses over the Dixie fire.</w:t>
      </w:r>
    </w:p>
    <w:p w14:paraId="1F13E09A" w14:textId="77777777" w:rsidR="002E395B" w:rsidRDefault="002E395B" w:rsidP="002E395B">
      <w:pPr>
        <w:rPr>
          <w:sz w:val="16"/>
          <w:szCs w:val="16"/>
        </w:rPr>
      </w:pPr>
      <w:r>
        <w:rPr>
          <w:sz w:val="16"/>
          <w:szCs w:val="16"/>
        </w:rPr>
        <w:t>The Biden administration will publish vaccine mandate rules ‘in the coming days.’</w:t>
      </w:r>
    </w:p>
    <w:p w14:paraId="589C38F4" w14:textId="77777777" w:rsidR="002E395B" w:rsidRDefault="002E395B" w:rsidP="002E395B">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7C41CDA4" w14:textId="77777777" w:rsidR="002E395B" w:rsidRDefault="002E395B" w:rsidP="002E395B">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37B0717" w14:textId="77777777" w:rsidR="002E395B" w:rsidRDefault="002E395B" w:rsidP="002E395B">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21CBB03C" w14:textId="77777777" w:rsidR="002E395B" w:rsidRDefault="002E395B" w:rsidP="002E395B">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1E34AE16" w14:textId="77777777" w:rsidR="002E395B" w:rsidRDefault="002E395B" w:rsidP="002E395B"/>
    <w:p w14:paraId="660755FC" w14:textId="77777777" w:rsidR="002E395B" w:rsidRDefault="002E395B" w:rsidP="002E395B">
      <w:pPr>
        <w:pStyle w:val="Heading4"/>
      </w:pPr>
      <w:r>
        <w:t>Prefer the only empirical study from a country</w:t>
      </w:r>
    </w:p>
    <w:p w14:paraId="427A9623" w14:textId="77777777" w:rsidR="002E395B" w:rsidRDefault="002E395B" w:rsidP="002E395B">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0">
        <w:r>
          <w:rPr>
            <w:color w:val="000000"/>
            <w:sz w:val="16"/>
            <w:szCs w:val="16"/>
          </w:rPr>
          <w:t>https://www.scielo.br/j/neco/a/QR5hfyMfL9c3gwQSGGcRyHD/?lang=en</w:t>
        </w:r>
      </w:hyperlink>
      <w:r>
        <w:rPr>
          <w:sz w:val="16"/>
          <w:szCs w:val="16"/>
        </w:rPr>
        <w:t>, KR</w:t>
      </w:r>
    </w:p>
    <w:p w14:paraId="73DEA4A3" w14:textId="77777777" w:rsidR="002E395B" w:rsidRDefault="002E395B" w:rsidP="002E395B">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F5EFEF2" w14:textId="77777777" w:rsidR="002E395B" w:rsidRDefault="002E395B" w:rsidP="002E395B">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3A675BF6" w14:textId="77777777" w:rsidR="002E395B" w:rsidRDefault="002E395B" w:rsidP="002E395B">
      <w:pPr>
        <w:rPr>
          <w:sz w:val="16"/>
          <w:szCs w:val="16"/>
        </w:rPr>
      </w:pPr>
      <w:r>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Pr>
          <w:sz w:val="16"/>
          <w:szCs w:val="16"/>
        </w:rPr>
        <w:t>as a result of</w:t>
      </w:r>
      <w:proofErr w:type="gramEnd"/>
      <w:r>
        <w:rPr>
          <w:sz w:val="16"/>
          <w:szCs w:val="16"/>
        </w:rPr>
        <w:t xml:space="preserve">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2A3FC23D" w14:textId="77777777" w:rsidR="002E395B" w:rsidRDefault="002E395B" w:rsidP="002E395B">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B0B57C7" w14:textId="77777777" w:rsidR="002E395B" w:rsidRDefault="002E395B" w:rsidP="002E395B">
      <w:pPr>
        <w:rPr>
          <w:sz w:val="16"/>
          <w:szCs w:val="16"/>
        </w:rPr>
      </w:pPr>
      <w:r>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Pr>
          <w:sz w:val="16"/>
          <w:szCs w:val="16"/>
        </w:rPr>
        <w:t>services</w:t>
      </w:r>
      <w:proofErr w:type="gramEnd"/>
      <w:r>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2D336149" w14:textId="77777777" w:rsidR="002E395B" w:rsidRDefault="002E395B" w:rsidP="002E395B">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727E7E4" w14:textId="77777777" w:rsidR="002E395B" w:rsidRDefault="002E395B" w:rsidP="002E395B">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40F7DC69" w14:textId="77777777" w:rsidR="002E395B" w:rsidRDefault="002E395B" w:rsidP="002E395B">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7FCF8607" w14:textId="77777777" w:rsidR="002E395B" w:rsidRDefault="002E395B" w:rsidP="002E395B"/>
    <w:p w14:paraId="5755AB3C" w14:textId="77777777" w:rsidR="002E395B" w:rsidRDefault="002E395B" w:rsidP="002E395B">
      <w:pPr>
        <w:pStyle w:val="Heading4"/>
      </w:pPr>
      <w:r>
        <w:t xml:space="preserve">That drives </w:t>
      </w:r>
      <w:r>
        <w:rPr>
          <w:u w:val="single"/>
        </w:rPr>
        <w:t>economic confidence</w:t>
      </w:r>
      <w:r>
        <w:t xml:space="preserve"> – Increased productivity drives farm growth which creates a chain of investment.</w:t>
      </w:r>
    </w:p>
    <w:p w14:paraId="0C96FDD5" w14:textId="77777777" w:rsidR="002E395B" w:rsidRDefault="002E395B" w:rsidP="002E395B">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1">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17949079" w14:textId="77777777" w:rsidR="002E395B" w:rsidRDefault="002E395B" w:rsidP="002E395B">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39773F5C" w14:textId="77777777" w:rsidR="002E395B" w:rsidRDefault="002E395B" w:rsidP="002E395B">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2EC67840" w14:textId="77777777" w:rsidR="002E395B" w:rsidRDefault="002E395B" w:rsidP="002E395B">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0F000233" w14:textId="77777777" w:rsidR="002E395B" w:rsidRDefault="002E395B" w:rsidP="002E395B">
      <w:pPr>
        <w:rPr>
          <w:b/>
          <w:u w:val="single"/>
        </w:rPr>
      </w:pPr>
      <w:r>
        <w:rPr>
          <w:sz w:val="16"/>
          <w:szCs w:val="16"/>
        </w:rPr>
        <w:t xml:space="preserve">Factors such as the effect of planting structure adjustment and the output elasticity of capital can affect the investment adjustment behavior of </w:t>
      </w:r>
      <w:proofErr w:type="gramStart"/>
      <w:r>
        <w:rPr>
          <w:sz w:val="16"/>
          <w:szCs w:val="16"/>
        </w:rPr>
        <w:t>farmers, and</w:t>
      </w:r>
      <w:proofErr w:type="gramEnd"/>
      <w:r>
        <w:rPr>
          <w:sz w:val="16"/>
          <w:szCs w:val="16"/>
        </w:rPr>
        <w:t xml:space="preserve">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0E6114EE" w14:textId="77777777" w:rsidR="002E395B" w:rsidRDefault="002E395B" w:rsidP="002E395B">
      <w:pPr>
        <w:pStyle w:val="Heading4"/>
      </w:pPr>
      <w:r>
        <w:br w:type="page"/>
        <w:t>Independently, union density increases productivity – long-term study proves</w:t>
      </w:r>
    </w:p>
    <w:p w14:paraId="3D6C9CFE" w14:textId="77777777" w:rsidR="002E395B" w:rsidRPr="00BD537C" w:rsidRDefault="002E395B" w:rsidP="002E395B">
      <w:pPr>
        <w:rPr>
          <w:rStyle w:val="Style13ptBold"/>
        </w:rPr>
      </w:pPr>
      <w:proofErr w:type="spellStart"/>
      <w:r>
        <w:rPr>
          <w:rStyle w:val="Style13ptBold"/>
        </w:rPr>
        <w:t>Ongweso</w:t>
      </w:r>
      <w:proofErr w:type="spellEnd"/>
      <w:r>
        <w:rPr>
          <w:rStyle w:val="Style13ptBold"/>
        </w:rPr>
        <w:t xml:space="preserve"> 20</w:t>
      </w:r>
    </w:p>
    <w:p w14:paraId="0ACF8E66" w14:textId="77777777" w:rsidR="002E395B" w:rsidRDefault="002E395B" w:rsidP="002E395B">
      <w:r>
        <w:t xml:space="preserve">Edward </w:t>
      </w:r>
      <w:proofErr w:type="spellStart"/>
      <w:r>
        <w:t>Ongweso</w:t>
      </w:r>
      <w:proofErr w:type="spellEnd"/>
      <w:r>
        <w:t xml:space="preserve"> Jr, [Staff Writer for VICE, Tracks the political economy of Big Tech, B.A. Political Economy from Hampshire College], 29 April 2020, “Study Finds Unions Make Companies More Productive”, </w:t>
      </w:r>
      <w:hyperlink r:id="rId12" w:history="1">
        <w:r w:rsidRPr="000B7D39">
          <w:rPr>
            <w:rStyle w:val="Hyperlink"/>
          </w:rPr>
          <w:t>https://www.vice.com/en/article/z3bjn9/study-finds-unions-make-companies-more-productive //</w:t>
        </w:r>
      </w:hyperlink>
      <w:r>
        <w:t xml:space="preserve"> AK</w:t>
      </w:r>
    </w:p>
    <w:p w14:paraId="57969587" w14:textId="77777777" w:rsidR="002E395B" w:rsidRPr="004C1559" w:rsidRDefault="002E395B" w:rsidP="002E395B">
      <w:pPr>
        <w:rPr>
          <w:rStyle w:val="StyleUnderline"/>
        </w:rPr>
      </w:pPr>
      <w:r w:rsidRPr="004C1559">
        <w:rPr>
          <w:rStyle w:val="StyleUnderline"/>
          <w:highlight w:val="green"/>
        </w:rPr>
        <w:t>Researchers established a correlation between union density, wages, and productivity by</w:t>
      </w:r>
      <w:r w:rsidRPr="004C1559">
        <w:rPr>
          <w:rStyle w:val="StyleUnderline"/>
        </w:rPr>
        <w:t xml:space="preserve"> first </w:t>
      </w:r>
      <w:r w:rsidRPr="004C1559">
        <w:rPr>
          <w:rStyle w:val="StyleUnderline"/>
          <w:highlight w:val="green"/>
        </w:rPr>
        <w:t>looking at</w:t>
      </w:r>
      <w:r w:rsidRPr="004C1559">
        <w:rPr>
          <w:rStyle w:val="StyleUnderline"/>
        </w:rPr>
        <w:t xml:space="preserve"> how tax subsidies affect union membership. Using data collected by the Norwegian Tax Authorities and Social Services, the study examines the whole </w:t>
      </w:r>
      <w:r w:rsidRPr="004C1559">
        <w:rPr>
          <w:rStyle w:val="StyleUnderline"/>
          <w:highlight w:val="green"/>
        </w:rPr>
        <w:t>Norwegian</w:t>
      </w:r>
      <w:r w:rsidRPr="004C1559">
        <w:rPr>
          <w:rStyle w:val="StyleUnderline"/>
        </w:rPr>
        <w:t xml:space="preserve"> population of </w:t>
      </w:r>
      <w:r w:rsidRPr="004C1559">
        <w:rPr>
          <w:rStyle w:val="StyleUnderline"/>
          <w:highlight w:val="green"/>
        </w:rPr>
        <w:t>workers</w:t>
      </w:r>
      <w:r w:rsidRPr="004C1559">
        <w:rPr>
          <w:rStyle w:val="StyleUnderline"/>
        </w:rPr>
        <w:t xml:space="preserve">, workplaces, and firms </w:t>
      </w:r>
      <w:r w:rsidRPr="004C1559">
        <w:rPr>
          <w:rStyle w:val="StyleUnderline"/>
          <w:highlight w:val="green"/>
        </w:rPr>
        <w:t>from 2001 to 2012</w:t>
      </w:r>
      <w:r w:rsidRPr="004C1559">
        <w:rPr>
          <w:sz w:val="16"/>
        </w:rPr>
        <w:t xml:space="preserve">.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w:t>
      </w:r>
      <w:r w:rsidRPr="004C1559">
        <w:rPr>
          <w:rStyle w:val="StyleUnderline"/>
        </w:rPr>
        <w:t xml:space="preserve">They found that the higher the subsidy rate, the higher the rate of unionization and thus union density. </w:t>
      </w:r>
      <w:r w:rsidRPr="004C1559">
        <w:rPr>
          <w:rStyle w:val="StyleUnderline"/>
          <w:highlight w:val="green"/>
        </w:rPr>
        <w:t>The higher the union density, the higher the firm’s productivity, and the higher its workers’ wages</w:t>
      </w:r>
      <w:r w:rsidRPr="004C1559">
        <w:rPr>
          <w:rStyle w:val="StyleUnderline"/>
        </w:rPr>
        <w:t xml:space="preserve">. The study also found that not only does the subsidy rate "clearly” influence the unionization rate, but if it was kept </w:t>
      </w:r>
      <w:r w:rsidRPr="004C1559">
        <w:rPr>
          <w:rStyle w:val="StyleUnderline"/>
          <w:highlight w:val="green"/>
        </w:rPr>
        <w:t>at 2001 levels,</w:t>
      </w:r>
      <w:r w:rsidRPr="004C1559">
        <w:rPr>
          <w:rStyle w:val="StyleUnderline"/>
        </w:rPr>
        <w:t xml:space="preserve"> union membership would have dropped 3 percent while firm </w:t>
      </w:r>
      <w:r w:rsidRPr="004C1559">
        <w:rPr>
          <w:rStyle w:val="StyleUnderline"/>
          <w:highlight w:val="green"/>
        </w:rPr>
        <w:t>productivity would have been 6 percent</w:t>
      </w:r>
      <w:r w:rsidRPr="004C1559">
        <w:rPr>
          <w:rStyle w:val="StyleUnderline"/>
        </w:rPr>
        <w:t xml:space="preserve">age points </w:t>
      </w:r>
      <w:r w:rsidRPr="004C1559">
        <w:rPr>
          <w:rStyle w:val="StyleUnderline"/>
          <w:highlight w:val="green"/>
        </w:rPr>
        <w:t>lower by 2012</w:t>
      </w:r>
      <w:r w:rsidRPr="004C1559">
        <w:rPr>
          <w:rStyle w:val="StyleUnderline"/>
        </w:rPr>
        <w:t xml:space="preserve">. As for why tax-subsidized union density increases productivity, the researchers highlight a few potential reasons. One is simply that </w:t>
      </w:r>
      <w:r w:rsidRPr="004C1559">
        <w:rPr>
          <w:rStyle w:val="StyleUnderline"/>
          <w:highlight w:val="green"/>
        </w:rPr>
        <w:t>unions provide a "voice" for workers</w:t>
      </w:r>
      <w:r w:rsidRPr="004C1559">
        <w:rPr>
          <w:rStyle w:val="StyleUnderline"/>
        </w:rPr>
        <w:t xml:space="preserve"> that results in longer tenures, better feedback mechanisms, and incentivizes firms to invest more in workers and their workplaces with local bargaining units able to efficiently direct those resources. Another may be that tax subsidies have a greater effect on union demand at small firms with some unionization than at larger firms with either significant or no unionization</w:t>
      </w:r>
      <w:r w:rsidRPr="004C1559">
        <w:rPr>
          <w:sz w:val="16"/>
        </w:rPr>
        <w:t xml:space="preserve">. As a result, the tax subsidies may help push unionization efforts over the threshold necessary to demand a trade union agreement in Norway (10 to 25 percent). </w:t>
      </w:r>
      <w:r w:rsidRPr="004C1559">
        <w:rPr>
          <w:rStyle w:val="StyleUnderline"/>
        </w:rPr>
        <w:t xml:space="preserve">Such agreements can have a “profound influence” on a firm's policies and organization of work in ways that improve productivity. This may also be why tax-subsidized union density increases wages: researchers suggest that </w:t>
      </w:r>
      <w:r w:rsidRPr="004C1559">
        <w:rPr>
          <w:rStyle w:val="StyleUnderline"/>
          <w:highlight w:val="green"/>
        </w:rPr>
        <w:t>higher union density means greater ability to bargain over wages</w:t>
      </w:r>
      <w:r w:rsidRPr="004C1559">
        <w:rPr>
          <w:rStyle w:val="StyleUnderline"/>
        </w:rPr>
        <w:t xml:space="preserve"> and this effect is most observable in high-productivity firms.</w:t>
      </w:r>
    </w:p>
    <w:p w14:paraId="46F337E8" w14:textId="77777777" w:rsidR="002E395B" w:rsidRDefault="002E395B" w:rsidP="002E395B">
      <w:pPr>
        <w:rPr>
          <w:b/>
          <w:u w:val="single"/>
        </w:rPr>
      </w:pPr>
    </w:p>
    <w:p w14:paraId="7BB48D47" w14:textId="77777777" w:rsidR="002E395B" w:rsidRDefault="002E395B" w:rsidP="002E395B">
      <w:pPr>
        <w:pStyle w:val="Heading4"/>
      </w:pPr>
      <w:r>
        <w:t>2] Capital Investment; Boosting wages creates incentive to invest</w:t>
      </w:r>
    </w:p>
    <w:p w14:paraId="589CE05E" w14:textId="77777777" w:rsidR="002E395B" w:rsidRDefault="002E395B" w:rsidP="002E395B">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3">
        <w:r>
          <w:rPr>
            <w:color w:val="000000"/>
            <w:sz w:val="16"/>
            <w:szCs w:val="16"/>
          </w:rPr>
          <w:t>https://www.americanprogress.org/issues/economy/reports/2016/09/02/142040/to-raise-productivity-lets-raise-wages/</w:t>
        </w:r>
      </w:hyperlink>
      <w:r>
        <w:rPr>
          <w:sz w:val="16"/>
          <w:szCs w:val="16"/>
        </w:rPr>
        <w:t>, KR</w:t>
      </w:r>
    </w:p>
    <w:p w14:paraId="15584E7E" w14:textId="77777777" w:rsidR="002E395B" w:rsidRDefault="002E395B" w:rsidP="002E395B">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77C7F12A" w14:textId="77777777" w:rsidR="002E395B" w:rsidRDefault="002E395B" w:rsidP="002E395B">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4C7BDDB4" w14:textId="77777777" w:rsidR="002E395B" w:rsidRDefault="002E395B" w:rsidP="002E395B">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46F52F90" w14:textId="77777777" w:rsidR="002E395B" w:rsidRDefault="002E395B" w:rsidP="002E395B">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472E73BD" w14:textId="77777777" w:rsidR="002E395B" w:rsidRDefault="002E395B" w:rsidP="002E395B">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5C1AFDFD" w14:textId="77777777" w:rsidR="002E395B" w:rsidRDefault="002E395B" w:rsidP="002E395B">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28EB512" w14:textId="77777777" w:rsidR="002E395B" w:rsidRDefault="002E395B" w:rsidP="002E395B">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07C52512" w14:textId="77777777" w:rsidR="002E395B" w:rsidRDefault="002E395B" w:rsidP="002E395B">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312BD97D" w14:textId="77777777" w:rsidR="002E395B" w:rsidRDefault="002E395B" w:rsidP="002E395B">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7A4361DB" w14:textId="77777777" w:rsidR="002E395B" w:rsidRDefault="002E395B" w:rsidP="002E395B">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 xml:space="preserve">Fortunately, the Obama administration recently has </w:t>
      </w:r>
      <w:proofErr w:type="gramStart"/>
      <w:r>
        <w:rPr>
          <w:sz w:val="16"/>
          <w:szCs w:val="16"/>
        </w:rPr>
        <w:t>taken action</w:t>
      </w:r>
      <w:proofErr w:type="gramEnd"/>
      <w:r>
        <w:rPr>
          <w:sz w:val="16"/>
          <w:szCs w:val="16"/>
        </w:rPr>
        <w:t xml:space="preserve"> on the latter and proposed an increase in the overtime threshold to $47,000 per year.</w:t>
      </w:r>
    </w:p>
    <w:p w14:paraId="060DF969" w14:textId="77777777" w:rsidR="002E395B" w:rsidRDefault="002E395B" w:rsidP="002E395B">
      <w:pPr>
        <w:pStyle w:val="Heading4"/>
      </w:pPr>
      <w:r>
        <w:t>Increasing yield prevents food shortages and nutrient deficiencies</w:t>
      </w:r>
    </w:p>
    <w:p w14:paraId="6125E585" w14:textId="77777777" w:rsidR="002E395B" w:rsidRDefault="002E395B" w:rsidP="002E395B">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05E2F7E3" w14:textId="77777777" w:rsidR="002E395B" w:rsidRDefault="002E395B" w:rsidP="002E395B">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6F4C6766" w14:textId="77777777" w:rsidR="002E395B" w:rsidRDefault="002E395B" w:rsidP="002E395B">
      <w:pPr>
        <w:pStyle w:val="Heading4"/>
      </w:pPr>
      <w:r>
        <w:t>Food shortages cause messed up interventions that destroy biodiversity</w:t>
      </w:r>
    </w:p>
    <w:p w14:paraId="6127AD23" w14:textId="77777777" w:rsidR="002E395B" w:rsidRDefault="002E395B" w:rsidP="002E395B">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4A2A05EF" w14:textId="77777777" w:rsidR="002E395B" w:rsidRPr="00A177E3" w:rsidRDefault="002E395B" w:rsidP="002E395B">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proofErr w:type="gramStart"/>
      <w:r>
        <w:rPr>
          <w:sz w:val="16"/>
          <w:szCs w:val="16"/>
        </w:rPr>
        <w:t>icefree</w:t>
      </w:r>
      <w:proofErr w:type="spellEnd"/>
      <w:proofErr w:type="gram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w:t>
      </w:r>
      <w:proofErr w:type="gramStart"/>
      <w:r>
        <w:rPr>
          <w:sz w:val="16"/>
          <w:szCs w:val="16"/>
        </w:rPr>
        <w:t>flooding</w:t>
      </w:r>
      <w:proofErr w:type="gramEnd"/>
      <w:r>
        <w:rPr>
          <w:sz w:val="16"/>
          <w:szCs w:val="16"/>
        </w:rPr>
        <w:t xml:space="preserve">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49328315" w14:textId="77777777" w:rsidR="002E395B" w:rsidRDefault="002E395B" w:rsidP="002E395B">
      <w:pPr>
        <w:pStyle w:val="Heading4"/>
      </w:pPr>
      <w:r>
        <w:t>Biodiversity loss causes extinction</w:t>
      </w:r>
    </w:p>
    <w:p w14:paraId="31DB8DA1" w14:textId="77777777" w:rsidR="002E395B" w:rsidRDefault="002E395B" w:rsidP="002E395B">
      <w:r>
        <w:rPr>
          <w:b/>
        </w:rPr>
        <w:t>Torres 16</w:t>
      </w:r>
      <w:r>
        <w:t xml:space="preserve"> [Phil Biologist, conservationist, science advocate &amp; educator. 2 years based in Amazon rainforest, now exploring science around the world. “</w:t>
      </w:r>
      <w:hyperlink r:id="rId14">
        <w:r>
          <w:rPr>
            <w:color w:val="000000"/>
          </w:rPr>
          <w:t>Biodiversity Loss: An Existential Risk Comparable to Climate Change</w:t>
        </w:r>
      </w:hyperlink>
      <w:r>
        <w:t xml:space="preserve">” </w:t>
      </w:r>
      <w:hyperlink r:id="rId15">
        <w:r>
          <w:rPr>
            <w:color w:val="000000"/>
          </w:rPr>
          <w:t>http://futureoflife.org/2016/05/20/biodiversity-loss/</w:t>
        </w:r>
      </w:hyperlink>
      <w:r>
        <w:t>.]</w:t>
      </w:r>
    </w:p>
    <w:p w14:paraId="4ED51A87" w14:textId="77777777" w:rsidR="002E395B" w:rsidRDefault="002E395B" w:rsidP="002E395B">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r>
          <w:rPr>
            <w:color w:val="000000"/>
            <w:sz w:val="12"/>
            <w:szCs w:val="12"/>
          </w:rPr>
          <w:t>decided</w:t>
        </w:r>
      </w:hyperlink>
      <w:r>
        <w:rPr>
          <w:sz w:val="12"/>
          <w:szCs w:val="12"/>
        </w:rPr>
        <w:t> to keep the Doomsday Clock set at three minutes before midnight earlier this year.</w:t>
      </w:r>
    </w:p>
    <w:p w14:paraId="606779FE" w14:textId="77777777" w:rsidR="002E395B" w:rsidRDefault="002E395B" w:rsidP="002E395B">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7CBFF404" w14:textId="77777777" w:rsidR="002E395B" w:rsidRDefault="002E395B" w:rsidP="002E395B">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6B01291F" w14:textId="77777777" w:rsidR="002E395B" w:rsidRDefault="002E395B" w:rsidP="002E395B">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6938B37" w14:textId="77777777" w:rsidR="002E395B" w:rsidRDefault="002E395B" w:rsidP="002E395B">
      <w:pPr>
        <w:rPr>
          <w:sz w:val="12"/>
          <w:szCs w:val="12"/>
        </w:rPr>
      </w:pPr>
      <w:r>
        <w:rPr>
          <w:sz w:val="12"/>
          <w:szCs w:val="12"/>
        </w:rPr>
        <w:t>Deforestation of the Amazon rainforest decreases natural mitigation of CO2 and destroys the habitats of many endangered species.</w:t>
      </w:r>
    </w:p>
    <w:p w14:paraId="055087B0" w14:textId="77777777" w:rsidR="002E395B" w:rsidRDefault="002E395B" w:rsidP="002E395B">
      <w:pPr>
        <w:rPr>
          <w:sz w:val="12"/>
          <w:szCs w:val="12"/>
        </w:rPr>
      </w:pPr>
      <w:r>
        <w:rPr>
          <w:sz w:val="12"/>
          <w:szCs w:val="12"/>
        </w:rPr>
        <w:t>The sixth extinction.</w:t>
      </w:r>
    </w:p>
    <w:p w14:paraId="7D722215" w14:textId="77777777" w:rsidR="002E395B" w:rsidRDefault="002E395B" w:rsidP="002E395B">
      <w:pPr>
        <w:rPr>
          <w:sz w:val="12"/>
          <w:szCs w:val="12"/>
        </w:rPr>
      </w:pPr>
      <w:r>
        <w:t>The repercussions of biodiversity loss are potentially as severe as those anticipated from climate change, or even a nuclear conflict. For example, according to a 2015 </w:t>
      </w:r>
      <w:hyperlink r:id="rId17">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E9273D8" w14:textId="77777777" w:rsidR="002E395B" w:rsidRDefault="002E395B" w:rsidP="002E395B">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372F4D1" w14:textId="77777777" w:rsidR="002E395B" w:rsidRDefault="002E395B" w:rsidP="002E395B">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1C26DD7B" w14:textId="77777777" w:rsidR="002E395B" w:rsidRDefault="002E395B" w:rsidP="002E395B">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A0B6C5C" w14:textId="77777777" w:rsidR="002E395B" w:rsidRDefault="002E395B" w:rsidP="002E395B">
      <w:pPr>
        <w:rPr>
          <w:sz w:val="12"/>
          <w:szCs w:val="12"/>
        </w:rPr>
      </w:pPr>
      <w:r>
        <w:rPr>
          <w:sz w:val="12"/>
          <w:szCs w:val="12"/>
        </w:rPr>
        <w:t>Consistent with these data, the 2014 </w:t>
      </w:r>
      <w:hyperlink r:id="rId20">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348D37F" w14:textId="77777777" w:rsidR="002E395B" w:rsidRDefault="002E395B" w:rsidP="002E395B">
      <w:pPr>
        <w:rPr>
          <w:sz w:val="12"/>
          <w:szCs w:val="12"/>
        </w:rPr>
      </w:pPr>
      <w:r>
        <w:rPr>
          <w:sz w:val="12"/>
          <w:szCs w:val="12"/>
        </w:rPr>
        <w:t>48% of the world’s primates are threatened with extinction.</w:t>
      </w:r>
    </w:p>
    <w:p w14:paraId="5BE69351" w14:textId="77777777" w:rsidR="002E395B" w:rsidRDefault="002E395B" w:rsidP="002E395B">
      <w:pPr>
        <w:rPr>
          <w:sz w:val="12"/>
          <w:szCs w:val="12"/>
        </w:rPr>
      </w:pPr>
      <w:r>
        <w:rPr>
          <w:sz w:val="12"/>
          <w:szCs w:val="12"/>
        </w:rPr>
        <w:t>Catastrophic consequences for civilization.</w:t>
      </w:r>
    </w:p>
    <w:p w14:paraId="37AE5EA5" w14:textId="77777777" w:rsidR="002E395B" w:rsidRDefault="002E395B" w:rsidP="002E395B">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2">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3771C013" w14:textId="77777777" w:rsidR="002E395B" w:rsidRDefault="002E395B" w:rsidP="002E395B">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21E27478" w14:textId="77777777" w:rsidR="002E395B" w:rsidRDefault="002E395B" w:rsidP="002E395B">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3">
        <w:r>
          <w:rPr>
            <w:color w:val="000000"/>
            <w:sz w:val="12"/>
            <w:szCs w:val="12"/>
          </w:rPr>
          <w:t>linked</w:t>
        </w:r>
      </w:hyperlink>
      <w:r>
        <w:rPr>
          <w:sz w:val="12"/>
          <w:szCs w:val="12"/>
        </w:rPr>
        <w:t> to the emergence of ISIS in Syria, and multiple high-ranking US officials, such as former US Defense Secretary </w:t>
      </w:r>
      <w:hyperlink r:id="rId24">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5">
        <w:r>
          <w:rPr>
            <w:color w:val="000000"/>
            <w:sz w:val="12"/>
            <w:szCs w:val="12"/>
          </w:rPr>
          <w:t>John Brennan</w:t>
        </w:r>
      </w:hyperlink>
      <w:r>
        <w:rPr>
          <w:sz w:val="12"/>
          <w:szCs w:val="12"/>
        </w:rPr>
        <w:t>, have affirmed that climate change and terrorism are connected.)</w:t>
      </w:r>
    </w:p>
    <w:p w14:paraId="079AD1B9" w14:textId="77777777" w:rsidR="002E395B" w:rsidRDefault="002E395B" w:rsidP="002E395B">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596C6D8A" w14:textId="77777777" w:rsidR="002E395B" w:rsidRDefault="002E395B" w:rsidP="002E395B">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2FB31DFA" w14:textId="77777777" w:rsidR="002E395B" w:rsidRDefault="002E395B" w:rsidP="002E395B"/>
    <w:p w14:paraId="0591C74E" w14:textId="77777777" w:rsidR="002E395B" w:rsidRDefault="002E395B" w:rsidP="002E395B"/>
    <w:p w14:paraId="4497B9C0" w14:textId="77777777" w:rsidR="002E395B" w:rsidRDefault="002E395B" w:rsidP="002E395B"/>
    <w:p w14:paraId="0BBDE05B" w14:textId="77777777" w:rsidR="002E395B" w:rsidRDefault="002E395B" w:rsidP="002E395B">
      <w:pPr>
        <w:pStyle w:val="Heading3"/>
      </w:pPr>
      <w:proofErr w:type="spellStart"/>
      <w:r>
        <w:t>Fw</w:t>
      </w:r>
      <w:proofErr w:type="spellEnd"/>
    </w:p>
    <w:p w14:paraId="0E54C23A" w14:textId="77777777" w:rsidR="002E395B" w:rsidRDefault="002E395B" w:rsidP="002E395B"/>
    <w:p w14:paraId="64ABE344" w14:textId="77777777" w:rsidR="002E395B" w:rsidRDefault="002E395B" w:rsidP="002E395B">
      <w:pPr>
        <w:pStyle w:val="Heading4"/>
      </w:pPr>
      <w:r>
        <w:t xml:space="preserve">The standard is maximizing expected wellbeing. </w:t>
      </w:r>
    </w:p>
    <w:p w14:paraId="313A8A63" w14:textId="77777777" w:rsidR="002E395B" w:rsidRDefault="002E395B" w:rsidP="002E395B">
      <w:pPr>
        <w:pStyle w:val="Heading4"/>
      </w:pPr>
      <w:r>
        <w:t>Prefer it:</w:t>
      </w:r>
    </w:p>
    <w:p w14:paraId="2DDBB3E9" w14:textId="77777777" w:rsidR="002E395B" w:rsidRDefault="002E395B" w:rsidP="002E395B">
      <w:pPr>
        <w:pStyle w:val="Heading4"/>
      </w:pPr>
      <w:r>
        <w:t xml:space="preserve">1] Actor specificity - every policy </w:t>
      </w:r>
      <w:proofErr w:type="gramStart"/>
      <w:r>
        <w:t>benefits</w:t>
      </w:r>
      <w:proofErr w:type="gramEnd"/>
      <w:r>
        <w:t xml:space="preserve"> some and harms others, which also means side constraints freeze action.</w:t>
      </w:r>
    </w:p>
    <w:p w14:paraId="6091B11B" w14:textId="77777777" w:rsidR="002E395B" w:rsidRDefault="002E395B" w:rsidP="002E395B">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5044533E" w14:textId="77777777" w:rsidR="002E395B" w:rsidRDefault="002E395B" w:rsidP="002E395B">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83A43B8" w14:textId="77777777" w:rsidR="002E395B" w:rsidRPr="00001B4D" w:rsidRDefault="002E395B" w:rsidP="002E395B">
      <w:pPr>
        <w:pStyle w:val="Heading4"/>
        <w:rPr>
          <w:rFonts w:cs="Calibri"/>
        </w:rPr>
      </w:pPr>
      <w:r>
        <w:rPr>
          <w:rFonts w:cs="Calibri"/>
        </w:rPr>
        <w:t>4</w:t>
      </w:r>
      <w:r w:rsidRPr="00001B4D">
        <w:rPr>
          <w:rFonts w:cs="Calibri"/>
        </w:rPr>
        <w:t xml:space="preserve">] Phenomenal introspection --- it’s the most epistemically reliable --- historical moral disagreement over internal conceptions of morality such as questions of race, gender, class, religion, </w:t>
      </w:r>
      <w:proofErr w:type="spellStart"/>
      <w:r w:rsidRPr="00001B4D">
        <w:rPr>
          <w:rFonts w:cs="Calibri"/>
        </w:rPr>
        <w:t>etc</w:t>
      </w:r>
      <w:proofErr w:type="spellEnd"/>
      <w:r w:rsidRPr="00001B4D">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1E44CDA7" w14:textId="77777777" w:rsidR="002E395B" w:rsidRDefault="002E395B" w:rsidP="002E395B">
      <w:pPr>
        <w:pStyle w:val="Heading4"/>
      </w:pPr>
      <w:r>
        <w:t>5] Use epistemic modesty for evaluating the framework debate:</w:t>
      </w:r>
    </w:p>
    <w:p w14:paraId="5092310C" w14:textId="77777777" w:rsidR="002E395B" w:rsidRDefault="002E395B" w:rsidP="002E395B">
      <w:pPr>
        <w:pStyle w:val="Heading4"/>
      </w:pPr>
      <w:r>
        <w:t xml:space="preserve">A] Substantively true since it maximizes the probability of achieving net most moral value—beating a </w:t>
      </w:r>
      <w:proofErr w:type="gramStart"/>
      <w:r>
        <w:t>framework acts</w:t>
      </w:r>
      <w:proofErr w:type="gramEnd"/>
      <w:r>
        <w:t xml:space="preserve"> as mitigation to their impacts but the strength of that mitigation is contingent. </w:t>
      </w:r>
    </w:p>
    <w:p w14:paraId="137067BD" w14:textId="77777777" w:rsidR="002E395B" w:rsidRDefault="002E395B" w:rsidP="002E395B">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5A4870FC" w14:textId="77777777" w:rsidR="002E395B" w:rsidRDefault="002E395B" w:rsidP="002E395B">
      <w:pPr>
        <w:pStyle w:val="Heading3"/>
      </w:pPr>
      <w:proofErr w:type="spellStart"/>
      <w:r>
        <w:t>Underview</w:t>
      </w:r>
      <w:proofErr w:type="spellEnd"/>
    </w:p>
    <w:p w14:paraId="28235DA6" w14:textId="77777777" w:rsidR="002E395B" w:rsidRDefault="002E395B" w:rsidP="002E395B"/>
    <w:p w14:paraId="6FCC6492" w14:textId="77777777" w:rsidR="002E395B" w:rsidRPr="00782E4E" w:rsidRDefault="002E395B" w:rsidP="002E395B">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0F3B28E2" w14:textId="77777777" w:rsidR="002E395B" w:rsidRDefault="002E395B" w:rsidP="002E395B">
      <w:pPr>
        <w:pStyle w:val="Heading4"/>
      </w:pPr>
      <w:r>
        <w:t xml:space="preserve">2) </w:t>
      </w:r>
      <w:proofErr w:type="spellStart"/>
      <w:r>
        <w:t>speccing</w:t>
      </w:r>
      <w:proofErr w:type="spellEnd"/>
      <w:r>
        <w:t xml:space="preserve"> a government is good – a) it allows more nuanced debates about the specificities within a country b) stable advocacy - anything else leads to unnecessary debates about what is a just government in whole </w:t>
      </w:r>
      <w:proofErr w:type="spellStart"/>
      <w:r>
        <w:t>rez</w:t>
      </w:r>
      <w:proofErr w:type="spellEnd"/>
    </w:p>
    <w:p w14:paraId="16E871AC" w14:textId="0CAED310" w:rsidR="00A95652" w:rsidRPr="00B55AD5" w:rsidRDefault="002E395B" w:rsidP="002E395B">
      <w:pPr>
        <w:pStyle w:val="Heading4"/>
      </w:pPr>
      <w:r>
        <w:t xml:space="preserve">3) use reasonability on 1nc theory – a) the 2nr has 6 minutes to collapse on any shell and win a risk of offense, which skews </w:t>
      </w:r>
      <w:proofErr w:type="spellStart"/>
      <w:r>
        <w:t>aff</w:t>
      </w:r>
      <w:proofErr w:type="spellEnd"/>
      <w:r>
        <w:t xml:space="preserve"> engagement</w:t>
      </w:r>
      <w:r>
        <w:t xml:space="preserve"> b) the </w:t>
      </w:r>
      <w:proofErr w:type="spellStart"/>
      <w:r>
        <w:t>aff</w:t>
      </w:r>
      <w:proofErr w:type="spellEnd"/>
      <w:r>
        <w:t xml:space="preserve"> was open-sourced and disclosed 30 minutes before, so you should be able to engage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108A"/>
    <w:rsid w:val="000139A3"/>
    <w:rsid w:val="00100833"/>
    <w:rsid w:val="00104529"/>
    <w:rsid w:val="00105942"/>
    <w:rsid w:val="00107396"/>
    <w:rsid w:val="00144A4C"/>
    <w:rsid w:val="00176AB0"/>
    <w:rsid w:val="00177B7D"/>
    <w:rsid w:val="0018322D"/>
    <w:rsid w:val="001B5776"/>
    <w:rsid w:val="001E527A"/>
    <w:rsid w:val="001F78CE"/>
    <w:rsid w:val="00241202"/>
    <w:rsid w:val="00251FC7"/>
    <w:rsid w:val="002855A7"/>
    <w:rsid w:val="002B146A"/>
    <w:rsid w:val="002B5E17"/>
    <w:rsid w:val="002E395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08CB"/>
    <w:rsid w:val="005D2912"/>
    <w:rsid w:val="005E2BDE"/>
    <w:rsid w:val="006065BD"/>
    <w:rsid w:val="00645FA9"/>
    <w:rsid w:val="00647866"/>
    <w:rsid w:val="00665003"/>
    <w:rsid w:val="006A108A"/>
    <w:rsid w:val="006A2AD0"/>
    <w:rsid w:val="006C2375"/>
    <w:rsid w:val="006D4ECC"/>
    <w:rsid w:val="00706E9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4199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1D9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C498F"/>
  <w15:chartTrackingRefBased/>
  <w15:docId w15:val="{453F4008-1EC0-45B2-BEF6-4A6B730C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395B"/>
    <w:rPr>
      <w:rFonts w:ascii="Calibri" w:hAnsi="Calibri"/>
    </w:rPr>
  </w:style>
  <w:style w:type="paragraph" w:styleId="Heading1">
    <w:name w:val="heading 1"/>
    <w:aliases w:val="Pocket"/>
    <w:basedOn w:val="Normal"/>
    <w:next w:val="Normal"/>
    <w:link w:val="Heading1Char"/>
    <w:qFormat/>
    <w:rsid w:val="006A1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1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A1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6A10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1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08A"/>
  </w:style>
  <w:style w:type="character" w:customStyle="1" w:styleId="Heading1Char">
    <w:name w:val="Heading 1 Char"/>
    <w:aliases w:val="Pocket Char"/>
    <w:basedOn w:val="DefaultParagraphFont"/>
    <w:link w:val="Heading1"/>
    <w:rsid w:val="006A10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108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6A108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A108A"/>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
    <w:basedOn w:val="DefaultParagraphFont"/>
    <w:link w:val="textbold"/>
    <w:uiPriority w:val="7"/>
    <w:qFormat/>
    <w:rsid w:val="006A10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108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6A108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A108A"/>
    <w:rPr>
      <w:color w:val="auto"/>
      <w:u w:val="none"/>
    </w:rPr>
  </w:style>
  <w:style w:type="character" w:styleId="FollowedHyperlink">
    <w:name w:val="FollowedHyperlink"/>
    <w:basedOn w:val="DefaultParagraphFont"/>
    <w:uiPriority w:val="99"/>
    <w:semiHidden/>
    <w:unhideWhenUsed/>
    <w:rsid w:val="006A108A"/>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E39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4199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s://www.americanprogress.org/issues/economy/reports/2016/09/02/142040/to-raise-productivity-lets-raise-wages/" TargetMode="External"/><Relationship Id="rId18" Type="http://schemas.openxmlformats.org/officeDocument/2006/relationships/hyperlink" Target="https://www.cbd.int/gbo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ience.sciencemag.org/content/314/5800/787"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s://www.vice.com/en/article/z3bjn9/study-finds-unions-make-companies-more-productive%20//"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thebulletin.org/press-release/doomsday-clock-hands-remain-unchanged-despite-iran-deal-and-paris-talks9122" TargetMode="External"/><Relationship Id="rId20" Type="http://schemas.openxmlformats.org/officeDocument/2006/relationships/hyperlink" Target="http://bit.ly/1ssxx5m"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www.defense.gov/News-Article-View/Article/603441" TargetMode="External"/><Relationship Id="rId5" Type="http://schemas.openxmlformats.org/officeDocument/2006/relationships/webSettings" Target="webSetting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10" Type="http://schemas.openxmlformats.org/officeDocument/2006/relationships/hyperlink" Target="https://www.scielo.br/j/neco/a/QR5hfyMfL9c3gwQSGGcRyHD/?lang=en" TargetMode="External"/><Relationship Id="rId19"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9465</Words>
  <Characters>53951</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8</cp:revision>
  <dcterms:created xsi:type="dcterms:W3CDTF">2021-12-05T13:40:00Z</dcterms:created>
  <dcterms:modified xsi:type="dcterms:W3CDTF">2021-12-05T14:56:00Z</dcterms:modified>
</cp:coreProperties>
</file>