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8CD12" w14:textId="77777777" w:rsidR="00684A47" w:rsidRPr="00355308" w:rsidRDefault="00684A47" w:rsidP="00684A47">
      <w:pPr>
        <w:pStyle w:val="Heading4"/>
        <w:rPr>
          <w:rFonts w:cs="Calibri"/>
        </w:rPr>
      </w:pPr>
      <w:r w:rsidRPr="00355308">
        <w:rPr>
          <w:rFonts w:cs="Calibri"/>
        </w:rPr>
        <w:t>Plan: The appropriation of outer space through asteroid mining by private entities should be banned.</w:t>
      </w:r>
    </w:p>
    <w:p w14:paraId="6E1FE588" w14:textId="77777777" w:rsidR="00684A47" w:rsidRPr="00355308" w:rsidRDefault="00684A47" w:rsidP="00684A47"/>
    <w:p w14:paraId="58B582DF" w14:textId="77777777" w:rsidR="00684A47" w:rsidRPr="00355308" w:rsidRDefault="00684A47" w:rsidP="00684A47">
      <w:pPr>
        <w:pStyle w:val="Heading4"/>
        <w:rPr>
          <w:rFonts w:cs="Calibri"/>
        </w:rPr>
      </w:pPr>
      <w:r w:rsidRPr="00355308">
        <w:rPr>
          <w:rFonts w:cs="Calibri"/>
        </w:rPr>
        <w:t>We’ll defend normal means as the signatories of the OST adding an optional protocol under Article II.</w:t>
      </w:r>
    </w:p>
    <w:p w14:paraId="466A9794" w14:textId="77777777" w:rsidR="00684A47" w:rsidRPr="00355308" w:rsidRDefault="00684A47" w:rsidP="00684A4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0245D832" w14:textId="77777777" w:rsidR="00684A47" w:rsidRPr="00355308" w:rsidRDefault="00684A47" w:rsidP="00684A4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C8397F5" w14:textId="77777777" w:rsidR="00684A47" w:rsidRPr="00355308" w:rsidRDefault="00684A47" w:rsidP="00684A47">
      <w:pPr>
        <w:rPr>
          <w:color w:val="000000" w:themeColor="text1"/>
          <w:sz w:val="14"/>
        </w:rPr>
      </w:pPr>
    </w:p>
    <w:p w14:paraId="6F6968C5" w14:textId="77777777" w:rsidR="00684A47" w:rsidRPr="00355308" w:rsidRDefault="00684A47" w:rsidP="00684A47">
      <w:pPr>
        <w:pStyle w:val="Heading2"/>
        <w:rPr>
          <w:rFonts w:cs="Calibri"/>
        </w:rPr>
      </w:pPr>
      <w:r w:rsidRPr="00355308">
        <w:rPr>
          <w:rFonts w:cs="Calibri"/>
        </w:rPr>
        <w:t>1AC—Advantages</w:t>
      </w:r>
    </w:p>
    <w:p w14:paraId="39E54B72" w14:textId="77777777" w:rsidR="00684A47" w:rsidRPr="00355308" w:rsidRDefault="00684A47" w:rsidP="00684A47">
      <w:pPr>
        <w:pStyle w:val="Heading3"/>
        <w:rPr>
          <w:rFonts w:cs="Calibri"/>
          <w:color w:val="000000" w:themeColor="text1"/>
        </w:rPr>
      </w:pPr>
      <w:r w:rsidRPr="00355308">
        <w:rPr>
          <w:rFonts w:cs="Calibri"/>
          <w:color w:val="000000" w:themeColor="text1"/>
        </w:rPr>
        <w:t>Inherency</w:t>
      </w:r>
    </w:p>
    <w:p w14:paraId="2C8C3440" w14:textId="380DD031" w:rsidR="00684A47" w:rsidRPr="00355308" w:rsidRDefault="00684A47" w:rsidP="00684A4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9BD3AF1" w14:textId="77777777" w:rsidR="00684A47" w:rsidRPr="00355308" w:rsidRDefault="00684A47" w:rsidP="00684A47">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B8AF22A" w14:textId="77777777" w:rsidR="00684A47" w:rsidRPr="00355308" w:rsidRDefault="00684A47" w:rsidP="00684A47">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C78FB17" w14:textId="77777777" w:rsidR="00684A47" w:rsidRPr="00355308" w:rsidRDefault="00684A47" w:rsidP="00684A4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8458648" w14:textId="77777777" w:rsidR="00684A47" w:rsidRPr="00355308" w:rsidRDefault="00684A47" w:rsidP="00684A4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1E3D6BC6" w14:textId="77777777" w:rsidR="00684A47" w:rsidRDefault="00684A47" w:rsidP="00684A4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55C48E5" w14:textId="77777777" w:rsidR="00684A47" w:rsidRPr="00355308" w:rsidRDefault="00684A47" w:rsidP="00684A47">
      <w:pPr>
        <w:rPr>
          <w:color w:val="000000" w:themeColor="text1"/>
          <w:sz w:val="14"/>
        </w:rPr>
      </w:pPr>
    </w:p>
    <w:p w14:paraId="30655B59" w14:textId="77777777" w:rsidR="00684A47" w:rsidRPr="00355308" w:rsidRDefault="00684A47" w:rsidP="00684A4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B6E3D39" w14:textId="77777777" w:rsidR="00684A47" w:rsidRPr="00355308" w:rsidRDefault="00684A47" w:rsidP="00684A4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F2F9006" w14:textId="77777777" w:rsidR="00684A47" w:rsidRPr="00F055D4" w:rsidRDefault="00684A47" w:rsidP="00684A47">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2EB4E144" w14:textId="77777777" w:rsidR="00684A47" w:rsidRPr="00355308" w:rsidRDefault="00684A47" w:rsidP="00684A47">
      <w:pPr>
        <w:rPr>
          <w:color w:val="000000" w:themeColor="text1"/>
          <w:sz w:val="8"/>
          <w:u w:val="single"/>
        </w:rPr>
      </w:pPr>
    </w:p>
    <w:p w14:paraId="6C32B22F" w14:textId="77777777" w:rsidR="00684A47" w:rsidRPr="00AD4C5F" w:rsidRDefault="00684A47" w:rsidP="00684A47">
      <w:pPr>
        <w:rPr>
          <w:rFonts w:asciiTheme="majorHAnsi" w:hAnsiTheme="majorHAnsi" w:cstheme="majorHAnsi"/>
          <w:color w:val="000000" w:themeColor="text1"/>
          <w:sz w:val="16"/>
        </w:rPr>
      </w:pPr>
    </w:p>
    <w:p w14:paraId="6FEAB606" w14:textId="77777777" w:rsidR="00684A47" w:rsidRDefault="00684A47" w:rsidP="00684A47"/>
    <w:p w14:paraId="1A55F540" w14:textId="77777777" w:rsidR="00684A47" w:rsidRDefault="00684A47" w:rsidP="00684A47">
      <w:pPr>
        <w:pStyle w:val="Heading3"/>
        <w:rPr>
          <w:rFonts w:cs="Calibri"/>
        </w:rPr>
      </w:pPr>
      <w:r>
        <w:rPr>
          <w:rFonts w:cs="Calibri"/>
        </w:rPr>
        <w:t>Advantage – Space War</w:t>
      </w:r>
    </w:p>
    <w:p w14:paraId="6EAE4F78" w14:textId="77777777" w:rsidR="00684A47" w:rsidRPr="00C51E0C" w:rsidRDefault="00684A47" w:rsidP="00684A47"/>
    <w:p w14:paraId="302BA9C7" w14:textId="77777777" w:rsidR="00684A47" w:rsidRDefault="00684A47" w:rsidP="00684A47"/>
    <w:p w14:paraId="161D0273" w14:textId="77777777" w:rsidR="00684A47" w:rsidRPr="00AD4C5F" w:rsidRDefault="00684A47" w:rsidP="00684A4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1F3B05E" w14:textId="77777777" w:rsidR="00684A47" w:rsidRPr="00AD4C5F" w:rsidRDefault="00684A47" w:rsidP="00684A4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CC20800" w14:textId="77777777" w:rsidR="00684A47" w:rsidRPr="00AD4C5F" w:rsidRDefault="00684A47" w:rsidP="00684A4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AB9B999" w14:textId="77777777" w:rsidR="00684A47" w:rsidRPr="00AD4C5F" w:rsidRDefault="00684A47" w:rsidP="00684A4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211F501" w14:textId="77777777" w:rsidR="00684A47" w:rsidRPr="00AD4C5F" w:rsidRDefault="00684A47" w:rsidP="00684A4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5F0F9B5" w14:textId="77777777" w:rsidR="00684A47" w:rsidRPr="00AD4C5F" w:rsidRDefault="00684A47" w:rsidP="00684A4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8A8867F" w14:textId="77777777" w:rsidR="00684A47" w:rsidRPr="00AD4C5F" w:rsidRDefault="00684A47" w:rsidP="00684A4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43C85C9" w14:textId="77777777" w:rsidR="00684A47" w:rsidRPr="00AD4C5F" w:rsidRDefault="00684A47" w:rsidP="00684A4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10E54D15" w14:textId="77777777" w:rsidR="00684A47" w:rsidRPr="00AD4C5F" w:rsidRDefault="00684A47" w:rsidP="00684A4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7CAE908" w14:textId="77777777" w:rsidR="00684A47" w:rsidRPr="00AD4C5F" w:rsidRDefault="00684A47" w:rsidP="00684A47">
      <w:pPr>
        <w:rPr>
          <w:rFonts w:asciiTheme="majorHAnsi" w:hAnsiTheme="majorHAnsi" w:cstheme="majorHAnsi"/>
          <w:color w:val="000000" w:themeColor="text1"/>
          <w:sz w:val="16"/>
        </w:rPr>
      </w:pPr>
    </w:p>
    <w:p w14:paraId="4E5ABFE8" w14:textId="77777777" w:rsidR="00684A47" w:rsidRPr="00AD4C5F" w:rsidRDefault="00684A47" w:rsidP="00684A4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A81059F" w14:textId="77777777" w:rsidR="00684A47" w:rsidRPr="00AD4C5F" w:rsidRDefault="00684A47" w:rsidP="00684A4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2C14C2D" w14:textId="77777777" w:rsidR="00684A47" w:rsidRPr="0098474F" w:rsidRDefault="00684A47" w:rsidP="00684A4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C9422A8" w14:textId="77777777" w:rsidR="00684A47" w:rsidRPr="00AD4C5F" w:rsidRDefault="00684A47" w:rsidP="00684A47">
      <w:pPr>
        <w:rPr>
          <w:rFonts w:asciiTheme="majorHAnsi" w:hAnsiTheme="majorHAnsi" w:cstheme="majorHAnsi"/>
          <w:color w:val="000000" w:themeColor="text1"/>
          <w:sz w:val="16"/>
        </w:rPr>
      </w:pPr>
    </w:p>
    <w:p w14:paraId="7A02455E" w14:textId="77777777" w:rsidR="00684A47" w:rsidRPr="00AD4C5F" w:rsidRDefault="00684A47" w:rsidP="00684A47">
      <w:pPr>
        <w:rPr>
          <w:rFonts w:asciiTheme="majorHAnsi" w:hAnsiTheme="majorHAnsi" w:cstheme="majorHAnsi"/>
          <w:color w:val="000000" w:themeColor="text1"/>
          <w:sz w:val="16"/>
        </w:rPr>
      </w:pPr>
    </w:p>
    <w:p w14:paraId="442C2C25" w14:textId="77777777" w:rsidR="00684A47" w:rsidRPr="00355308" w:rsidRDefault="00684A47" w:rsidP="00684A47">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6DA6712A" w14:textId="77777777" w:rsidR="00684A47" w:rsidRPr="00355308" w:rsidRDefault="00684A47" w:rsidP="00684A47">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2"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25503D6A" w14:textId="77777777" w:rsidR="00684A47" w:rsidRPr="00355308" w:rsidRDefault="00684A47" w:rsidP="00684A47">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1250C761" w14:textId="77777777" w:rsidR="00684A47" w:rsidRPr="00355308" w:rsidRDefault="00684A47" w:rsidP="00684A47">
      <w:pPr>
        <w:rPr>
          <w:color w:val="000000" w:themeColor="text1"/>
        </w:rPr>
      </w:pPr>
    </w:p>
    <w:p w14:paraId="3FFD8CBC" w14:textId="77777777" w:rsidR="00684A47" w:rsidRDefault="00684A47" w:rsidP="00684A47">
      <w:pPr>
        <w:rPr>
          <w:rFonts w:asciiTheme="majorHAnsi" w:hAnsiTheme="majorHAnsi" w:cstheme="majorHAnsi"/>
          <w:color w:val="000000" w:themeColor="text1"/>
          <w:sz w:val="16"/>
        </w:rPr>
      </w:pPr>
    </w:p>
    <w:p w14:paraId="7D0CE07C" w14:textId="77777777" w:rsidR="00684A47" w:rsidRPr="00355308" w:rsidRDefault="00684A47" w:rsidP="00684A47">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20CED3B" w14:textId="77777777" w:rsidR="00684A47" w:rsidRPr="00355308" w:rsidRDefault="00684A47" w:rsidP="00684A47">
      <w:pPr>
        <w:rPr>
          <w:rStyle w:val="Style13ptBold"/>
          <w:b w:val="0"/>
          <w:bCs w:val="0"/>
          <w:color w:val="000000" w:themeColor="text1"/>
        </w:rPr>
      </w:pPr>
      <w:r w:rsidRPr="00355308">
        <w:rPr>
          <w:rStyle w:val="Style13ptBold"/>
          <w:color w:val="000000" w:themeColor="text1"/>
        </w:rPr>
        <w:t>Riederer 14 - editor-in-chief of Guernica magazine and writer at The New Yorker</w:t>
      </w:r>
    </w:p>
    <w:p w14:paraId="74F5D7C2" w14:textId="77777777" w:rsidR="00684A47" w:rsidRPr="00355308" w:rsidRDefault="00684A47" w:rsidP="00684A47">
      <w:pPr>
        <w:rPr>
          <w:rStyle w:val="Style13ptBold"/>
          <w:b w:val="0"/>
          <w:bCs w:val="0"/>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166319E7" w14:textId="47A9D3C2" w:rsidR="00684A47" w:rsidRDefault="00684A47" w:rsidP="00684A47">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592D9962" w14:textId="7210C49B" w:rsidR="00E027A6" w:rsidRDefault="00E027A6" w:rsidP="00684A47">
      <w:pPr>
        <w:rPr>
          <w:color w:val="000000" w:themeColor="text1"/>
          <w:sz w:val="16"/>
        </w:rPr>
      </w:pPr>
    </w:p>
    <w:p w14:paraId="08534FB8" w14:textId="6F9E07AA" w:rsidR="00E027A6" w:rsidRDefault="00E027A6" w:rsidP="00E027A6">
      <w:pPr>
        <w:pStyle w:val="Heading3"/>
      </w:pPr>
      <w:r>
        <w:t>fw</w:t>
      </w:r>
    </w:p>
    <w:p w14:paraId="6316859D" w14:textId="77777777" w:rsidR="00E027A6" w:rsidRPr="00355308" w:rsidRDefault="00E027A6" w:rsidP="00684A47">
      <w:pPr>
        <w:rPr>
          <w:color w:val="000000" w:themeColor="text1"/>
          <w:sz w:val="16"/>
        </w:rPr>
      </w:pPr>
    </w:p>
    <w:p w14:paraId="0A13B954" w14:textId="77777777" w:rsidR="00684A47" w:rsidRPr="00355308" w:rsidRDefault="00684A47" w:rsidP="00684A47">
      <w:pPr>
        <w:pStyle w:val="Heading4"/>
        <w:rPr>
          <w:rFonts w:cs="Calibri"/>
        </w:rPr>
      </w:pPr>
      <w:r w:rsidRPr="00355308">
        <w:rPr>
          <w:rFonts w:cs="Calibri"/>
        </w:rPr>
        <w:t xml:space="preserve">The standard is maximizing expected wellbeing. </w:t>
      </w:r>
    </w:p>
    <w:p w14:paraId="31B97853" w14:textId="77777777" w:rsidR="00684A47" w:rsidRPr="00355308" w:rsidRDefault="00684A47" w:rsidP="00684A47">
      <w:pPr>
        <w:pStyle w:val="Heading4"/>
        <w:rPr>
          <w:rFonts w:cs="Calibri"/>
        </w:rPr>
      </w:pPr>
      <w:r w:rsidRPr="00355308">
        <w:rPr>
          <w:rFonts w:cs="Calibri"/>
        </w:rPr>
        <w:t>Prefer it:</w:t>
      </w:r>
    </w:p>
    <w:p w14:paraId="62B91A1F" w14:textId="12F71068" w:rsidR="00684A47" w:rsidRPr="008A746F" w:rsidRDefault="00684A47" w:rsidP="008A746F">
      <w:pPr>
        <w:pStyle w:val="Heading4"/>
        <w:rPr>
          <w:rFonts w:cs="Calibri"/>
        </w:rPr>
      </w:pPr>
      <w:r w:rsidRPr="00355308">
        <w:rPr>
          <w:rFonts w:cs="Calibri"/>
        </w:rPr>
        <w:t>1] Actor specificity– every policy benefits some and harms others, which also means side constraints freeze action.</w:t>
      </w:r>
    </w:p>
    <w:p w14:paraId="4C6414C8" w14:textId="423BD3AA" w:rsidR="00684A47" w:rsidRPr="00355308" w:rsidRDefault="004F52F9" w:rsidP="00684A47">
      <w:pPr>
        <w:pStyle w:val="Heading4"/>
        <w:rPr>
          <w:rFonts w:cs="Calibri"/>
        </w:rPr>
      </w:pPr>
      <w:r>
        <w:rPr>
          <w:rFonts w:cs="Calibri"/>
        </w:rPr>
        <w:t>2</w:t>
      </w:r>
      <w:r w:rsidR="00684A47">
        <w:rPr>
          <w:rFonts w:cs="Calibri"/>
        </w:rPr>
        <w:t xml:space="preserve">] </w:t>
      </w:r>
      <w:r w:rsidR="00684A47" w:rsidRPr="00355308">
        <w:rPr>
          <w:rFonts w:cs="Calibri"/>
        </w:rPr>
        <w:t>Extinction comes first!</w:t>
      </w:r>
    </w:p>
    <w:p w14:paraId="367E0E7B" w14:textId="77777777" w:rsidR="00684A47" w:rsidRPr="00355308" w:rsidRDefault="00684A47" w:rsidP="00684A47">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1CFE45A6" w14:textId="77777777" w:rsidR="00684A47" w:rsidRPr="00355308" w:rsidRDefault="00684A47" w:rsidP="00684A47">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71F8BE8B" w14:textId="12C60AB3" w:rsidR="00A95652" w:rsidRDefault="00A95652" w:rsidP="00B55AD5"/>
    <w:p w14:paraId="52953B16" w14:textId="662B2470" w:rsidR="002D6E5F" w:rsidRDefault="002D6E5F" w:rsidP="002D6E5F">
      <w:pPr>
        <w:pStyle w:val="Heading3"/>
      </w:pPr>
      <w:r>
        <w:t>Underview</w:t>
      </w:r>
    </w:p>
    <w:p w14:paraId="1CEF40F4" w14:textId="2021D852" w:rsidR="002D6E5F" w:rsidRDefault="002D6E5F" w:rsidP="002D6E5F"/>
    <w:p w14:paraId="62C510E7" w14:textId="7B38AE82" w:rsidR="00275D23" w:rsidRPr="00275D23" w:rsidRDefault="00054186" w:rsidP="00C625F2">
      <w:pPr>
        <w:pStyle w:val="Heading4"/>
      </w:pPr>
      <w:r w:rsidRPr="00A635B0">
        <w:rPr>
          <w:rStyle w:val="Style13ptBold"/>
          <w:b/>
          <w:bCs w:val="0"/>
        </w:rPr>
        <w:t>Renewables can’t solve</w:t>
      </w:r>
      <w:r w:rsidR="00275D23">
        <w:rPr>
          <w:rStyle w:val="Style13ptBold"/>
          <w:b/>
          <w:bCs w:val="0"/>
        </w:rPr>
        <w:t xml:space="preserve"> warming</w:t>
      </w:r>
    </w:p>
    <w:p w14:paraId="0DF399EC" w14:textId="1D8A63D6" w:rsidR="00054186" w:rsidRPr="005C7222" w:rsidRDefault="00054186" w:rsidP="00054186">
      <w:r w:rsidRPr="005C7222">
        <w:rPr>
          <w:rStyle w:val="Style13ptBold"/>
        </w:rPr>
        <w:t>Sheehy 19</w:t>
      </w:r>
      <w:r w:rsidRPr="005C7222">
        <w:t xml:space="preserve">’UL, 11-26-2019, "Why Renewable Energy Isn’t Enough of a Change To Meet Climate Goals," </w:t>
      </w:r>
      <w:hyperlink r:id="rId14" w:history="1">
        <w:r w:rsidRPr="005C7222">
          <w:rPr>
            <w:rStyle w:val="Hyperlink"/>
          </w:rPr>
          <w:t>https://www.ul.com/news/why-renewable-energy-isnt-enough-change-meet-climate-goals</w:t>
        </w:r>
      </w:hyperlink>
      <w:r w:rsidRPr="005C7222">
        <w:t xml:space="preserve"> Catherine Sheehy</w:t>
      </w:r>
      <w:r>
        <w:t xml:space="preserve"> </w:t>
      </w:r>
      <w:r w:rsidRPr="005C7222">
        <w:t>is the global lead of</w:t>
      </w:r>
      <w:r>
        <w:t xml:space="preserve"> </w:t>
      </w:r>
      <w:hyperlink r:id="rId15" w:history="1">
        <w:r w:rsidRPr="005C7222">
          <w:rPr>
            <w:rStyle w:val="Hyperlink"/>
          </w:rPr>
          <w:t>sustainability partnerships</w:t>
        </w:r>
      </w:hyperlink>
      <w:r>
        <w:t xml:space="preserve"> </w:t>
      </w:r>
      <w:r w:rsidRPr="005C7222">
        <w:t>for UL. She and her team manage a range of projects covering zero waste and circularity, greener product frameworks, and carbon optimization strategies.</w:t>
      </w:r>
      <w:r>
        <w:t xml:space="preserve"> </w:t>
      </w:r>
      <w:r w:rsidRPr="005C7222">
        <w:t>Sheehy was a key author of the UL 880 Standard for Sustainability for Manufacturing Companies, which addresses vital enterprise-level sustainable supply chain issues.</w:t>
      </w:r>
      <w:r>
        <w:t xml:space="preserve"> //Mon Vis RD</w:t>
      </w:r>
    </w:p>
    <w:p w14:paraId="5564BB6A" w14:textId="77777777" w:rsidR="00054186" w:rsidRPr="005C7222" w:rsidRDefault="00054186" w:rsidP="00054186">
      <w:r w:rsidRPr="005C7222">
        <w:rPr>
          <w:rStyle w:val="Emphasis"/>
        </w:rPr>
        <w:t>For years, renewable energy has been viewed as the key to reducing global greenhouse gas emissions. Early industry pioneers</w:t>
      </w:r>
      <w:hyperlink r:id="rId16" w:history="1">
        <w:r w:rsidRPr="005C7222">
          <w:rPr>
            <w:rStyle w:val="Emphasis"/>
          </w:rPr>
          <w:t xml:space="preserve"> </w:t>
        </w:r>
      </w:hyperlink>
      <w:r w:rsidRPr="005C7222">
        <w:rPr>
          <w:rStyle w:val="Emphasis"/>
        </w:rPr>
        <w:t>held onto hope for nearly 40 years before their seeds — a scattering of wind and solar projects</w:t>
      </w:r>
      <w:r w:rsidRPr="005C7222">
        <w:t xml:space="preserve"> — started to take root and spread worldwide. </w:t>
      </w:r>
      <w:r w:rsidRPr="005C7222">
        <w:rPr>
          <w:rStyle w:val="Emphasis"/>
        </w:rPr>
        <w:t xml:space="preserve">Renewable energy capacity has quadrupled worldwide in the past ten years and now makes up more than two-thirds of global energy production, according to the International Renewable Energy Agency in its annual </w:t>
      </w:r>
      <w:hyperlink r:id="rId17" w:history="1">
        <w:r w:rsidRPr="005C7222">
          <w:rPr>
            <w:rStyle w:val="Emphasis"/>
          </w:rPr>
          <w:t>Renewable Capacity Statistics 20</w:t>
        </w:r>
      </w:hyperlink>
      <w:hyperlink r:id="rId18" w:history="1">
        <w:r w:rsidRPr="005C7222">
          <w:rPr>
            <w:rStyle w:val="Emphasis"/>
          </w:rPr>
          <w:t>20</w:t>
        </w:r>
      </w:hyperlink>
      <w:r>
        <w:t xml:space="preserve"> </w:t>
      </w:r>
      <w:r w:rsidRPr="005C7222">
        <w:rPr>
          <w:rStyle w:val="Emphasis"/>
        </w:rPr>
        <w:t xml:space="preserve">While these gains are important to reaching decarbonization goals, </w:t>
      </w:r>
      <w:r w:rsidRPr="005C7222">
        <w:rPr>
          <w:rStyle w:val="Emphasis"/>
          <w:highlight w:val="green"/>
        </w:rPr>
        <w:t>peop</w:t>
      </w:r>
      <w:r w:rsidRPr="005C7222">
        <w:rPr>
          <w:rStyle w:val="Emphasis"/>
        </w:rPr>
        <w:t xml:space="preserve">le often </w:t>
      </w:r>
      <w:r w:rsidRPr="005C7222">
        <w:rPr>
          <w:rStyle w:val="Emphasis"/>
          <w:highlight w:val="green"/>
        </w:rPr>
        <w:t xml:space="preserve">overlook that </w:t>
      </w:r>
      <w:hyperlink r:id="rId19" w:history="1">
        <w:r w:rsidRPr="005C7222">
          <w:rPr>
            <w:rStyle w:val="Emphasis"/>
            <w:highlight w:val="green"/>
          </w:rPr>
          <w:t>renewables make up less than 10%</w:t>
        </w:r>
      </w:hyperlink>
      <w:r w:rsidRPr="005C7222">
        <w:rPr>
          <w:rStyle w:val="Emphasis"/>
        </w:rPr>
        <w:t xml:space="preserve"> </w:t>
      </w:r>
      <w:r w:rsidRPr="005C7222">
        <w:rPr>
          <w:rStyle w:val="Emphasis"/>
          <w:highlight w:val="green"/>
        </w:rPr>
        <w:t>of</w:t>
      </w:r>
      <w:r w:rsidRPr="005C7222">
        <w:rPr>
          <w:rStyle w:val="Emphasis"/>
        </w:rPr>
        <w:t xml:space="preserve"> the </w:t>
      </w:r>
      <w:r w:rsidRPr="005C7222">
        <w:rPr>
          <w:rStyle w:val="Emphasis"/>
          <w:highlight w:val="green"/>
        </w:rPr>
        <w:t>energy</w:t>
      </w:r>
      <w:r w:rsidRPr="005C7222">
        <w:rPr>
          <w:rStyle w:val="Emphasis"/>
        </w:rPr>
        <w:t xml:space="preserve"> needed </w:t>
      </w:r>
      <w:r w:rsidRPr="005C7222">
        <w:rPr>
          <w:rStyle w:val="Emphasis"/>
          <w:highlight w:val="green"/>
        </w:rPr>
        <w:t>for heating and cooling</w:t>
      </w:r>
      <w:r w:rsidRPr="005C7222">
        <w:rPr>
          <w:rStyle w:val="Emphasis"/>
        </w:rPr>
        <w:t xml:space="preserve"> and only 3.3% of transportation energy. Cities are moving to electric bus fleets and alternatives other than petroleum-based are being developed for comfort, but it’s still not fast enough. </w:t>
      </w:r>
      <w:r w:rsidRPr="005C7222">
        <w:rPr>
          <w:rStyle w:val="Emphasis"/>
          <w:highlight w:val="green"/>
        </w:rPr>
        <w:t>Even if we were to convert to 100% renewab</w:t>
      </w:r>
      <w:r w:rsidRPr="005C7222">
        <w:rPr>
          <w:rStyle w:val="Emphasis"/>
        </w:rPr>
        <w:t xml:space="preserve">le energy, </w:t>
      </w:r>
      <w:r w:rsidRPr="005C7222">
        <w:rPr>
          <w:rStyle w:val="Emphasis"/>
          <w:highlight w:val="green"/>
        </w:rPr>
        <w:t>the change</w:t>
      </w:r>
      <w:r w:rsidRPr="005C7222">
        <w:rPr>
          <w:rStyle w:val="Emphasis"/>
        </w:rPr>
        <w:t xml:space="preserve"> </w:t>
      </w:r>
      <w:r w:rsidRPr="005C7222">
        <w:rPr>
          <w:rStyle w:val="Emphasis"/>
          <w:highlight w:val="green"/>
        </w:rPr>
        <w:t>alone would not be e</w:t>
      </w:r>
      <w:r w:rsidRPr="005C7222">
        <w:rPr>
          <w:rStyle w:val="Emphasis"/>
        </w:rPr>
        <w:t xml:space="preserve">nough, said the Ellen MacArthur Foundation in its publication </w:t>
      </w:r>
      <w:hyperlink r:id="rId20" w:history="1">
        <w:r w:rsidRPr="005C7222">
          <w:rPr>
            <w:rStyle w:val="Emphasis"/>
          </w:rPr>
          <w:t>Completing the Picture: How the Circular Economy Tackles Climate Change</w:t>
        </w:r>
      </w:hyperlink>
      <w:r w:rsidRPr="005C7222">
        <w:rPr>
          <w:rStyle w:val="Emphasis"/>
        </w:rPr>
        <w:t>.</w:t>
      </w:r>
      <w:r>
        <w:t xml:space="preserve"> </w:t>
      </w:r>
      <w:r w:rsidRPr="005C7222">
        <w:t xml:space="preserve">The September 2019 paper, released in collaboration with Material </w:t>
      </w:r>
      <w:r w:rsidRPr="005C7222">
        <w:rPr>
          <w:rStyle w:val="Emphasis"/>
        </w:rPr>
        <w:t xml:space="preserve">Economics, asserted that </w:t>
      </w:r>
      <w:r w:rsidRPr="005C7222">
        <w:rPr>
          <w:rStyle w:val="Emphasis"/>
          <w:highlight w:val="green"/>
        </w:rPr>
        <w:t>the global shift to renewable</w:t>
      </w:r>
      <w:r w:rsidRPr="005C7222">
        <w:rPr>
          <w:rStyle w:val="Emphasis"/>
        </w:rPr>
        <w:t xml:space="preserve"> energy </w:t>
      </w:r>
      <w:r w:rsidRPr="005C7222">
        <w:rPr>
          <w:rStyle w:val="Emphasis"/>
          <w:highlight w:val="green"/>
        </w:rPr>
        <w:t>addresses only 55% of</w:t>
      </w:r>
      <w:r w:rsidRPr="005C7222">
        <w:rPr>
          <w:rStyle w:val="Emphasis"/>
        </w:rPr>
        <w:t xml:space="preserve"> the world</w:t>
      </w:r>
      <w:r w:rsidRPr="005C7222">
        <w:rPr>
          <w:rStyle w:val="Emphasis"/>
          <w:highlight w:val="green"/>
        </w:rPr>
        <w:t>’s greenhouse gas</w:t>
      </w:r>
      <w:r w:rsidRPr="005C7222">
        <w:rPr>
          <w:rStyle w:val="Emphasis"/>
        </w:rPr>
        <w:t xml:space="preserve"> emissions. To reduce the remaining 45%, we need the circular economy to meet our goals. The</w:t>
      </w:r>
      <w:r w:rsidRPr="005C7222">
        <w:t xml:space="preserve"> paper projected</w:t>
      </w:r>
      <w:r>
        <w:t xml:space="preserve"> </w:t>
      </w:r>
      <w:r w:rsidRPr="005C7222">
        <w:t>that if we applied</w:t>
      </w:r>
      <w:r>
        <w:t xml:space="preserve"> </w:t>
      </w:r>
      <w:r w:rsidRPr="005C7222">
        <w:t>circular economy strategies to five materials</w:t>
      </w:r>
      <w:r>
        <w:t xml:space="preserve"> </w:t>
      </w:r>
      <w:r w:rsidRPr="005C7222">
        <w:t xml:space="preserve">— </w:t>
      </w:r>
      <w:r w:rsidRPr="005C7222">
        <w:rPr>
          <w:highlight w:val="green"/>
        </w:rPr>
        <w:t>alum</w:t>
      </w:r>
      <w:r w:rsidRPr="005C7222">
        <w:rPr>
          <w:rStyle w:val="Emphasis"/>
          <w:highlight w:val="green"/>
        </w:rPr>
        <w:t>inum, cement, food, plastic and steel</w:t>
      </w:r>
      <w:r w:rsidRPr="005C7222">
        <w:rPr>
          <w:rStyle w:val="Emphasis"/>
        </w:rPr>
        <w:t xml:space="preserve"> — the total greenhouse gas production would decrease by 9.3 billion tons worldwide in 2050. But, is their framework realistic in global culture?</w:t>
      </w:r>
    </w:p>
    <w:p w14:paraId="43751FF1" w14:textId="0499DB9A" w:rsidR="00054186" w:rsidRDefault="00054186" w:rsidP="00054186">
      <w:pPr>
        <w:pStyle w:val="Heading4"/>
      </w:pPr>
      <w:r>
        <w:t>Asteroid mining w</w:t>
      </w:r>
      <w:r>
        <w:t>on’t compete with earth mining – costs, supply &amp; demand, profit</w:t>
      </w:r>
    </w:p>
    <w:p w14:paraId="7F57434D" w14:textId="77777777" w:rsidR="00054186" w:rsidRDefault="00054186" w:rsidP="00054186">
      <w:r w:rsidRPr="009410F3">
        <w:rPr>
          <w:rStyle w:val="Heading4Char"/>
        </w:rPr>
        <w:t>Szecsi, 21</w:t>
      </w:r>
      <w:r>
        <w:t xml:space="preserve">, </w:t>
      </w:r>
      <w:r w:rsidRPr="009410F3">
        <w:rPr>
          <w:sz w:val="16"/>
          <w:szCs w:val="16"/>
        </w:rPr>
        <w:t xml:space="preserve">Space Industries, “How Did Market Analysts Derail The Nonexistent Space-Mining Business?”, Gabor Szecsi (Berkeley, California) is an attorney licensed in the State of California, counseling space startups on transactions, export controls compliance, and privacy law compliance., URL: </w:t>
      </w:r>
      <w:hyperlink r:id="rId21" w:history="1">
        <w:r w:rsidRPr="009410F3">
          <w:rPr>
            <w:rStyle w:val="Hyperlink"/>
            <w:sz w:val="16"/>
            <w:szCs w:val="16"/>
          </w:rPr>
          <w:t>https://spaceindustries.com.au/market-analysts-derail-space-mining/space_mining/</w:t>
        </w:r>
      </w:hyperlink>
      <w:r w:rsidRPr="009410F3">
        <w:rPr>
          <w:sz w:val="16"/>
          <w:szCs w:val="16"/>
        </w:rPr>
        <w:t>, KR</w:t>
      </w:r>
    </w:p>
    <w:p w14:paraId="51BDF09C" w14:textId="77777777" w:rsidR="00054186" w:rsidRPr="00B960D3" w:rsidRDefault="00054186" w:rsidP="00054186">
      <w:pPr>
        <w:rPr>
          <w:rStyle w:val="StyleUnderline"/>
        </w:rPr>
      </w:pPr>
      <w:r w:rsidRPr="00B960D3">
        <w:rPr>
          <w:rStyle w:val="StyleUnderline"/>
          <w:highlight w:val="cyan"/>
        </w:rPr>
        <w:t>Asteroid Mining Cannot Compete With Earth Mining</w:t>
      </w:r>
    </w:p>
    <w:p w14:paraId="7EC47273" w14:textId="77777777" w:rsidR="00054186" w:rsidRDefault="00054186" w:rsidP="00054186">
      <w:r w:rsidRPr="0084684B">
        <w:rPr>
          <w:sz w:val="16"/>
          <w:szCs w:val="16"/>
        </w:rPr>
        <w:t>While you can develop a mine on Earth within five years with less than $1 billion investment</w:t>
      </w:r>
      <w:r>
        <w:t xml:space="preserve">, </w:t>
      </w:r>
      <w:r w:rsidRPr="00B960D3">
        <w:rPr>
          <w:rStyle w:val="StyleUnderline"/>
          <w:highlight w:val="cyan"/>
        </w:rPr>
        <w:t>asteroid mining requires $2.6 billion</w:t>
      </w:r>
      <w:r>
        <w:t xml:space="preserve"> to be tied up for decades. Furthermore, the </w:t>
      </w:r>
      <w:r w:rsidRPr="00B960D3">
        <w:rPr>
          <w:rStyle w:val="StyleUnderline"/>
          <w:highlight w:val="cyan"/>
        </w:rPr>
        <w:t>operating cost</w:t>
      </w:r>
      <w:r>
        <w:t xml:space="preserve"> of asteroid mining would be </w:t>
      </w:r>
      <w:r w:rsidRPr="00B960D3">
        <w:rPr>
          <w:rStyle w:val="StyleUnderline"/>
          <w:highlight w:val="cyan"/>
        </w:rPr>
        <w:t>higher</w:t>
      </w:r>
      <w:r>
        <w:t xml:space="preserve"> than Earth mining.</w:t>
      </w:r>
    </w:p>
    <w:p w14:paraId="5167A78D" w14:textId="77777777" w:rsidR="00054186" w:rsidRPr="0084684B" w:rsidRDefault="00054186" w:rsidP="00054186">
      <w:pPr>
        <w:rPr>
          <w:sz w:val="16"/>
          <w:szCs w:val="16"/>
        </w:rPr>
      </w:pPr>
      <w:r>
        <w:t xml:space="preserve">This raises a simple question: </w:t>
      </w:r>
      <w:r w:rsidRPr="00B960D3">
        <w:rPr>
          <w:rStyle w:val="StyleUnderline"/>
          <w:highlight w:val="cyan"/>
        </w:rPr>
        <w:t xml:space="preserve">why would a company bring </w:t>
      </w:r>
      <w:r w:rsidRPr="00B960D3">
        <w:t>more</w:t>
      </w:r>
      <w:r w:rsidRPr="00B960D3">
        <w:rPr>
          <w:rStyle w:val="StyleUnderline"/>
        </w:rPr>
        <w:t xml:space="preserve"> </w:t>
      </w:r>
      <w:r w:rsidRPr="00B960D3">
        <w:rPr>
          <w:rStyle w:val="StyleUnderline"/>
          <w:highlight w:val="cyan"/>
        </w:rPr>
        <w:t>expensive platinum</w:t>
      </w:r>
      <w:r>
        <w:t xml:space="preserve"> </w:t>
      </w:r>
      <w:r w:rsidRPr="00B960D3">
        <w:rPr>
          <w:rStyle w:val="StyleUnderline"/>
          <w:highlight w:val="cyan"/>
        </w:rPr>
        <w:t>to an already over supplied market</w:t>
      </w:r>
      <w:r>
        <w:t xml:space="preserve">? No, </w:t>
      </w:r>
      <w:r w:rsidRPr="00B960D3">
        <w:rPr>
          <w:rStyle w:val="StyleUnderline"/>
          <w:highlight w:val="cyan"/>
        </w:rPr>
        <w:t>it should</w:t>
      </w:r>
      <w:r>
        <w:t xml:space="preserve"> </w:t>
      </w:r>
      <w:r w:rsidRPr="00B960D3">
        <w:rPr>
          <w:rStyle w:val="StyleUnderline"/>
          <w:highlight w:val="cyan"/>
        </w:rPr>
        <w:t>not</w:t>
      </w:r>
      <w:r>
        <w:t>.</w:t>
      </w:r>
      <w:r w:rsidRPr="0084684B">
        <w:rPr>
          <w:sz w:val="16"/>
          <w:szCs w:val="16"/>
        </w:rPr>
        <w:t xml:space="preserve"> When the precious metal supply drops below a certain critical supply because of the decline of Earth resources a company may consider looking for new resources in space. Until then, precious metal mining in space will not be able to compete with Earth mining.</w:t>
      </w:r>
    </w:p>
    <w:p w14:paraId="1093BD25" w14:textId="77777777" w:rsidR="00054186" w:rsidRPr="0084684B" w:rsidRDefault="00054186" w:rsidP="00054186">
      <w:pPr>
        <w:rPr>
          <w:sz w:val="16"/>
          <w:szCs w:val="16"/>
        </w:rPr>
      </w:pPr>
      <w:r w:rsidRPr="0084684B">
        <w:rPr>
          <w:sz w:val="16"/>
          <w:szCs w:val="16"/>
        </w:rPr>
        <w:t>Platinum, Even a Football-Field Amount, Will Not Make You Rich</w:t>
      </w:r>
    </w:p>
    <w:p w14:paraId="0ECBDDA8" w14:textId="77777777" w:rsidR="00054186" w:rsidRPr="0084684B" w:rsidRDefault="00054186" w:rsidP="00054186">
      <w:pPr>
        <w:rPr>
          <w:sz w:val="16"/>
          <w:szCs w:val="16"/>
        </w:rPr>
      </w:pPr>
      <w:r w:rsidRPr="0084684B">
        <w:rPr>
          <w:sz w:val="16"/>
          <w:szCs w:val="16"/>
        </w:rPr>
        <w:t>Platinum has been the most frequently mentioned precious metal to be mined in space. In 2020, the all-in sustaining cost of platinum exceeded $1,100 per ounce while the market price was less than $1,100 per ounce. That meant that the platinum mining on Earth was not profitable. The reason for the relatively low price was over supply caused by the continuously declining demand. The industry no longer needs as much platinum as is produced.</w:t>
      </w:r>
    </w:p>
    <w:p w14:paraId="3E0325C3" w14:textId="77777777" w:rsidR="00054186" w:rsidRPr="0084684B" w:rsidRDefault="00054186" w:rsidP="00054186">
      <w:pPr>
        <w:rPr>
          <w:sz w:val="16"/>
          <w:szCs w:val="16"/>
        </w:rPr>
      </w:pPr>
      <w:r w:rsidRPr="0084684B">
        <w:rPr>
          <w:sz w:val="16"/>
          <w:szCs w:val="16"/>
        </w:rPr>
        <w:t>Historical platinum prices</w:t>
      </w:r>
    </w:p>
    <w:p w14:paraId="19CC785E" w14:textId="77777777" w:rsidR="00054186" w:rsidRPr="0084684B" w:rsidRDefault="00054186" w:rsidP="00054186">
      <w:pPr>
        <w:rPr>
          <w:sz w:val="16"/>
          <w:szCs w:val="16"/>
        </w:rPr>
      </w:pPr>
      <w:r w:rsidRPr="0084684B">
        <w:rPr>
          <w:sz w:val="16"/>
          <w:szCs w:val="16"/>
        </w:rPr>
        <w:t xml:space="preserve">Other precious metal markets are not as tough as the platinum market. For example, the all-in sustaining cost of gold is around $700-$1,000 per ounce. Although the current market price is much higher than the all-in sustaining cost, </w:t>
      </w:r>
      <w:r w:rsidRPr="000155C8">
        <w:rPr>
          <w:rStyle w:val="StyleUnderline"/>
          <w:highlight w:val="cyan"/>
        </w:rPr>
        <w:t>a significant increase in supply could push gold off the cliff</w:t>
      </w:r>
      <w:r>
        <w:t xml:space="preserve"> as well. Not to mention that space mining will not produce gold for $700-$1000 per ounce it is very </w:t>
      </w:r>
      <w:r w:rsidRPr="000155C8">
        <w:rPr>
          <w:rStyle w:val="StyleUnderline"/>
          <w:highlight w:val="cyan"/>
        </w:rPr>
        <w:t>doubtful</w:t>
      </w:r>
      <w:r>
        <w:t xml:space="preserve"> that gold </w:t>
      </w:r>
      <w:r w:rsidRPr="000155C8">
        <w:rPr>
          <w:rStyle w:val="StyleUnderline"/>
          <w:highlight w:val="cyan"/>
        </w:rPr>
        <w:t>mining</w:t>
      </w:r>
      <w:r>
        <w:t xml:space="preserve"> in space </w:t>
      </w:r>
      <w:r w:rsidRPr="000155C8">
        <w:rPr>
          <w:rStyle w:val="StyleUnderline"/>
          <w:highlight w:val="cyan"/>
        </w:rPr>
        <w:t>would be profitable</w:t>
      </w:r>
      <w:r w:rsidRPr="0084684B">
        <w:rPr>
          <w:sz w:val="16"/>
          <w:szCs w:val="16"/>
        </w:rPr>
        <w:t xml:space="preserve"> at the current gold market price.</w:t>
      </w:r>
    </w:p>
    <w:p w14:paraId="54326F69" w14:textId="77777777" w:rsidR="00054186" w:rsidRPr="0084684B" w:rsidRDefault="00054186" w:rsidP="00054186">
      <w:pPr>
        <w:rPr>
          <w:sz w:val="16"/>
          <w:szCs w:val="16"/>
        </w:rPr>
      </w:pPr>
      <w:r w:rsidRPr="0084684B">
        <w:rPr>
          <w:sz w:val="16"/>
          <w:szCs w:val="16"/>
        </w:rPr>
        <w:t>Thus, the platinum-mining sector is struggling, and the way to solve this problem is to not bring more platinum from space; instead, some existing mining operations should probably be suspended or closed down to adjust supply to current needs. While other precious metal markets are healthy, mining those materials in space would not be profitable.</w:t>
      </w:r>
    </w:p>
    <w:p w14:paraId="16CE0F3F" w14:textId="0A82EFE3" w:rsidR="00054186" w:rsidRPr="00355308" w:rsidRDefault="00054186" w:rsidP="00054186">
      <w:pPr>
        <w:pStyle w:val="Heading4"/>
        <w:rPr>
          <w:rFonts w:cs="Calibri"/>
          <w:color w:val="000000" w:themeColor="text1"/>
        </w:rPr>
      </w:pPr>
      <w:r w:rsidRPr="00355308">
        <w:rPr>
          <w:rFonts w:cs="Calibri"/>
          <w:color w:val="000000" w:themeColor="text1"/>
        </w:rPr>
        <w:t>Substitutes solve</w:t>
      </w:r>
      <w:r>
        <w:rPr>
          <w:rFonts w:cs="Calibri"/>
          <w:color w:val="000000" w:themeColor="text1"/>
        </w:rPr>
        <w:t xml:space="preserve"> REM shortages</w:t>
      </w:r>
      <w:r w:rsidRPr="00355308">
        <w:rPr>
          <w:rFonts w:cs="Calibri"/>
          <w:color w:val="000000" w:themeColor="text1"/>
        </w:rPr>
        <w:t xml:space="preserve"> – multiple breakthroughs being made</w:t>
      </w:r>
    </w:p>
    <w:p w14:paraId="74EA817F" w14:textId="5C3999A0" w:rsidR="00054186" w:rsidRPr="00355308" w:rsidRDefault="00054186" w:rsidP="00054186">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4D749063" w14:textId="313995BB" w:rsidR="002D6E5F" w:rsidRDefault="00054186" w:rsidP="002D7B7F">
      <w:pPr>
        <w:rPr>
          <w:color w:val="000000" w:themeColor="text1"/>
        </w:rPr>
      </w:pPr>
      <w:r w:rsidRPr="00355308">
        <w:rPr>
          <w:rStyle w:val="StyleUnderline"/>
          <w:color w:val="000000" w:themeColor="text1"/>
        </w:rPr>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0931E73A" w14:textId="77777777" w:rsidR="002D7B7F" w:rsidRPr="002D7B7F" w:rsidRDefault="002D7B7F" w:rsidP="002D7B7F">
      <w:pPr>
        <w:rPr>
          <w:color w:val="000000" w:themeColor="text1"/>
        </w:rPr>
      </w:pPr>
    </w:p>
    <w:p w14:paraId="678FFA6B" w14:textId="1F5A1DF2" w:rsidR="00E813FA" w:rsidRDefault="00125849" w:rsidP="00E55FA3">
      <w:pPr>
        <w:pStyle w:val="Heading4"/>
      </w:pPr>
      <w:r>
        <w:t>Breakthrough innovations in desalination promise cheap access to fresh water in developing countries</w:t>
      </w:r>
    </w:p>
    <w:p w14:paraId="3AD12AD4" w14:textId="25D0B9E7" w:rsidR="00A71F75" w:rsidRPr="00A71F75" w:rsidRDefault="00A71F75" w:rsidP="00E813FA">
      <w:pPr>
        <w:rPr>
          <w:rStyle w:val="Style13ptBold"/>
        </w:rPr>
      </w:pPr>
      <w:r>
        <w:rPr>
          <w:rStyle w:val="Style13ptBold"/>
        </w:rPr>
        <w:t>Chandler 2/14</w:t>
      </w:r>
    </w:p>
    <w:p w14:paraId="61424B1B" w14:textId="13E9F9EC" w:rsidR="00E813FA" w:rsidRPr="00E813FA" w:rsidRDefault="00E813FA" w:rsidP="00E813FA">
      <w:r>
        <w:t>David Chandler, [Writer for MIT</w:t>
      </w:r>
      <w:r w:rsidR="00E603C8">
        <w:t xml:space="preserve"> News</w:t>
      </w:r>
      <w:r>
        <w:t xml:space="preserve">], 14 February 2022, “Solar-powered system offers a route to inexpensive desalination”, </w:t>
      </w:r>
      <w:hyperlink r:id="rId22" w:history="1">
        <w:r w:rsidRPr="00152FC8">
          <w:rPr>
            <w:rStyle w:val="Hyperlink"/>
          </w:rPr>
          <w:t>https://news.mit.edu/2022/solar-desalination-system-inexpensive-0214 //</w:t>
        </w:r>
      </w:hyperlink>
      <w:r>
        <w:t xml:space="preserve"> AK</w:t>
      </w:r>
    </w:p>
    <w:p w14:paraId="5AE513BA" w14:textId="6621D9DD" w:rsidR="00E813FA" w:rsidRPr="00E55FA3" w:rsidRDefault="00E813FA" w:rsidP="00E813FA">
      <w:pPr>
        <w:rPr>
          <w:sz w:val="16"/>
        </w:rPr>
      </w:pPr>
      <w:r w:rsidRPr="00E55FA3">
        <w:rPr>
          <w:rStyle w:val="StyleUnderline"/>
        </w:rPr>
        <w:t xml:space="preserve">Now, </w:t>
      </w:r>
      <w:r w:rsidRPr="00E55FA3">
        <w:rPr>
          <w:rStyle w:val="StyleUnderline"/>
          <w:highlight w:val="green"/>
        </w:rPr>
        <w:t>a team of researchers</w:t>
      </w:r>
      <w:r w:rsidRPr="00E55FA3">
        <w:rPr>
          <w:rStyle w:val="StyleUnderline"/>
        </w:rPr>
        <w:t xml:space="preserve"> at MIT and in China has come up with a solution to the problem of salt accumulation — and in the process </w:t>
      </w:r>
      <w:r w:rsidRPr="00E55FA3">
        <w:rPr>
          <w:rStyle w:val="StyleUnderline"/>
          <w:highlight w:val="green"/>
        </w:rPr>
        <w:t>developed a desalination system that is both more efficient and less expensive than previous</w:t>
      </w:r>
      <w:r w:rsidRPr="00E55FA3">
        <w:rPr>
          <w:rStyle w:val="StyleUnderline"/>
        </w:rPr>
        <w:t xml:space="preserve"> solar desalination </w:t>
      </w:r>
      <w:r w:rsidRPr="00E55FA3">
        <w:rPr>
          <w:rStyle w:val="StyleUnderline"/>
          <w:highlight w:val="green"/>
        </w:rPr>
        <w:t>methods</w:t>
      </w:r>
      <w:r w:rsidRPr="00E55FA3">
        <w:rPr>
          <w:rStyle w:val="StyleUnderline"/>
        </w:rPr>
        <w:t>.</w:t>
      </w:r>
      <w:r w:rsidRPr="00E55FA3">
        <w:rPr>
          <w:sz w:val="16"/>
        </w:rPr>
        <w:t xml:space="preserve"> The process could also be used to treat contaminated wastewater or to generate steam for sterilizing medical instruments, all without requiring any power source other than sunlight itself. The findings are described today in the journal Nature Communications, in a paper by MIT graduate student Lenan Zhang, postdoc Xiangyu Li, professor of mechanical engineering Evelyn Wang, and four others. “There have been a lot of demonstrations of really high-performing, salt-rejecting, solar-based evaporation designs of various devices,” Wang says. “The challenge has been the salt fouling issue, that people haven’t really addressed. So, we see these very attractive performance numbers, but they’re often limited because of longevity. Over time, things will foul.” Many attempts at solar desalination systems rely on some kind of wick to draw the saline water through the device, but these wicks are vulnerable to salt accumulation and relatively difficult to clean. The team focused on developing a wick-free system instead. The result is a layered system, with dark material at the top to absorb the sun’s heat, then a thin layer of water above a perforated layer of material, sitting atop a deep reservoir of the salty water such as a tank or a pond. After careful calculations and experiments, the researchers determined the optimal size for the holes drilled through the perforated material, which in their tests was made of polyurethane. At 2.5 millimeters across, these holes can be easily made using commonly available waterjets. The holes are large enough to allow for a natural convective circulation between the warmer upper layer of water and the colder reservoir below. That circulation naturally draws the salt from the thin layer above down into the much larger body of water below, where it becomes well-diluted and no longer a problem. </w:t>
      </w:r>
      <w:r w:rsidRPr="00E55FA3">
        <w:rPr>
          <w:rStyle w:val="StyleUnderline"/>
        </w:rPr>
        <w:t>“</w:t>
      </w:r>
      <w:r w:rsidRPr="00E55FA3">
        <w:rPr>
          <w:rStyle w:val="StyleUnderline"/>
          <w:highlight w:val="green"/>
        </w:rPr>
        <w:t>It</w:t>
      </w:r>
      <w:r w:rsidRPr="00E55FA3">
        <w:rPr>
          <w:rStyle w:val="StyleUnderline"/>
        </w:rPr>
        <w:t xml:space="preserve"> </w:t>
      </w:r>
      <w:r w:rsidRPr="00E55FA3">
        <w:rPr>
          <w:rStyle w:val="StyleUnderline"/>
          <w:highlight w:val="green"/>
        </w:rPr>
        <w:t>allows</w:t>
      </w:r>
      <w:r w:rsidRPr="00E55FA3">
        <w:rPr>
          <w:rStyle w:val="StyleUnderline"/>
        </w:rPr>
        <w:t xml:space="preserve"> us to achieve </w:t>
      </w:r>
      <w:r w:rsidRPr="00E55FA3">
        <w:rPr>
          <w:rStyle w:val="StyleUnderline"/>
          <w:highlight w:val="green"/>
        </w:rPr>
        <w:t>high performance and</w:t>
      </w:r>
      <w:r w:rsidRPr="00E55FA3">
        <w:rPr>
          <w:rStyle w:val="StyleUnderline"/>
        </w:rPr>
        <w:t xml:space="preserve"> yet also </w:t>
      </w:r>
      <w:r w:rsidRPr="00E55FA3">
        <w:rPr>
          <w:rStyle w:val="StyleUnderline"/>
          <w:highlight w:val="green"/>
        </w:rPr>
        <w:t>prevent</w:t>
      </w:r>
      <w:r w:rsidRPr="00E55FA3">
        <w:rPr>
          <w:rStyle w:val="StyleUnderline"/>
        </w:rPr>
        <w:t xml:space="preserve"> this </w:t>
      </w:r>
      <w:r w:rsidRPr="00E55FA3">
        <w:rPr>
          <w:rStyle w:val="StyleUnderline"/>
          <w:highlight w:val="green"/>
        </w:rPr>
        <w:t>salt accumulation</w:t>
      </w:r>
      <w:r w:rsidRPr="00E55FA3">
        <w:rPr>
          <w:rStyle w:val="StyleUnderline"/>
        </w:rPr>
        <w:t xml:space="preserve">,” says Wang, who is the Ford Professor of Engineering and head of the Department of Mechanical Engineering. Li says that the advantages of this system are “both the high performance and the </w:t>
      </w:r>
      <w:r w:rsidRPr="00E55FA3">
        <w:rPr>
          <w:rStyle w:val="StyleUnderline"/>
          <w:highlight w:val="green"/>
        </w:rPr>
        <w:t>reliable</w:t>
      </w:r>
      <w:r w:rsidRPr="00E55FA3">
        <w:rPr>
          <w:rStyle w:val="StyleUnderline"/>
        </w:rPr>
        <w:t xml:space="preserve"> operation, especially </w:t>
      </w:r>
      <w:r w:rsidRPr="00E55FA3">
        <w:rPr>
          <w:rStyle w:val="StyleUnderline"/>
          <w:highlight w:val="green"/>
        </w:rPr>
        <w:t>under extreme conditions</w:t>
      </w:r>
      <w:r w:rsidRPr="00E55FA3">
        <w:rPr>
          <w:rStyle w:val="StyleUnderline"/>
        </w:rPr>
        <w:t xml:space="preserve">, where we can actually work with near-saturation saline water. And that means it’s </w:t>
      </w:r>
      <w:r w:rsidRPr="00E55FA3">
        <w:rPr>
          <w:rStyle w:val="StyleUnderline"/>
          <w:highlight w:val="green"/>
        </w:rPr>
        <w:t>also</w:t>
      </w:r>
      <w:r w:rsidRPr="00E55FA3">
        <w:rPr>
          <w:rStyle w:val="StyleUnderline"/>
        </w:rPr>
        <w:t xml:space="preserve"> very </w:t>
      </w:r>
      <w:r w:rsidRPr="00E55FA3">
        <w:rPr>
          <w:rStyle w:val="StyleUnderline"/>
          <w:highlight w:val="green"/>
        </w:rPr>
        <w:t>useful for wastewater treatment</w:t>
      </w:r>
      <w:r w:rsidRPr="00E55FA3">
        <w:rPr>
          <w:rStyle w:val="StyleUnderline"/>
        </w:rPr>
        <w:t>.”</w:t>
      </w:r>
      <w:r w:rsidRPr="00E55FA3">
        <w:rPr>
          <w:sz w:val="16"/>
        </w:rPr>
        <w:t xml:space="preserve"> He adds that much work on such solar-powered desalination has focused on novel materials. “But in our case, we use really low-cost, almost household materials.” The key was analyzing and understanding the convective flow that drives this entirely passive system, he says. “People say you always need new materials, expensive ones, or complicated structures or wicking structures to do that. And this is, I believe, the first one that does this without wicking structures.” </w:t>
      </w:r>
      <w:r w:rsidRPr="00E55FA3">
        <w:rPr>
          <w:rStyle w:val="StyleUnderline"/>
          <w:highlight w:val="green"/>
        </w:rPr>
        <w:t>This new approach “provides a promising and efficient path for desalination</w:t>
      </w:r>
      <w:r w:rsidRPr="00E55FA3">
        <w:rPr>
          <w:rStyle w:val="StyleUnderline"/>
        </w:rPr>
        <w:t xml:space="preserve"> of high salinity solutions, </w:t>
      </w:r>
      <w:r w:rsidRPr="00E55FA3">
        <w:rPr>
          <w:rStyle w:val="StyleUnderline"/>
          <w:highlight w:val="green"/>
        </w:rPr>
        <w:t>and could be a game changer in solar water desalination</w:t>
      </w:r>
      <w:r w:rsidRPr="00E55FA3">
        <w:rPr>
          <w:rStyle w:val="StyleUnderline"/>
        </w:rPr>
        <w:t xml:space="preserve">,” says Hadi Ghasemi, a professor of chemical and biomolecular engineering at the University of Houston, who was not associated with this work. </w:t>
      </w:r>
      <w:r w:rsidRPr="00E55FA3">
        <w:rPr>
          <w:sz w:val="16"/>
        </w:rPr>
        <w:t xml:space="preserve">“Further work is required for assessment of this concept in large settings and in long runs,” he adds. Just as hot air rises and cold air falls, Zhang explains, natural convection drives the desalination process in this device. In the confined water layer near the top, “the evaporation happens at the very top interface. Because of the salt, the density of water at the very top interface is higher, and the bottom water has lower density. So, this is an original driving force for this natural convection because the higher density at the top drives the salty liquid to go down.” The water evaporated from the top of the system can then be collected on a condensing surface, providing pure fresh water. The rejection of salt to the water below could also cause heat to be lost in the process, so preventing that required careful engineering, including making the perforated layer out of highly insulating material to keep the heat concentrated above. The solar heating at the top is accomplished through a simple layer of black paint. So far, the team has proven the concept using small benchtop devices, so the next step will be starting to scale up to devices that could have practical applications. Based on their calculations, a system with just 1 square meter (about a square yard) of collecting area should be sufficient to provide a family’s daily needs for drinking water, they say. </w:t>
      </w:r>
      <w:r w:rsidRPr="00E55FA3">
        <w:rPr>
          <w:rStyle w:val="StyleUnderline"/>
        </w:rPr>
        <w:t xml:space="preserve">Zhang says they calculated that the necessary materials for </w:t>
      </w:r>
      <w:r w:rsidRPr="00E55FA3">
        <w:rPr>
          <w:rStyle w:val="StyleUnderline"/>
          <w:highlight w:val="green"/>
        </w:rPr>
        <w:t>a 1-square-meter device would cost only about $4</w:t>
      </w:r>
      <w:r w:rsidRPr="00E55FA3">
        <w:rPr>
          <w:rStyle w:val="StyleUnderline"/>
        </w:rPr>
        <w:t xml:space="preserve">. Their test apparatus operated for a week with no signs of any salt accumulation, Li says. </w:t>
      </w:r>
      <w:r w:rsidRPr="00E55FA3">
        <w:rPr>
          <w:rStyle w:val="StyleUnderline"/>
          <w:highlight w:val="green"/>
        </w:rPr>
        <w:t>And the device is remarkably stable</w:t>
      </w:r>
      <w:r w:rsidRPr="00E55FA3">
        <w:rPr>
          <w:sz w:val="16"/>
        </w:rPr>
        <w:t xml:space="preserve">. “Even if we apply some extreme perturbation, like waves on the seawater or the lake,” where such a device could be installed as a floating platform, “it can return to its original equilibrium position very fast,” he says. The necessary work to translate this lab-scale proof of concept into workable commercial devices, and to improve the overall water production rate, should be possible within a few years, Zhang says. The first applications are likely to be providing safe water in remote off-grid locations, or for disaster relief after hurricanes, earthquakes, or other disruptions of normal water supplies. Zhang adds that “if we can concentrate the sunlight a little bit, we could use this passive device to generate high-temperature steam to do medical sterilization” for off-grid rural areas. </w:t>
      </w:r>
      <w:r w:rsidRPr="00E55FA3">
        <w:rPr>
          <w:rStyle w:val="StyleUnderline"/>
        </w:rPr>
        <w:t xml:space="preserve">“I think </w:t>
      </w:r>
      <w:r w:rsidRPr="00E55FA3">
        <w:rPr>
          <w:rStyle w:val="StyleUnderline"/>
          <w:highlight w:val="green"/>
        </w:rPr>
        <w:t>a real opportunity is the developing world</w:t>
      </w:r>
      <w:r w:rsidRPr="00E55FA3">
        <w:rPr>
          <w:rStyle w:val="StyleUnderline"/>
        </w:rPr>
        <w:t xml:space="preserve">,” Wang says. “I think that is where </w:t>
      </w:r>
      <w:r w:rsidRPr="00E55FA3">
        <w:rPr>
          <w:rStyle w:val="StyleUnderline"/>
          <w:highlight w:val="green"/>
        </w:rPr>
        <w:t>there's most probable impact near-term, because of the simplicity of the design</w:t>
      </w:r>
      <w:r w:rsidRPr="00E55FA3">
        <w:rPr>
          <w:rStyle w:val="StyleUnderline"/>
        </w:rPr>
        <w:t>.</w:t>
      </w:r>
      <w:r w:rsidRPr="00E55FA3">
        <w:rPr>
          <w:sz w:val="16"/>
        </w:rPr>
        <w:t xml:space="preserve">” But, she adds, “if we really want to get it out there, we also need to work with the end users, to really be able to adopt the way we design it so that they’re willing to use it.” “This is a new strategy toward solving the salt accumulation problem in solar evaporation,” says Peng Wang, a professor at King Abdullah University of Science and Technology in Saudi Arabia, who was not associated with this research. </w:t>
      </w:r>
      <w:r w:rsidRPr="00E55FA3">
        <w:rPr>
          <w:rStyle w:val="StyleUnderline"/>
        </w:rPr>
        <w:t>“</w:t>
      </w:r>
      <w:r w:rsidRPr="00E55FA3">
        <w:rPr>
          <w:rStyle w:val="StyleUnderline"/>
          <w:highlight w:val="green"/>
        </w:rPr>
        <w:t>This elegant design will inspire new innovations in the design of advanced solar evaporators.</w:t>
      </w:r>
      <w:r w:rsidRPr="00E55FA3">
        <w:rPr>
          <w:rStyle w:val="StyleUnderline"/>
        </w:rPr>
        <w:t xml:space="preserve"> The strategy is very promising due to its high energy efficiency, operation durability, and low cost, which contributes to low-cost and passive water desalination to produce fresh water from various source water with high salinity, e.g., seawater, brine, or brackish groundwater</w:t>
      </w:r>
      <w:r w:rsidRPr="00E55FA3">
        <w:rPr>
          <w:sz w:val="16"/>
        </w:rPr>
        <w:t>.” The team also included Yang Zhong, Arny Leroy, and Lin Zhao at MIT, and Zhenyuan Xu at Shanghai Jiao Tong University in China. The work was supported by the Singapore-MIT Alliance for Research and Technology, the U.S.-Egypt Science and Technology Joint Fund, and used facilities supported by the National Science Foundation.</w:t>
      </w:r>
    </w:p>
    <w:sectPr w:rsidR="00E813FA" w:rsidRPr="00E55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2B60"/>
    <w:rsid w:val="000139A3"/>
    <w:rsid w:val="00054186"/>
    <w:rsid w:val="000E5F19"/>
    <w:rsid w:val="00100833"/>
    <w:rsid w:val="00104529"/>
    <w:rsid w:val="00105942"/>
    <w:rsid w:val="00107396"/>
    <w:rsid w:val="00125849"/>
    <w:rsid w:val="00144A4C"/>
    <w:rsid w:val="00176AB0"/>
    <w:rsid w:val="00177B7D"/>
    <w:rsid w:val="0018322D"/>
    <w:rsid w:val="001B5776"/>
    <w:rsid w:val="001E527A"/>
    <w:rsid w:val="001F78CE"/>
    <w:rsid w:val="00251FC7"/>
    <w:rsid w:val="00275D23"/>
    <w:rsid w:val="002855A7"/>
    <w:rsid w:val="002B146A"/>
    <w:rsid w:val="002B5E17"/>
    <w:rsid w:val="002D6E5F"/>
    <w:rsid w:val="002D7B7F"/>
    <w:rsid w:val="00315690"/>
    <w:rsid w:val="00316B75"/>
    <w:rsid w:val="00325646"/>
    <w:rsid w:val="003460F2"/>
    <w:rsid w:val="0038158C"/>
    <w:rsid w:val="003902BA"/>
    <w:rsid w:val="003A09E2"/>
    <w:rsid w:val="00407037"/>
    <w:rsid w:val="004605D6"/>
    <w:rsid w:val="004C60E8"/>
    <w:rsid w:val="004C77F6"/>
    <w:rsid w:val="004E3579"/>
    <w:rsid w:val="004E728B"/>
    <w:rsid w:val="004F39E0"/>
    <w:rsid w:val="004F52F9"/>
    <w:rsid w:val="00537BD5"/>
    <w:rsid w:val="0057268A"/>
    <w:rsid w:val="005D2912"/>
    <w:rsid w:val="006065BD"/>
    <w:rsid w:val="00645FA9"/>
    <w:rsid w:val="00647866"/>
    <w:rsid w:val="00665003"/>
    <w:rsid w:val="00684A47"/>
    <w:rsid w:val="006A2AD0"/>
    <w:rsid w:val="006B2B60"/>
    <w:rsid w:val="006C2375"/>
    <w:rsid w:val="006D4ECC"/>
    <w:rsid w:val="00722258"/>
    <w:rsid w:val="007243E5"/>
    <w:rsid w:val="00766EA0"/>
    <w:rsid w:val="007916F9"/>
    <w:rsid w:val="007A2226"/>
    <w:rsid w:val="007F5B66"/>
    <w:rsid w:val="00823A1C"/>
    <w:rsid w:val="00845B9D"/>
    <w:rsid w:val="00860984"/>
    <w:rsid w:val="008A746F"/>
    <w:rsid w:val="008B3ECB"/>
    <w:rsid w:val="008B4E85"/>
    <w:rsid w:val="008C1B2E"/>
    <w:rsid w:val="0091627E"/>
    <w:rsid w:val="00932AE6"/>
    <w:rsid w:val="0097032B"/>
    <w:rsid w:val="009D2EAD"/>
    <w:rsid w:val="009D54B2"/>
    <w:rsid w:val="009E1922"/>
    <w:rsid w:val="009F7ED2"/>
    <w:rsid w:val="00A71F75"/>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625F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7A6"/>
    <w:rsid w:val="00E15E75"/>
    <w:rsid w:val="00E5262C"/>
    <w:rsid w:val="00E55FA3"/>
    <w:rsid w:val="00E603C8"/>
    <w:rsid w:val="00E77DC1"/>
    <w:rsid w:val="00E813FA"/>
    <w:rsid w:val="00EB2B3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E645"/>
  <w15:chartTrackingRefBased/>
  <w15:docId w15:val="{4D10BF63-F9DA-4727-95E5-14270955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2B60"/>
    <w:rPr>
      <w:rFonts w:ascii="Calibri" w:hAnsi="Calibri"/>
    </w:rPr>
  </w:style>
  <w:style w:type="paragraph" w:styleId="Heading1">
    <w:name w:val="heading 1"/>
    <w:aliases w:val="Pocket"/>
    <w:basedOn w:val="Normal"/>
    <w:next w:val="Normal"/>
    <w:link w:val="Heading1Char"/>
    <w:qFormat/>
    <w:rsid w:val="006B2B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6B2B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B2B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6B2B6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84A47"/>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6B2B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B60"/>
  </w:style>
  <w:style w:type="character" w:customStyle="1" w:styleId="Heading1Char">
    <w:name w:val="Heading 1 Char"/>
    <w:aliases w:val="Pocket Char"/>
    <w:basedOn w:val="DefaultParagraphFont"/>
    <w:link w:val="Heading1"/>
    <w:rsid w:val="006B2B6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6B2B6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B2B6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6B2B60"/>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6B2B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B2B60"/>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6B2B6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B2B60"/>
    <w:rPr>
      <w:color w:val="auto"/>
      <w:u w:val="none"/>
    </w:rPr>
  </w:style>
  <w:style w:type="character" w:styleId="FollowedHyperlink">
    <w:name w:val="FollowedHyperlink"/>
    <w:basedOn w:val="DefaultParagraphFont"/>
    <w:uiPriority w:val="99"/>
    <w:semiHidden/>
    <w:unhideWhenUsed/>
    <w:rsid w:val="006B2B60"/>
    <w:rPr>
      <w:color w:val="auto"/>
      <w:u w:val="none"/>
    </w:rPr>
  </w:style>
  <w:style w:type="character" w:customStyle="1" w:styleId="Heading5Char">
    <w:name w:val="Heading 5 Char"/>
    <w:basedOn w:val="DefaultParagraphFont"/>
    <w:link w:val="Heading5"/>
    <w:uiPriority w:val="9"/>
    <w:rsid w:val="00684A47"/>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684A4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84A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81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newrepublic.com/article/117815/space-mining-will-not-solve-earths-conflict-over-natural-resources" TargetMode="External"/><Relationship Id="rId18" Type="http://schemas.openxmlformats.org/officeDocument/2006/relationships/hyperlink" Target="https://www.smart-energy.com/renewable-energy/renewable-capacity-statistics-2020-study-findings-published/" TargetMode="External"/><Relationship Id="rId3" Type="http://schemas.openxmlformats.org/officeDocument/2006/relationships/styles" Target="styles.xml"/><Relationship Id="rId21" Type="http://schemas.openxmlformats.org/officeDocument/2006/relationships/hyperlink" Target="https://spaceindustries.com.au/market-analysts-derail-space-mining/space_mining/" TargetMode="Externa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itsgoingdown.org/new-technologies-extraterrestrial-exploitation-future-capitalism/" TargetMode="External"/><Relationship Id="rId17" Type="http://schemas.openxmlformats.org/officeDocument/2006/relationships/hyperlink" Target="https://www.smart-energy.com/renewable-energy/renewable-capacity-statistics-2020-study-findings-published/" TargetMode="External"/><Relationship Id="rId2" Type="http://schemas.openxmlformats.org/officeDocument/2006/relationships/numbering" Target="numbering.xml"/><Relationship Id="rId16" Type="http://schemas.openxmlformats.org/officeDocument/2006/relationships/hyperlink" Target="https://www.ul.com/news/bruce-bailey-and-crisis-common-good" TargetMode="External"/><Relationship Id="rId20" Type="http://schemas.openxmlformats.org/officeDocument/2006/relationships/hyperlink" Target="https://www.ellenmacarthurfoundation.org/publications/completing-the-picture-climate-change"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l.com/offerings/sustainability-advisory-services" TargetMode="External"/><Relationship Id="rId23" Type="http://schemas.openxmlformats.org/officeDocument/2006/relationships/fontTable" Target="fontTable.xm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www.ren21.net/gsr-2019/"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www.ul.com/news/why-renewable-energy-isnt-enough-change-meet-climate-goals" TargetMode="External"/><Relationship Id="rId22" Type="http://schemas.openxmlformats.org/officeDocument/2006/relationships/hyperlink" Target="https://news.mit.edu/2022/solar-desalination-system-inexpensive-0214%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16099</Words>
  <Characters>91766</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27</cp:revision>
  <dcterms:created xsi:type="dcterms:W3CDTF">2022-02-19T00:11:00Z</dcterms:created>
  <dcterms:modified xsi:type="dcterms:W3CDTF">2022-02-19T00:55:00Z</dcterms:modified>
</cp:coreProperties>
</file>