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C7531" w14:textId="60341737" w:rsidR="00E42E4C" w:rsidRDefault="00BB392E" w:rsidP="00BB392E">
      <w:pPr>
        <w:pStyle w:val="Heading1"/>
      </w:pPr>
      <w:r>
        <w:t>1NC</w:t>
      </w:r>
    </w:p>
    <w:p w14:paraId="496B88B3" w14:textId="5BF585D4" w:rsidR="00BB392E" w:rsidRDefault="00BB392E" w:rsidP="00BB392E">
      <w:pPr>
        <w:pStyle w:val="Heading2"/>
      </w:pPr>
      <w:r>
        <w:t>1</w:t>
      </w:r>
    </w:p>
    <w:p w14:paraId="62A85EEB" w14:textId="77777777" w:rsidR="00BB392E" w:rsidRDefault="00BB392E" w:rsidP="00BB392E">
      <w:pPr>
        <w:pStyle w:val="Heading4"/>
        <w:rPr>
          <w:sz w:val="24"/>
          <w:szCs w:val="24"/>
        </w:rPr>
      </w:pPr>
      <w:r>
        <w:t xml:space="preserve">Interpretation </w:t>
      </w:r>
      <w:proofErr w:type="gramStart"/>
      <w:r>
        <w:t>–  The</w:t>
      </w:r>
      <w:proofErr w:type="gramEnd"/>
      <w:r>
        <w:t xml:space="preserve"> </w:t>
      </w:r>
      <w:proofErr w:type="spellStart"/>
      <w:r>
        <w:t>Aff</w:t>
      </w:r>
      <w:proofErr w:type="spellEnd"/>
      <w:r>
        <w:t xml:space="preserve"> must defend theory interpretations and arguments unconditionally as presented in the 1ac. In other words, the </w:t>
      </w:r>
      <w:proofErr w:type="spellStart"/>
      <w:r>
        <w:t>aff</w:t>
      </w:r>
      <w:proofErr w:type="spellEnd"/>
      <w:r>
        <w:t xml:space="preserve"> may not run cx checks</w:t>
      </w:r>
    </w:p>
    <w:p w14:paraId="704E5507" w14:textId="77777777" w:rsidR="00BB392E" w:rsidRDefault="00BB392E" w:rsidP="00BB392E">
      <w:pPr>
        <w:pStyle w:val="Heading4"/>
        <w:rPr>
          <w:sz w:val="24"/>
          <w:szCs w:val="24"/>
        </w:rPr>
      </w:pPr>
      <w:r>
        <w:t xml:space="preserve">Violation – they said neg should check </w:t>
      </w:r>
      <w:proofErr w:type="spellStart"/>
      <w:r>
        <w:t>interps</w:t>
      </w:r>
      <w:proofErr w:type="spellEnd"/>
      <w:r>
        <w:t xml:space="preserve"> in cx under the advocacy text</w:t>
      </w:r>
    </w:p>
    <w:p w14:paraId="0820F0D2" w14:textId="77777777" w:rsidR="00BB392E" w:rsidRDefault="00BB392E" w:rsidP="00BB392E">
      <w:pPr>
        <w:pStyle w:val="Heading4"/>
        <w:rPr>
          <w:sz w:val="24"/>
          <w:szCs w:val="24"/>
        </w:rPr>
      </w:pPr>
      <w:r>
        <w:t>The standard is Theory recourse – CX checks</w:t>
      </w:r>
    </w:p>
    <w:p w14:paraId="72C364C1" w14:textId="2D5BD6A3" w:rsidR="00BB392E" w:rsidRDefault="00BB392E" w:rsidP="00BB392E">
      <w:pPr>
        <w:pStyle w:val="Heading4"/>
      </w:pPr>
      <w:r>
        <w:t xml:space="preserve">1] </w:t>
      </w:r>
      <w:r>
        <w:t xml:space="preserve">Causes sidestepping, encouraging you to have hidden abusive </w:t>
      </w:r>
      <w:proofErr w:type="spellStart"/>
      <w:r>
        <w:t>args</w:t>
      </w:r>
      <w:proofErr w:type="spellEnd"/>
      <w:r>
        <w:t xml:space="preserve"> since I either call you out on it in cx and you kick it or I concede it and you win, which makes debates innocuous</w:t>
      </w:r>
    </w:p>
    <w:p w14:paraId="4CFD305B" w14:textId="752E12BC" w:rsidR="00BB392E" w:rsidRDefault="00BB392E" w:rsidP="00BB392E">
      <w:pPr>
        <w:pStyle w:val="Heading4"/>
      </w:pPr>
      <w:r>
        <w:t xml:space="preserve">2] </w:t>
      </w:r>
      <w:r>
        <w:t xml:space="preserve">Causes ambiguity – what constitutes a sufficient "check" is unclear. Even if we isolate the abusive practice in CX, the </w:t>
      </w:r>
      <w:proofErr w:type="spellStart"/>
      <w:r>
        <w:t>aff</w:t>
      </w:r>
      <w:proofErr w:type="spellEnd"/>
      <w:r>
        <w:t xml:space="preserve"> can still go for the </w:t>
      </w:r>
      <w:proofErr w:type="spellStart"/>
      <w:r>
        <w:t>arg</w:t>
      </w:r>
      <w:proofErr w:type="spellEnd"/>
      <w:r>
        <w:t xml:space="preserve"> and establish new parameters for checking</w:t>
      </w:r>
    </w:p>
    <w:p w14:paraId="2834F0CC" w14:textId="15A619B4" w:rsidR="00BB392E" w:rsidRDefault="00BB392E" w:rsidP="00BB392E">
      <w:pPr>
        <w:pStyle w:val="Heading4"/>
      </w:pPr>
      <w:r>
        <w:t xml:space="preserve">3] </w:t>
      </w:r>
      <w:r>
        <w:t xml:space="preserve">Prep skew – even if you don’t kick the abuse, you get extra time to prep my </w:t>
      </w:r>
      <w:proofErr w:type="spellStart"/>
      <w:r>
        <w:t>interp</w:t>
      </w:r>
      <w:proofErr w:type="spellEnd"/>
      <w:r>
        <w:t xml:space="preserve"> since you know what I’ll indict. That gives you nearly double the time to prep and creates </w:t>
      </w:r>
      <w:proofErr w:type="spellStart"/>
      <w:r>
        <w:t>irreciprocal</w:t>
      </w:r>
      <w:proofErr w:type="spellEnd"/>
      <w:r>
        <w:t xml:space="preserve"> burdens. </w:t>
      </w:r>
    </w:p>
    <w:p w14:paraId="07E481DC" w14:textId="77777777" w:rsidR="00BB392E" w:rsidRDefault="00BB392E" w:rsidP="00BB392E">
      <w:pPr>
        <w:pStyle w:val="Heading4"/>
      </w:pPr>
      <w:r>
        <w:t xml:space="preserve">Fairness and education are voters – </w:t>
      </w:r>
      <w:proofErr w:type="spellStart"/>
      <w:r>
        <w:t>its</w:t>
      </w:r>
      <w:proofErr w:type="spellEnd"/>
      <w:r>
        <w:t xml:space="preserve"> how judges evaluate rounds and why schools fund debate</w:t>
      </w:r>
    </w:p>
    <w:p w14:paraId="64567A3C" w14:textId="77777777" w:rsidR="00BB392E" w:rsidRPr="007054E9" w:rsidRDefault="00BB392E" w:rsidP="00BB392E">
      <w:pPr>
        <w:pStyle w:val="Heading4"/>
      </w:pPr>
      <w:r>
        <w:t>DTD – it’s key to norm set and deter future abuse</w:t>
      </w:r>
    </w:p>
    <w:p w14:paraId="649C3B2B" w14:textId="77777777" w:rsidR="00BB392E" w:rsidRPr="007054E9" w:rsidRDefault="00BB392E" w:rsidP="00BB392E">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5896C5A0" w14:textId="77777777" w:rsidR="00BB392E" w:rsidRDefault="00BB392E" w:rsidP="00BB392E">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2B285F45" w14:textId="77777777" w:rsidR="00BB392E" w:rsidRPr="004B7E3B" w:rsidRDefault="00BB392E" w:rsidP="00BB392E"/>
    <w:p w14:paraId="751C04E8" w14:textId="7D015A28" w:rsidR="00BB392E" w:rsidRDefault="00BB392E" w:rsidP="00BB392E">
      <w:pPr>
        <w:pStyle w:val="Heading2"/>
      </w:pPr>
      <w:r>
        <w:t>2</w:t>
      </w:r>
    </w:p>
    <w:p w14:paraId="7C11B6CA" w14:textId="77777777" w:rsidR="00BE1364" w:rsidRDefault="00BE1364" w:rsidP="00BE1364">
      <w:pPr>
        <w:pStyle w:val="Heading4"/>
      </w:pPr>
      <w:proofErr w:type="spellStart"/>
      <w:r>
        <w:t>Interp</w:t>
      </w:r>
      <w:proofErr w:type="spellEnd"/>
      <w:r>
        <w:t xml:space="preserve">: The affirmative must define “outer space” in a delimited text in the 1AC.  </w:t>
      </w:r>
    </w:p>
    <w:p w14:paraId="4E9E641C" w14:textId="77777777" w:rsidR="00BE1364" w:rsidRPr="000B1628" w:rsidRDefault="00BE1364" w:rsidP="00BE1364">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2D736269" w14:textId="77777777" w:rsidR="00BE1364" w:rsidRPr="00BF3CE0" w:rsidRDefault="00BE1364" w:rsidP="00BE1364">
      <w:proofErr w:type="spellStart"/>
      <w:r w:rsidRPr="00595564">
        <w:rPr>
          <w:rStyle w:val="Style13ptBold"/>
        </w:rPr>
        <w:t>Leepuengtham</w:t>
      </w:r>
      <w:proofErr w:type="spellEnd"/>
      <w:r w:rsidRPr="00595564">
        <w:rPr>
          <w:rStyle w:val="Style13ptBold"/>
        </w:rPr>
        <w:t xml:space="preserve"> 17</w:t>
      </w:r>
      <w:r w:rsidRPr="00BF3CE0">
        <w:t xml:space="preserve"> [</w:t>
      </w:r>
      <w:proofErr w:type="spellStart"/>
      <w:r w:rsidRPr="00BF3CE0">
        <w:t>Tosaporn</w:t>
      </w:r>
      <w:proofErr w:type="spellEnd"/>
      <w:r w:rsidRPr="00BF3CE0">
        <w:t xml:space="preserve"> </w:t>
      </w:r>
      <w:proofErr w:type="spellStart"/>
      <w:r w:rsidRPr="00BF3CE0">
        <w:t>Leepuengtham</w:t>
      </w:r>
      <w:proofErr w:type="spellEnd"/>
      <w:r>
        <w:t xml:space="preserve"> (Research Judge, Intellectual Property and International Trade Division, Supreme Court of Thailand</w:t>
      </w:r>
      <w:r w:rsidRPr="00BF3CE0">
        <w:t xml:space="preserve">). "International space law and its implications for outer space activities." 01-27-2017, Accessed 12-9-2021. https://www.elgaronline.com/view/9781785369612/06_chapter1.xhtml // </w:t>
      </w:r>
      <w:proofErr w:type="spellStart"/>
      <w:r w:rsidRPr="00BF3CE0">
        <w:t>duongie</w:t>
      </w:r>
      <w:proofErr w:type="spellEnd"/>
    </w:p>
    <w:p w14:paraId="3E9320A0" w14:textId="77777777" w:rsidR="00BE1364" w:rsidRDefault="00BE1364" w:rsidP="00BE1364">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7C0F8C">
        <w:rPr>
          <w:highlight w:val="green"/>
          <w:u w:val="single"/>
        </w:rPr>
        <w:t>lack of</w:t>
      </w:r>
      <w:r w:rsidRPr="00E634D8">
        <w:rPr>
          <w:u w:val="single"/>
        </w:rPr>
        <w:t xml:space="preserve"> a </w:t>
      </w:r>
      <w:r w:rsidRPr="007C0F8C">
        <w:rPr>
          <w:highlight w:val="green"/>
          <w:u w:val="single"/>
        </w:rPr>
        <w:t>definition</w:t>
      </w:r>
      <w:r w:rsidRPr="00E634D8">
        <w:rPr>
          <w:u w:val="single"/>
        </w:rPr>
        <w:t xml:space="preserve"> and delimitation </w:t>
      </w:r>
      <w:r w:rsidRPr="007C0F8C">
        <w:rPr>
          <w:highlight w:val="green"/>
          <w:u w:val="single"/>
        </w:rPr>
        <w:t>of outer space is problematic</w:t>
      </w:r>
      <w:r w:rsidRPr="00E634D8">
        <w:rPr>
          <w:sz w:val="16"/>
        </w:rPr>
        <w:t xml:space="preserve">, since </w:t>
      </w:r>
      <w:r w:rsidRPr="00E634D8">
        <w:rPr>
          <w:u w:val="single"/>
        </w:rPr>
        <w:t xml:space="preserve">certain </w:t>
      </w:r>
      <w:proofErr w:type="gramStart"/>
      <w:r w:rsidRPr="00E634D8">
        <w:rPr>
          <w:u w:val="single"/>
        </w:rPr>
        <w:t xml:space="preserve">particular </w:t>
      </w:r>
      <w:r w:rsidRPr="007C0F8C">
        <w:rPr>
          <w:highlight w:val="green"/>
          <w:u w:val="single"/>
        </w:rPr>
        <w:t>areas</w:t>
      </w:r>
      <w:proofErr w:type="gramEnd"/>
      <w:r w:rsidRPr="00E634D8">
        <w:rPr>
          <w:u w:val="single"/>
        </w:rPr>
        <w:t xml:space="preserve"> are </w:t>
      </w:r>
      <w:r w:rsidRPr="007C0F8C">
        <w:rPr>
          <w:highlight w:val="green"/>
          <w:u w:val="single"/>
        </w:rPr>
        <w:t>neither</w:t>
      </w:r>
      <w:r w:rsidRPr="00E634D8">
        <w:rPr>
          <w:u w:val="single"/>
        </w:rPr>
        <w:t xml:space="preserve"> explicitly </w:t>
      </w:r>
      <w:r w:rsidRPr="007C0F8C">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7C0F8C">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7C0F8C">
        <w:rPr>
          <w:highlight w:val="green"/>
          <w:u w:val="single"/>
        </w:rPr>
        <w:t>necessary</w:t>
      </w:r>
      <w:r w:rsidRPr="00E634D8">
        <w:rPr>
          <w:u w:val="single"/>
        </w:rPr>
        <w:t xml:space="preserve"> </w:t>
      </w:r>
      <w:r w:rsidRPr="007C0F8C">
        <w:rPr>
          <w:highlight w:val="green"/>
          <w:u w:val="single"/>
        </w:rPr>
        <w:t>to determine</w:t>
      </w:r>
      <w:r w:rsidRPr="00E634D8">
        <w:rPr>
          <w:u w:val="single"/>
        </w:rPr>
        <w:t xml:space="preserve"> where a </w:t>
      </w:r>
      <w:r w:rsidRPr="007C0F8C">
        <w:rPr>
          <w:highlight w:val="green"/>
          <w:u w:val="single"/>
        </w:rPr>
        <w:t>state’s airspace ends to ensure</w:t>
      </w:r>
      <w:r w:rsidRPr="00E634D8">
        <w:rPr>
          <w:u w:val="single"/>
        </w:rPr>
        <w:t xml:space="preserve"> that the </w:t>
      </w:r>
      <w:r w:rsidRPr="007C0F8C">
        <w:rPr>
          <w:highlight w:val="green"/>
          <w:u w:val="single"/>
        </w:rPr>
        <w:t>appropriate legal regime is applied</w:t>
      </w:r>
      <w:r w:rsidRPr="007C0F8C">
        <w:rPr>
          <w:sz w:val="16"/>
          <w:highlight w:val="green"/>
        </w:rPr>
        <w:t>.</w:t>
      </w:r>
      <w:r w:rsidRPr="00E634D8">
        <w:rPr>
          <w:sz w:val="16"/>
        </w:rPr>
        <w:t xml:space="preserve"> One possible scenario which might </w:t>
      </w:r>
      <w:proofErr w:type="gramStart"/>
      <w:r w:rsidRPr="00E634D8">
        <w:rPr>
          <w:sz w:val="16"/>
        </w:rPr>
        <w:t>occur</w:t>
      </w:r>
      <w:proofErr w:type="gramEnd"/>
      <w:r w:rsidRPr="00E634D8">
        <w:rPr>
          <w:sz w:val="16"/>
        </w:rPr>
        <w:t xml:space="preserve">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7C0F8C">
        <w:rPr>
          <w:highlight w:val="green"/>
          <w:u w:val="single"/>
        </w:rPr>
        <w:t>boundary</w:t>
      </w:r>
      <w:r w:rsidRPr="00E634D8">
        <w:rPr>
          <w:u w:val="single"/>
        </w:rPr>
        <w:t xml:space="preserve"> is </w:t>
      </w:r>
      <w:r w:rsidRPr="007C0F8C">
        <w:rPr>
          <w:highlight w:val="green"/>
          <w:u w:val="single"/>
        </w:rPr>
        <w:t>necessary if</w:t>
      </w:r>
      <w:r w:rsidRPr="00E634D8">
        <w:rPr>
          <w:u w:val="single"/>
        </w:rPr>
        <w:t xml:space="preserve"> unpredictability arising from </w:t>
      </w:r>
      <w:r w:rsidRPr="007C0F8C">
        <w:rPr>
          <w:highlight w:val="green"/>
          <w:u w:val="single"/>
        </w:rPr>
        <w:t>different legal application</w:t>
      </w:r>
      <w:r w:rsidRPr="00E634D8">
        <w:rPr>
          <w:u w:val="single"/>
        </w:rPr>
        <w:t xml:space="preserve"> </w:t>
      </w:r>
      <w:r w:rsidRPr="007C0F8C">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2D5762BB" w14:textId="77777777" w:rsidR="00BE1364" w:rsidRPr="00835191" w:rsidRDefault="00BE1364" w:rsidP="00BE1364">
      <w:r>
        <w:t>appropriation</w:t>
      </w:r>
      <w:r w:rsidRPr="00835191">
        <w:footnoteReference w:id="1"/>
      </w:r>
      <w:r w:rsidRPr="00835191">
        <w:t xml:space="preserve"> is “</w:t>
      </w:r>
      <w:r w:rsidRPr="00571045">
        <w:rPr>
          <w:u w:val="single"/>
        </w:rPr>
        <w:t xml:space="preserve">a sum of money or total of </w:t>
      </w:r>
      <w:r w:rsidRPr="00571045">
        <w:rPr>
          <w:highlight w:val="green"/>
          <w:u w:val="single"/>
        </w:rPr>
        <w:t>assets devoted to a special purpose</w:t>
      </w:r>
      <w:r w:rsidRPr="00835191">
        <w:t xml:space="preserve">” but the </w:t>
      </w:r>
      <w:proofErr w:type="spellStart"/>
      <w:r w:rsidRPr="00835191">
        <w:t>rez</w:t>
      </w:r>
      <w:proofErr w:type="spellEnd"/>
      <w:r>
        <w:t xml:space="preserve"> doesn’t spec a purpose </w:t>
      </w:r>
    </w:p>
    <w:p w14:paraId="0C737A27" w14:textId="77777777" w:rsidR="00BE1364" w:rsidRDefault="00BE1364" w:rsidP="00BE1364">
      <w:pPr>
        <w:pStyle w:val="Heading4"/>
      </w:pPr>
      <w:r w:rsidRPr="00831D2B">
        <w:rPr>
          <w:rFonts w:cs="Calibri"/>
        </w:rPr>
        <w:t>Violation – you don’t.</w:t>
      </w:r>
    </w:p>
    <w:p w14:paraId="4521D1F4" w14:textId="77777777" w:rsidR="00BE1364" w:rsidRPr="00831D2B" w:rsidRDefault="00BE1364" w:rsidP="00BE1364">
      <w:pPr>
        <w:pStyle w:val="Heading4"/>
        <w:spacing w:line="240" w:lineRule="auto"/>
        <w:rPr>
          <w:rFonts w:cs="Calibri"/>
        </w:rPr>
      </w:pPr>
      <w:r>
        <w:rPr>
          <w:rFonts w:cs="Calibri"/>
        </w:rPr>
        <w:t xml:space="preserve">Prefer – </w:t>
      </w:r>
    </w:p>
    <w:p w14:paraId="3D8068CA" w14:textId="77777777" w:rsidR="00BE1364" w:rsidRPr="002B6529" w:rsidRDefault="00BE1364" w:rsidP="00BE1364">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0240DD7C" w14:textId="77777777" w:rsidR="00BE1364" w:rsidRDefault="00BE1364" w:rsidP="00BE1364">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w:t>
      </w:r>
      <w:proofErr w:type="spellStart"/>
      <w:r>
        <w:t>aff</w:t>
      </w:r>
      <w:proofErr w:type="spellEnd"/>
      <w:r>
        <w:t xml:space="preserve"> and means their solvency can’t actualize. </w:t>
      </w:r>
    </w:p>
    <w:p w14:paraId="0D7D9832" w14:textId="77777777" w:rsidR="00BE1364" w:rsidRDefault="00BE1364" w:rsidP="00BE1364">
      <w:pPr>
        <w:pStyle w:val="Heading4"/>
      </w:pPr>
      <w:proofErr w:type="spellStart"/>
      <w:r>
        <w:t>OSspec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0DC55D04" w14:textId="26E352F9" w:rsidR="00BB392E" w:rsidRDefault="00CA6098" w:rsidP="00CA6098">
      <w:pPr>
        <w:pStyle w:val="Heading2"/>
      </w:pPr>
      <w:r>
        <w:t>3</w:t>
      </w:r>
    </w:p>
    <w:p w14:paraId="74F542EC" w14:textId="77777777" w:rsidR="00BE1364" w:rsidRPr="001574D3" w:rsidRDefault="00BE1364" w:rsidP="00BE1364">
      <w:pPr>
        <w:pStyle w:val="Heading4"/>
        <w:rPr>
          <w:rFonts w:asciiTheme="majorHAnsi" w:hAnsiTheme="majorHAnsi" w:cstheme="majorHAnsi"/>
        </w:rPr>
      </w:pPr>
      <w:r w:rsidRPr="001574D3">
        <w:rPr>
          <w:rFonts w:asciiTheme="majorHAnsi" w:hAnsiTheme="majorHAnsi" w:cstheme="majorHAnsi"/>
        </w:rPr>
        <w:t>The meta-ethic is desire – it’s the starting point of all ethics.</w:t>
      </w:r>
    </w:p>
    <w:p w14:paraId="001547C2" w14:textId="77777777" w:rsidR="00BE1364" w:rsidRPr="001574D3" w:rsidRDefault="00BE1364" w:rsidP="00BE1364">
      <w:pPr>
        <w:pStyle w:val="Heading4"/>
        <w:rPr>
          <w:rFonts w:asciiTheme="majorHAnsi" w:hAnsiTheme="majorHAnsi" w:cstheme="majorHAnsi"/>
        </w:rPr>
      </w:pPr>
      <w:r w:rsidRPr="001574D3">
        <w:rPr>
          <w:rFonts w:asciiTheme="majorHAnsi" w:hAnsiTheme="majorHAnsi" w:cstheme="majorHAnsi"/>
        </w:rPr>
        <w:t xml:space="preserve">1] We can’t obtain evidence of </w:t>
      </w:r>
      <w:r w:rsidRPr="001574D3">
        <w:rPr>
          <w:rFonts w:asciiTheme="majorHAnsi" w:hAnsiTheme="majorHAnsi" w:cstheme="majorHAnsi"/>
          <w:u w:val="single"/>
        </w:rPr>
        <w:t>goodness without desire</w:t>
      </w:r>
      <w:r w:rsidRPr="001574D3">
        <w:rPr>
          <w:rFonts w:asciiTheme="majorHAnsi" w:hAnsiTheme="majorHAnsi" w:cstheme="majorHAnsi"/>
        </w:rPr>
        <w:t xml:space="preserve"> – </w:t>
      </w:r>
      <w:proofErr w:type="spellStart"/>
      <w:r w:rsidRPr="001574D3">
        <w:rPr>
          <w:rFonts w:asciiTheme="majorHAnsi" w:hAnsiTheme="majorHAnsi" w:cstheme="majorHAnsi"/>
        </w:rPr>
        <w:t>aposteriori</w:t>
      </w:r>
      <w:proofErr w:type="spellEnd"/>
      <w:r w:rsidRPr="001574D3">
        <w:rPr>
          <w:rFonts w:asciiTheme="majorHAnsi" w:hAnsiTheme="majorHAnsi" w:cstheme="majorHAnsi"/>
        </w:rPr>
        <w:t xml:space="preserve"> knowledge outweighs.</w:t>
      </w:r>
    </w:p>
    <w:p w14:paraId="4B6E7FDE" w14:textId="77777777" w:rsidR="00BE1364" w:rsidRPr="001574D3" w:rsidRDefault="00BE1364" w:rsidP="00BE1364">
      <w:pPr>
        <w:rPr>
          <w:rStyle w:val="Style13ptBold"/>
          <w:rFonts w:asciiTheme="majorHAnsi" w:hAnsiTheme="majorHAnsi" w:cstheme="majorHAnsi"/>
        </w:rPr>
      </w:pPr>
      <w:r w:rsidRPr="001574D3">
        <w:rPr>
          <w:rStyle w:val="Style13ptBold"/>
          <w:rFonts w:asciiTheme="majorHAnsi" w:hAnsiTheme="majorHAnsi" w:cstheme="majorHAnsi"/>
        </w:rPr>
        <w:t>Sayre-McCord 1</w:t>
      </w:r>
    </w:p>
    <w:p w14:paraId="692C4FCC" w14:textId="77777777" w:rsidR="00BE1364" w:rsidRPr="001574D3" w:rsidRDefault="00BE1364" w:rsidP="00BE1364">
      <w:pPr>
        <w:rPr>
          <w:rFonts w:asciiTheme="majorHAnsi" w:hAnsiTheme="majorHAnsi" w:cstheme="majorHAnsi"/>
          <w:sz w:val="16"/>
          <w:szCs w:val="16"/>
        </w:rPr>
      </w:pPr>
      <w:r w:rsidRPr="001574D3">
        <w:rPr>
          <w:rFonts w:asciiTheme="majorHAnsi" w:hAnsiTheme="majorHAnsi" w:cstheme="majorHAnsi"/>
          <w:sz w:val="16"/>
          <w:szCs w:val="16"/>
        </w:rPr>
        <w:t xml:space="preserve">Geoffrey Sayre-McCord, Philosophy, University of North Carolina, Chapel Hill, "Mill's “Proof” Of </w:t>
      </w:r>
      <w:proofErr w:type="gramStart"/>
      <w:r w:rsidRPr="001574D3">
        <w:rPr>
          <w:rFonts w:asciiTheme="majorHAnsi" w:hAnsiTheme="majorHAnsi" w:cstheme="majorHAnsi"/>
          <w:sz w:val="16"/>
          <w:szCs w:val="16"/>
        </w:rPr>
        <w:t>The</w:t>
      </w:r>
      <w:proofErr w:type="gramEnd"/>
      <w:r w:rsidRPr="001574D3">
        <w:rPr>
          <w:rFonts w:asciiTheme="majorHAnsi" w:hAnsiTheme="majorHAnsi" w:cstheme="majorHAnsi"/>
          <w:sz w:val="16"/>
          <w:szCs w:val="16"/>
        </w:rPr>
        <w:t xml:space="preserve"> Principle of Utility: A More Than Half-Hearted Defense", Social Philosophy and Policy, 2001, accessed: 1 April 2020, </w:t>
      </w:r>
      <w:r w:rsidRPr="00301B9E">
        <w:rPr>
          <w:rFonts w:asciiTheme="majorHAnsi" w:hAnsiTheme="majorHAnsi" w:cstheme="majorHAnsi"/>
          <w:sz w:val="16"/>
          <w:szCs w:val="16"/>
        </w:rPr>
        <w:t>https://www.cambridge.org/core/journals/social-philosophy-and-policy/article/mills-proof-of-the-principle-of-utility-a-more-than-halfhearted-defense/FDBE07CBE08D4E17523930BF8C7BBC32</w:t>
      </w:r>
      <w:r w:rsidRPr="001574D3">
        <w:rPr>
          <w:rFonts w:asciiTheme="majorHAnsi" w:hAnsiTheme="majorHAnsi" w:cstheme="majorHAnsi"/>
          <w:sz w:val="16"/>
          <w:szCs w:val="16"/>
        </w:rPr>
        <w:t xml:space="preserve">, R.S. </w:t>
      </w:r>
    </w:p>
    <w:p w14:paraId="63FE3F04" w14:textId="77777777" w:rsidR="00BE1364" w:rsidRPr="001574D3" w:rsidRDefault="00BE1364" w:rsidP="00BE1364">
      <w:pPr>
        <w:rPr>
          <w:rFonts w:asciiTheme="majorHAnsi" w:hAnsiTheme="majorHAnsi" w:cstheme="majorHAnsi"/>
          <w:sz w:val="10"/>
        </w:rPr>
      </w:pPr>
      <w:r w:rsidRPr="001574D3">
        <w:rPr>
          <w:rFonts w:asciiTheme="majorHAnsi" w:hAnsiTheme="majorHAnsi" w:cstheme="majorHAnsi"/>
          <w:sz w:val="10"/>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 for the first premises of our </w:t>
      </w:r>
      <w:r w:rsidRPr="00211240">
        <w:rPr>
          <w:rFonts w:asciiTheme="majorHAnsi" w:hAnsiTheme="majorHAnsi" w:cstheme="majorHAnsi"/>
          <w:b/>
          <w:bCs/>
          <w:highlight w:val="green"/>
          <w:u w:val="single"/>
        </w:rPr>
        <w:t>knowledge</w:t>
      </w:r>
      <w:r w:rsidRPr="001574D3">
        <w:rPr>
          <w:rFonts w:asciiTheme="majorHAnsi" w:hAnsiTheme="majorHAnsi" w:cstheme="majorHAnsi"/>
          <w:u w:val="single"/>
        </w:rPr>
        <w:t xml:space="preserve"> is </w:t>
      </w:r>
      <w:r w:rsidRPr="00211240">
        <w:rPr>
          <w:rFonts w:asciiTheme="majorHAnsi" w:hAnsiTheme="majorHAnsi" w:cstheme="majorHAnsi"/>
          <w:b/>
          <w:bCs/>
          <w:highlight w:val="green"/>
          <w:u w:val="single"/>
        </w:rPr>
        <w:t>provided by</w:t>
      </w:r>
      <w:r w:rsidRPr="001574D3">
        <w:rPr>
          <w:rFonts w:asciiTheme="majorHAnsi" w:hAnsiTheme="majorHAnsi" w:cstheme="majorHAnsi"/>
          <w:u w:val="single"/>
        </w:rPr>
        <w:t xml:space="preserve"> "our </w:t>
      </w:r>
      <w:r w:rsidRPr="00211240">
        <w:rPr>
          <w:rFonts w:asciiTheme="majorHAnsi" w:hAnsiTheme="majorHAnsi" w:cstheme="majorHAnsi"/>
          <w:b/>
          <w:bCs/>
          <w:highlight w:val="green"/>
          <w:u w:val="single"/>
        </w:rPr>
        <w:t>senses, and</w:t>
      </w:r>
      <w:r w:rsidRPr="001574D3">
        <w:rPr>
          <w:rFonts w:asciiTheme="majorHAnsi" w:hAnsiTheme="majorHAnsi" w:cstheme="majorHAnsi"/>
          <w:sz w:val="10"/>
        </w:rPr>
        <w:t xml:space="preserve"> our internal </w:t>
      </w:r>
      <w:r w:rsidRPr="00211240">
        <w:rPr>
          <w:rFonts w:asciiTheme="majorHAnsi" w:hAnsiTheme="majorHAnsi" w:cstheme="majorHAnsi"/>
          <w:b/>
          <w:bCs/>
          <w:highlight w:val="green"/>
          <w:u w:val="single"/>
        </w:rPr>
        <w:t>consciousness.</w:t>
      </w:r>
      <w:r w:rsidRPr="001574D3">
        <w:rPr>
          <w:rFonts w:asciiTheme="majorHAnsi" w:hAnsiTheme="majorHAnsi" w:cstheme="majorHAnsi"/>
          <w:sz w:val="10"/>
        </w:rPr>
        <w:t xml:space="preserve">" Mill's suggestion is that, when it comes to the first principles of conduct, </w:t>
      </w:r>
      <w:r w:rsidRPr="00211240">
        <w:rPr>
          <w:rFonts w:asciiTheme="majorHAnsi" w:hAnsiTheme="majorHAnsi" w:cstheme="majorHAnsi"/>
          <w:highlight w:val="green"/>
          <w:u w:val="single"/>
        </w:rPr>
        <w:t>desire play the same</w:t>
      </w:r>
      <w:r w:rsidRPr="001574D3">
        <w:rPr>
          <w:rFonts w:asciiTheme="majorHAnsi" w:hAnsiTheme="majorHAnsi" w:cstheme="majorHAnsi"/>
          <w:u w:val="single"/>
        </w:rPr>
        <w:t xml:space="preserve"> epistemic </w:t>
      </w:r>
      <w:r w:rsidRPr="00211240">
        <w:rPr>
          <w:rFonts w:asciiTheme="majorHAnsi" w:hAnsiTheme="majorHAnsi" w:cstheme="majorHAnsi"/>
          <w:highlight w:val="green"/>
          <w:u w:val="single"/>
        </w:rPr>
        <w:t>role that</w:t>
      </w:r>
      <w:r w:rsidRPr="001574D3">
        <w:rPr>
          <w:rFonts w:asciiTheme="majorHAnsi" w:hAnsiTheme="majorHAnsi" w:cstheme="majorHAnsi"/>
          <w:u w:val="single"/>
        </w:rPr>
        <w:t xml:space="preserve"> the </w:t>
      </w:r>
      <w:r w:rsidRPr="00211240">
        <w:rPr>
          <w:rFonts w:asciiTheme="majorHAnsi" w:hAnsiTheme="majorHAnsi" w:cstheme="majorHAnsi"/>
          <w:highlight w:val="green"/>
          <w:u w:val="single"/>
        </w:rPr>
        <w:t>senses play</w:t>
      </w:r>
      <w:r w:rsidRPr="001574D3">
        <w:rPr>
          <w:rFonts w:asciiTheme="majorHAnsi" w:hAnsiTheme="majorHAnsi" w:cstheme="majorHAnsi"/>
          <w:sz w:val="10"/>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1574D3">
        <w:rPr>
          <w:rFonts w:asciiTheme="majorHAnsi" w:hAnsiTheme="majorHAnsi" w:cstheme="majorHAnsi"/>
          <w:u w:val="single"/>
        </w:rPr>
        <w:t>the evidence we have for our judgments concerning value traces back to what is desired, to the content of our desires.</w:t>
      </w:r>
      <w:r w:rsidRPr="001574D3">
        <w:rPr>
          <w:rFonts w:asciiTheme="majorHAnsi" w:hAnsiTheme="majorHAnsi" w:cstheme="majorHAnsi"/>
          <w:sz w:val="10"/>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RPr="001574D3">
        <w:rPr>
          <w:rFonts w:asciiTheme="majorHAnsi" w:hAnsiTheme="majorHAnsi" w:cstheme="majorHAnsi"/>
          <w:u w:val="single"/>
        </w:rPr>
        <w:t xml:space="preserve">When we are having sensations of red, </w:t>
      </w:r>
      <w:r w:rsidRPr="00211240">
        <w:rPr>
          <w:rFonts w:asciiTheme="majorHAnsi" w:hAnsiTheme="majorHAnsi" w:cstheme="majorHAnsi"/>
          <w:highlight w:val="green"/>
          <w:u w:val="single"/>
        </w:rPr>
        <w:t>when what we are looking at appears red</w:t>
      </w:r>
      <w:r w:rsidRPr="001574D3">
        <w:rPr>
          <w:rFonts w:asciiTheme="majorHAnsi" w:hAnsiTheme="majorHAnsi" w:cstheme="majorHAnsi"/>
          <w:u w:val="single"/>
        </w:rPr>
        <w:t xml:space="preserve"> to us, </w:t>
      </w:r>
      <w:r w:rsidRPr="00211240">
        <w:rPr>
          <w:rFonts w:asciiTheme="majorHAnsi" w:hAnsiTheme="majorHAnsi" w:cstheme="majorHAnsi"/>
          <w:highlight w:val="green"/>
          <w:u w:val="single"/>
        </w:rPr>
        <w:t>we have evidence</w:t>
      </w:r>
      <w:r w:rsidRPr="001574D3">
        <w:rPr>
          <w:rFonts w:asciiTheme="majorHAnsi" w:hAnsiTheme="majorHAnsi" w:cstheme="majorHAnsi"/>
          <w:sz w:val="10"/>
        </w:rPr>
        <w:t xml:space="preserve"> (albeit </w:t>
      </w:r>
      <w:proofErr w:type="spellStart"/>
      <w:r w:rsidRPr="001574D3">
        <w:rPr>
          <w:rFonts w:asciiTheme="majorHAnsi" w:hAnsiTheme="majorHAnsi" w:cstheme="majorHAnsi"/>
          <w:sz w:val="10"/>
        </w:rPr>
        <w:t>overrideable</w:t>
      </w:r>
      <w:proofErr w:type="spellEnd"/>
      <w:r w:rsidRPr="001574D3">
        <w:rPr>
          <w:rFonts w:asciiTheme="majorHAnsi" w:hAnsiTheme="majorHAnsi" w:cstheme="majorHAnsi"/>
          <w:sz w:val="10"/>
        </w:rPr>
        <w:t xml:space="preserve"> and defeasible evidence) </w:t>
      </w:r>
      <w:r w:rsidRPr="001574D3">
        <w:rPr>
          <w:rFonts w:asciiTheme="majorHAnsi" w:hAnsiTheme="majorHAnsi" w:cstheme="majorHAnsi"/>
          <w:u w:val="single"/>
        </w:rPr>
        <w:t xml:space="preserve">that </w:t>
      </w:r>
      <w:r w:rsidRPr="00211240">
        <w:rPr>
          <w:rFonts w:asciiTheme="majorHAnsi" w:hAnsiTheme="majorHAnsi" w:cstheme="majorHAnsi"/>
          <w:highlight w:val="green"/>
          <w:u w:val="single"/>
        </w:rPr>
        <w:t>the thing is red.</w:t>
      </w:r>
      <w:r w:rsidRPr="001574D3">
        <w:rPr>
          <w:rFonts w:asciiTheme="majorHAnsi" w:hAnsiTheme="majorHAnsi" w:cstheme="majorHAnsi"/>
          <w:u w:val="single"/>
        </w:rPr>
        <w:t xml:space="preserve"> Moreover, </w:t>
      </w:r>
      <w:r w:rsidRPr="00211240">
        <w:rPr>
          <w:rFonts w:asciiTheme="majorHAnsi" w:hAnsiTheme="majorHAnsi" w:cstheme="majorHAnsi"/>
          <w:highlight w:val="green"/>
          <w:u w:val="single"/>
        </w:rPr>
        <w:t>if things never looked red</w:t>
      </w:r>
      <w:r w:rsidRPr="001574D3">
        <w:rPr>
          <w:rFonts w:asciiTheme="majorHAnsi" w:hAnsiTheme="majorHAnsi" w:cstheme="majorHAnsi"/>
          <w:u w:val="single"/>
        </w:rPr>
        <w:t xml:space="preserve"> to us, </w:t>
      </w:r>
      <w:r w:rsidRPr="00211240">
        <w:rPr>
          <w:rFonts w:asciiTheme="majorHAnsi" w:hAnsiTheme="majorHAnsi" w:cstheme="majorHAnsi"/>
          <w:highlight w:val="green"/>
          <w:u w:val="single"/>
        </w:rPr>
        <w:t>we could never get ev</w:t>
      </w:r>
      <w:r w:rsidRPr="001574D3">
        <w:rPr>
          <w:rFonts w:asciiTheme="majorHAnsi" w:hAnsiTheme="majorHAnsi" w:cstheme="majorHAnsi"/>
          <w:u w:val="single"/>
        </w:rPr>
        <w:t xml:space="preserve">idence that </w:t>
      </w:r>
      <w:r w:rsidRPr="00211240">
        <w:rPr>
          <w:rFonts w:asciiTheme="majorHAnsi" w:hAnsiTheme="majorHAnsi" w:cstheme="majorHAnsi"/>
          <w:highlight w:val="green"/>
          <w:u w:val="single"/>
        </w:rPr>
        <w:t>things were red</w:t>
      </w:r>
      <w:r w:rsidRPr="001574D3">
        <w:rPr>
          <w:rFonts w:asciiTheme="majorHAnsi" w:hAnsiTheme="majorHAnsi" w:cstheme="majorHAnsi"/>
          <w:u w:val="single"/>
        </w:rPr>
        <w:t>, and would indeed never have developed the concept of redness.</w:t>
      </w:r>
      <w:r w:rsidRPr="001574D3">
        <w:rPr>
          <w:rFonts w:asciiTheme="majorHAnsi" w:hAnsiTheme="majorHAnsi" w:cstheme="majorHAnsi"/>
          <w:sz w:val="10"/>
        </w:rPr>
        <w:t xml:space="preserve"> Similarly, </w:t>
      </w:r>
      <w:r w:rsidRPr="001574D3">
        <w:rPr>
          <w:rFonts w:asciiTheme="majorHAnsi" w:hAnsiTheme="majorHAnsi" w:cstheme="majorHAnsi"/>
          <w:u w:val="single"/>
        </w:rPr>
        <w:t>when we are desiring things</w:t>
      </w:r>
      <w:r w:rsidRPr="001574D3">
        <w:rPr>
          <w:rFonts w:asciiTheme="majorHAnsi" w:hAnsiTheme="majorHAnsi" w:cstheme="majorHAnsi"/>
          <w:sz w:val="10"/>
        </w:rPr>
        <w:t xml:space="preserve">, when what we are considering appears good to us, </w:t>
      </w:r>
      <w:r w:rsidRPr="001574D3">
        <w:rPr>
          <w:rFonts w:asciiTheme="majorHAnsi" w:hAnsiTheme="majorHAnsi" w:cstheme="majorHAnsi"/>
          <w:u w:val="single"/>
        </w:rPr>
        <w:t>we have evidence</w:t>
      </w:r>
      <w:r w:rsidRPr="001574D3">
        <w:rPr>
          <w:rFonts w:asciiTheme="majorHAnsi" w:hAnsiTheme="majorHAnsi" w:cstheme="majorHAnsi"/>
          <w:sz w:val="10"/>
        </w:rPr>
        <w:t xml:space="preserve"> (albeit </w:t>
      </w:r>
      <w:proofErr w:type="spellStart"/>
      <w:r w:rsidRPr="001574D3">
        <w:rPr>
          <w:rFonts w:asciiTheme="majorHAnsi" w:hAnsiTheme="majorHAnsi" w:cstheme="majorHAnsi"/>
          <w:sz w:val="10"/>
        </w:rPr>
        <w:t>overrideable</w:t>
      </w:r>
      <w:proofErr w:type="spellEnd"/>
      <w:r w:rsidRPr="001574D3">
        <w:rPr>
          <w:rFonts w:asciiTheme="majorHAnsi" w:hAnsiTheme="majorHAnsi" w:cstheme="majorHAnsi"/>
          <w:sz w:val="10"/>
        </w:rPr>
        <w:t xml:space="preserve"> and defeasible evidence) </w:t>
      </w:r>
      <w:r w:rsidRPr="001574D3">
        <w:rPr>
          <w:rFonts w:asciiTheme="majorHAnsi" w:hAnsiTheme="majorHAnsi" w:cstheme="majorHAnsi"/>
          <w:u w:val="single"/>
        </w:rPr>
        <w:t xml:space="preserve">that the thing is good. Moreover, </w:t>
      </w:r>
      <w:r w:rsidRPr="00211240">
        <w:rPr>
          <w:rFonts w:asciiTheme="majorHAnsi" w:hAnsiTheme="majorHAnsi" w:cstheme="majorHAnsi"/>
          <w:b/>
          <w:bCs/>
          <w:highlight w:val="green"/>
          <w:u w:val="single"/>
        </w:rPr>
        <w:t>if we never desired</w:t>
      </w:r>
      <w:r w:rsidRPr="001574D3">
        <w:rPr>
          <w:rFonts w:asciiTheme="majorHAnsi" w:hAnsiTheme="majorHAnsi" w:cstheme="majorHAnsi"/>
          <w:u w:val="single"/>
        </w:rPr>
        <w:t xml:space="preserve"> things, </w:t>
      </w:r>
      <w:r w:rsidRPr="00211240">
        <w:rPr>
          <w:rFonts w:asciiTheme="majorHAnsi" w:hAnsiTheme="majorHAnsi" w:cstheme="majorHAnsi"/>
          <w:b/>
          <w:bCs/>
          <w:highlight w:val="green"/>
          <w:u w:val="single"/>
        </w:rPr>
        <w:t>we could never get evidence</w:t>
      </w:r>
      <w:r w:rsidRPr="001574D3">
        <w:rPr>
          <w:rFonts w:asciiTheme="majorHAnsi" w:hAnsiTheme="majorHAnsi" w:cstheme="majorHAnsi"/>
          <w:u w:val="single"/>
        </w:rPr>
        <w:t xml:space="preserve"> that </w:t>
      </w:r>
      <w:r w:rsidRPr="00211240">
        <w:rPr>
          <w:rFonts w:asciiTheme="majorHAnsi" w:hAnsiTheme="majorHAnsi" w:cstheme="majorHAnsi"/>
          <w:b/>
          <w:bCs/>
          <w:highlight w:val="green"/>
          <w:u w:val="single"/>
        </w:rPr>
        <w:t>things were good, and</w:t>
      </w:r>
      <w:r w:rsidRPr="001574D3">
        <w:rPr>
          <w:rFonts w:asciiTheme="majorHAnsi" w:hAnsiTheme="majorHAnsi" w:cstheme="majorHAnsi"/>
          <w:u w:val="single"/>
        </w:rPr>
        <w:t xml:space="preserve"> would indeed </w:t>
      </w:r>
      <w:r w:rsidRPr="00211240">
        <w:rPr>
          <w:rFonts w:asciiTheme="majorHAnsi" w:hAnsiTheme="majorHAnsi" w:cstheme="majorHAnsi"/>
          <w:b/>
          <w:bCs/>
          <w:highlight w:val="green"/>
          <w:u w:val="single"/>
        </w:rPr>
        <w:t>never have developed</w:t>
      </w:r>
      <w:r w:rsidRPr="001574D3">
        <w:rPr>
          <w:rFonts w:asciiTheme="majorHAnsi" w:hAnsiTheme="majorHAnsi" w:cstheme="majorHAnsi"/>
          <w:u w:val="single"/>
        </w:rPr>
        <w:t xml:space="preserve"> the concept of </w:t>
      </w:r>
      <w:r w:rsidRPr="00211240">
        <w:rPr>
          <w:rFonts w:asciiTheme="majorHAnsi" w:hAnsiTheme="majorHAnsi" w:cstheme="majorHAnsi"/>
          <w:b/>
          <w:bCs/>
          <w:highlight w:val="green"/>
          <w:u w:val="single"/>
        </w:rPr>
        <w:t>value.</w:t>
      </w:r>
      <w:r w:rsidRPr="001574D3">
        <w:rPr>
          <w:rFonts w:asciiTheme="majorHAnsi" w:hAnsiTheme="majorHAnsi" w:cstheme="majorHAnsi"/>
          <w:sz w:val="10"/>
        </w:rPr>
        <w:t xml:space="preserve"> 28 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1574D3">
        <w:rPr>
          <w:rFonts w:asciiTheme="majorHAnsi" w:hAnsiTheme="majorHAnsi" w:cstheme="majorHAnsi"/>
          <w:sz w:val="10"/>
        </w:rPr>
        <w:t>that others</w:t>
      </w:r>
      <w:proofErr w:type="gramEnd"/>
      <w:r w:rsidRPr="001574D3">
        <w:rPr>
          <w:rFonts w:asciiTheme="majorHAnsi" w:hAnsiTheme="majorHAnsi" w:cstheme="majorHAnsi"/>
          <w:sz w:val="10"/>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desired.33 Mill recognizes that whatever argument he might hope to offer will need to appeal to evaluative claims people already accept (since he takes to heart Hume's caution concerning inferring an 'ought' from an 'is').34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1574D3">
        <w:rPr>
          <w:rFonts w:asciiTheme="majorHAnsi" w:hAnsiTheme="majorHAnsi" w:cstheme="majorHAnsi"/>
          <w:u w:val="single"/>
        </w:rPr>
        <w:t xml:space="preserve">we have the concepts, evidence, and knowledge we do only thanks to our having experiences of a certain sort. </w:t>
      </w:r>
      <w:r w:rsidRPr="00211240">
        <w:rPr>
          <w:rFonts w:asciiTheme="majorHAnsi" w:hAnsiTheme="majorHAnsi" w:cstheme="majorHAnsi"/>
          <w:highlight w:val="green"/>
          <w:u w:val="single"/>
        </w:rPr>
        <w:t>In</w:t>
      </w:r>
      <w:r w:rsidRPr="001574D3">
        <w:rPr>
          <w:rFonts w:asciiTheme="majorHAnsi" w:hAnsiTheme="majorHAnsi" w:cstheme="majorHAnsi"/>
          <w:u w:val="single"/>
        </w:rPr>
        <w:t xml:space="preserve"> the </w:t>
      </w:r>
      <w:r w:rsidRPr="00211240">
        <w:rPr>
          <w:rFonts w:asciiTheme="majorHAnsi" w:hAnsiTheme="majorHAnsi" w:cstheme="majorHAnsi"/>
          <w:highlight w:val="green"/>
          <w:u w:val="single"/>
        </w:rPr>
        <w:t>absence of</w:t>
      </w:r>
      <w:r w:rsidRPr="001574D3">
        <w:rPr>
          <w:rFonts w:asciiTheme="majorHAnsi" w:hAnsiTheme="majorHAnsi" w:cstheme="majorHAnsi"/>
          <w:u w:val="single"/>
        </w:rPr>
        <w:t xml:space="preserve"> the relevant </w:t>
      </w:r>
      <w:r w:rsidRPr="00211240">
        <w:rPr>
          <w:rFonts w:asciiTheme="majorHAnsi" w:hAnsiTheme="majorHAnsi" w:cstheme="majorHAnsi"/>
          <w:highlight w:val="green"/>
          <w:u w:val="single"/>
        </w:rPr>
        <w:t>experiences</w:t>
      </w:r>
      <w:r w:rsidRPr="001574D3">
        <w:rPr>
          <w:rFonts w:asciiTheme="majorHAnsi" w:hAnsiTheme="majorHAnsi" w:cstheme="majorHAnsi"/>
          <w:u w:val="single"/>
        </w:rPr>
        <w:t>, he holds</w:t>
      </w:r>
      <w:r w:rsidRPr="001574D3">
        <w:rPr>
          <w:rFonts w:asciiTheme="majorHAnsi" w:hAnsiTheme="majorHAnsi" w:cstheme="majorHAnsi"/>
          <w:sz w:val="10"/>
        </w:rPr>
        <w:t xml:space="preserve"> (with other empiricists), </w:t>
      </w:r>
      <w:r w:rsidRPr="00211240">
        <w:rPr>
          <w:rFonts w:asciiTheme="majorHAnsi" w:hAnsiTheme="majorHAnsi" w:cstheme="majorHAnsi"/>
          <w:highlight w:val="green"/>
          <w:u w:val="single"/>
        </w:rPr>
        <w:t>we would not only lack</w:t>
      </w:r>
      <w:r w:rsidRPr="001574D3">
        <w:rPr>
          <w:rFonts w:asciiTheme="majorHAnsi" w:hAnsiTheme="majorHAnsi" w:cstheme="majorHAnsi"/>
          <w:u w:val="single"/>
        </w:rPr>
        <w:t xml:space="preserve"> the required </w:t>
      </w:r>
      <w:r w:rsidRPr="00211240">
        <w:rPr>
          <w:rFonts w:asciiTheme="majorHAnsi" w:hAnsiTheme="majorHAnsi" w:cstheme="majorHAnsi"/>
          <w:highlight w:val="green"/>
          <w:u w:val="single"/>
        </w:rPr>
        <w:t>evidence for</w:t>
      </w:r>
      <w:r w:rsidRPr="001574D3">
        <w:rPr>
          <w:rFonts w:asciiTheme="majorHAnsi" w:hAnsiTheme="majorHAnsi" w:cstheme="majorHAnsi"/>
          <w:u w:val="single"/>
        </w:rPr>
        <w:t xml:space="preserve"> our </w:t>
      </w:r>
      <w:r w:rsidRPr="00211240">
        <w:rPr>
          <w:rFonts w:asciiTheme="majorHAnsi" w:hAnsiTheme="majorHAnsi" w:cstheme="majorHAnsi"/>
          <w:highlight w:val="green"/>
          <w:u w:val="single"/>
        </w:rPr>
        <w:t xml:space="preserve">judgments, </w:t>
      </w:r>
      <w:proofErr w:type="gramStart"/>
      <w:r w:rsidRPr="00211240">
        <w:rPr>
          <w:rFonts w:asciiTheme="majorHAnsi" w:hAnsiTheme="majorHAnsi" w:cstheme="majorHAnsi"/>
          <w:highlight w:val="green"/>
          <w:u w:val="single"/>
        </w:rPr>
        <w:t>we would</w:t>
      </w:r>
      <w:proofErr w:type="gramEnd"/>
      <w:r w:rsidRPr="00211240">
        <w:rPr>
          <w:rFonts w:asciiTheme="majorHAnsi" w:hAnsiTheme="majorHAnsi" w:cstheme="majorHAnsi"/>
          <w:highlight w:val="green"/>
          <w:u w:val="single"/>
        </w:rPr>
        <w:t xml:space="preserve"> lack</w:t>
      </w:r>
      <w:r w:rsidRPr="001574D3">
        <w:rPr>
          <w:rFonts w:asciiTheme="majorHAnsi" w:hAnsiTheme="majorHAnsi" w:cstheme="majorHAnsi"/>
          <w:u w:val="single"/>
        </w:rPr>
        <w:t xml:space="preserve"> the </w:t>
      </w:r>
      <w:r w:rsidRPr="00211240">
        <w:rPr>
          <w:rFonts w:asciiTheme="majorHAnsi" w:hAnsiTheme="majorHAnsi" w:cstheme="majorHAnsi"/>
          <w:highlight w:val="green"/>
          <w:u w:val="single"/>
        </w:rPr>
        <w:t xml:space="preserve">capacity </w:t>
      </w:r>
      <w:r w:rsidRPr="001574D3">
        <w:rPr>
          <w:rFonts w:asciiTheme="majorHAnsi" w:hAnsiTheme="majorHAnsi" w:cstheme="majorHAnsi"/>
          <w:u w:val="single"/>
        </w:rPr>
        <w:t xml:space="preserve">to make the judgments in the first place. </w:t>
      </w:r>
      <w:r w:rsidRPr="00211240">
        <w:rPr>
          <w:rFonts w:asciiTheme="majorHAnsi" w:hAnsiTheme="majorHAnsi" w:cstheme="majorHAnsi"/>
          <w:b/>
          <w:bCs/>
          <w:highlight w:val="green"/>
          <w:u w:val="single"/>
        </w:rPr>
        <w:t>In</w:t>
      </w:r>
      <w:r w:rsidRPr="001574D3">
        <w:rPr>
          <w:rFonts w:asciiTheme="majorHAnsi" w:hAnsiTheme="majorHAnsi" w:cstheme="majorHAnsi"/>
          <w:u w:val="single"/>
        </w:rPr>
        <w:t xml:space="preserve"> the </w:t>
      </w:r>
      <w:r w:rsidRPr="00211240">
        <w:rPr>
          <w:rFonts w:asciiTheme="majorHAnsi" w:hAnsiTheme="majorHAnsi" w:cstheme="majorHAnsi"/>
          <w:b/>
          <w:bCs/>
          <w:highlight w:val="green"/>
          <w:u w:val="single"/>
        </w:rPr>
        <w:t>presence of</w:t>
      </w:r>
      <w:r w:rsidRPr="001574D3">
        <w:rPr>
          <w:rFonts w:asciiTheme="majorHAnsi" w:hAnsiTheme="majorHAnsi" w:cstheme="majorHAnsi"/>
          <w:u w:val="single"/>
        </w:rPr>
        <w:t xml:space="preserve"> the relevant </w:t>
      </w:r>
      <w:r w:rsidRPr="00211240">
        <w:rPr>
          <w:rFonts w:asciiTheme="majorHAnsi" w:hAnsiTheme="majorHAnsi" w:cstheme="majorHAnsi"/>
          <w:b/>
          <w:bCs/>
          <w:highlight w:val="green"/>
          <w:u w:val="single"/>
        </w:rPr>
        <w:t>experience</w:t>
      </w:r>
      <w:r w:rsidRPr="001574D3">
        <w:rPr>
          <w:rFonts w:asciiTheme="majorHAnsi" w:hAnsiTheme="majorHAnsi" w:cstheme="majorHAnsi"/>
          <w:u w:val="single"/>
        </w:rPr>
        <w:t xml:space="preserve">s, though, </w:t>
      </w:r>
      <w:r w:rsidRPr="00211240">
        <w:rPr>
          <w:rFonts w:asciiTheme="majorHAnsi" w:hAnsiTheme="majorHAnsi" w:cstheme="majorHAnsi"/>
          <w:b/>
          <w:bCs/>
          <w:highlight w:val="green"/>
          <w:u w:val="single"/>
        </w:rPr>
        <w:t>we have</w:t>
      </w:r>
      <w:r w:rsidRPr="001574D3">
        <w:rPr>
          <w:rFonts w:asciiTheme="majorHAnsi" w:hAnsiTheme="majorHAnsi" w:cstheme="majorHAnsi"/>
          <w:u w:val="single"/>
        </w:rPr>
        <w:t xml:space="preserve"> both the concepts and the required </w:t>
      </w:r>
      <w:r w:rsidRPr="00211240">
        <w:rPr>
          <w:rFonts w:asciiTheme="majorHAnsi" w:hAnsiTheme="majorHAnsi" w:cstheme="majorHAnsi"/>
          <w:b/>
          <w:bCs/>
          <w:highlight w:val="green"/>
          <w:u w:val="single"/>
        </w:rPr>
        <w:t>evidence</w:t>
      </w:r>
      <w:r w:rsidRPr="001574D3">
        <w:rPr>
          <w:rFonts w:asciiTheme="majorHAnsi" w:hAnsiTheme="majorHAnsi" w:cstheme="majorHAnsi"/>
          <w:sz w:val="10"/>
        </w:rPr>
        <w:t xml:space="preserve"> -- "not only all the proof which the case admits of, but all which it is possible to require."36</w:t>
      </w:r>
    </w:p>
    <w:p w14:paraId="2BC46A99" w14:textId="77777777" w:rsidR="00BE1364" w:rsidRPr="001574D3" w:rsidRDefault="00BE1364" w:rsidP="00BE1364">
      <w:pPr>
        <w:pStyle w:val="Heading4"/>
        <w:rPr>
          <w:rFonts w:asciiTheme="majorHAnsi" w:hAnsiTheme="majorHAnsi" w:cstheme="majorHAnsi"/>
        </w:rPr>
      </w:pPr>
      <w:r w:rsidRPr="001574D3">
        <w:rPr>
          <w:rFonts w:asciiTheme="majorHAnsi" w:hAnsiTheme="majorHAnsi" w:cstheme="majorHAnsi"/>
        </w:rPr>
        <w:t xml:space="preserve">2] Indifference – Even if there are </w:t>
      </w:r>
      <w:proofErr w:type="spellStart"/>
      <w:r w:rsidRPr="001574D3">
        <w:rPr>
          <w:rFonts w:asciiTheme="majorHAnsi" w:hAnsiTheme="majorHAnsi" w:cstheme="majorHAnsi"/>
        </w:rPr>
        <w:t>apriori</w:t>
      </w:r>
      <w:proofErr w:type="spellEnd"/>
      <w:r w:rsidRPr="001574D3">
        <w:rPr>
          <w:rFonts w:asciiTheme="majorHAnsi" w:hAnsiTheme="majorHAnsi" w:cstheme="majorHAnsi"/>
        </w:rPr>
        <w:t xml:space="preserve"> moral truths, I can </w:t>
      </w:r>
      <w:r w:rsidRPr="001574D3">
        <w:rPr>
          <w:rFonts w:asciiTheme="majorHAnsi" w:hAnsiTheme="majorHAnsi" w:cstheme="majorHAnsi"/>
          <w:u w:val="single"/>
        </w:rPr>
        <w:t>choose to ignore them.</w:t>
      </w:r>
      <w:r w:rsidRPr="001574D3">
        <w:rPr>
          <w:rFonts w:asciiTheme="majorHAnsi" w:hAnsiTheme="majorHAnsi" w:cstheme="majorHAnsi"/>
        </w:rPr>
        <w:t xml:space="preserve"> Cognition is binding – if I put my hand on a hot stove, I can’t turn off my </w:t>
      </w:r>
      <w:r w:rsidRPr="001574D3">
        <w:rPr>
          <w:rFonts w:asciiTheme="majorHAnsi" w:hAnsiTheme="majorHAnsi" w:cstheme="majorHAnsi"/>
          <w:u w:val="single"/>
        </w:rPr>
        <w:t>natural aversion</w:t>
      </w:r>
      <w:r w:rsidRPr="001574D3">
        <w:rPr>
          <w:rFonts w:asciiTheme="majorHAnsi" w:hAnsiTheme="majorHAnsi" w:cstheme="majorHAnsi"/>
        </w:rPr>
        <w:t xml:space="preserve"> to it.</w:t>
      </w:r>
    </w:p>
    <w:p w14:paraId="293A49DF" w14:textId="77777777" w:rsidR="00BE1364" w:rsidRPr="00F90877" w:rsidRDefault="00BE1364" w:rsidP="00BE1364"/>
    <w:p w14:paraId="3C30C521" w14:textId="77777777" w:rsidR="00BE1364" w:rsidRDefault="00BE1364" w:rsidP="00BE1364">
      <w:pPr>
        <w:pStyle w:val="Heading4"/>
        <w:shd w:val="clear" w:color="auto" w:fill="FFFFFF"/>
        <w:rPr>
          <w:rFonts w:cs="Calibri"/>
          <w:color w:val="222222"/>
        </w:rPr>
      </w:pPr>
      <w:r>
        <w:rPr>
          <w:rFonts w:cs="Calibri"/>
          <w:color w:val="222222"/>
        </w:rPr>
        <w:t>The standard is maximizing expected wellbeing.</w:t>
      </w:r>
    </w:p>
    <w:p w14:paraId="36076A04" w14:textId="77777777" w:rsidR="00BE1364" w:rsidRDefault="00BE1364" w:rsidP="00BE1364">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 – takes out calc indicts since they are empirically denied.</w:t>
      </w:r>
    </w:p>
    <w:p w14:paraId="557AEBED" w14:textId="77777777" w:rsidR="00BE1364" w:rsidRPr="00086AA6" w:rsidRDefault="00BE1364" w:rsidP="00BE1364">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7B9C015" w14:textId="77777777" w:rsidR="00BE1364" w:rsidRDefault="00BE1364" w:rsidP="00BE1364">
      <w:pPr>
        <w:pStyle w:val="Heading4"/>
        <w:shd w:val="clear" w:color="auto" w:fill="FFFFFF"/>
        <w:rPr>
          <w:rFonts w:cs="Calibri"/>
          <w:color w:val="222222"/>
        </w:rPr>
      </w:pPr>
      <w:r>
        <w:rPr>
          <w:rFonts w:cs="Calibri"/>
          <w:color w:val="222222"/>
        </w:rPr>
        <w:t xml:space="preserve">3] Pleasure and pain are the </w:t>
      </w:r>
      <w:r w:rsidRPr="00086AA6">
        <w:rPr>
          <w:rFonts w:cs="Calibri"/>
          <w:color w:val="222222"/>
          <w:u w:val="single"/>
        </w:rPr>
        <w:t>starting point</w:t>
      </w:r>
      <w:r>
        <w:rPr>
          <w:rFonts w:cs="Calibri"/>
          <w:color w:val="222222"/>
        </w:rPr>
        <w:t xml:space="preserve"> for moral reasoning – they’re our </w:t>
      </w:r>
      <w:r w:rsidRPr="00086AA6">
        <w:rPr>
          <w:rFonts w:cs="Calibri"/>
          <w:color w:val="222222"/>
          <w:u w:val="single"/>
        </w:rPr>
        <w:t xml:space="preserve">baseline desires </w:t>
      </w:r>
      <w:r>
        <w:rPr>
          <w:rFonts w:cs="Calibri"/>
          <w:color w:val="222222"/>
        </w:rPr>
        <w:t xml:space="preserve">and the only things that explain the </w:t>
      </w:r>
      <w:r w:rsidRPr="00086AA6">
        <w:rPr>
          <w:rFonts w:cs="Calibri"/>
          <w:color w:val="222222"/>
          <w:u w:val="single"/>
        </w:rPr>
        <w:t>intrinsic value</w:t>
      </w:r>
      <w:r>
        <w:rPr>
          <w:rFonts w:cs="Calibri"/>
          <w:color w:val="222222"/>
        </w:rPr>
        <w:t xml:space="preserve"> of objects or actions.</w:t>
      </w:r>
    </w:p>
    <w:p w14:paraId="5C0ACF6D" w14:textId="77777777" w:rsidR="00BE1364" w:rsidRPr="004C109E" w:rsidRDefault="00BE1364" w:rsidP="00BE1364">
      <w:r w:rsidRPr="004C109E">
        <w:rPr>
          <w:rStyle w:val="Style13ptBold"/>
        </w:rPr>
        <w:t>Moen 16</w:t>
      </w:r>
      <w:r>
        <w:t xml:space="preserve"> [</w:t>
      </w:r>
      <w:r w:rsidRPr="004C109E">
        <w:t>Ole Martin Moen</w:t>
      </w:r>
      <w:r>
        <w:t>,</w:t>
      </w:r>
      <w:r w:rsidRPr="004C109E">
        <w:t xml:space="preserve"> Professor of Ethics at Oslo Metropolitan University</w:t>
      </w:r>
      <w:r>
        <w:t>,</w:t>
      </w:r>
      <w:r w:rsidRPr="004C109E">
        <w:t xml:space="preserve"> </w:t>
      </w:r>
      <w:r>
        <w:t>“</w:t>
      </w:r>
      <w:r w:rsidRPr="004C109E">
        <w:t>An Argument for Hedonism</w:t>
      </w:r>
      <w:r>
        <w:t xml:space="preserve">,” 2016, </w:t>
      </w:r>
      <w:r w:rsidRPr="004C109E">
        <w:rPr>
          <w:i/>
          <w:iCs/>
        </w:rPr>
        <w:t>The Journal of Value Inquiry</w:t>
      </w:r>
      <w:r>
        <w:t xml:space="preserve">, Vol. </w:t>
      </w:r>
      <w:r w:rsidRPr="004C109E">
        <w:t>50, p</w:t>
      </w:r>
      <w:r>
        <w:t xml:space="preserve">p. </w:t>
      </w:r>
      <w:r w:rsidRPr="004C109E">
        <w:t>267</w:t>
      </w:r>
      <w:r>
        <w:t>-</w:t>
      </w:r>
      <w:r w:rsidRPr="004C109E">
        <w:t>281</w:t>
      </w:r>
      <w:r>
        <w:t xml:space="preserve">, </w:t>
      </w:r>
      <w:r w:rsidRPr="004C109E">
        <w:t>https://link.springer.com/article/10.1007/s10790-015-9506-9</w:t>
      </w:r>
      <w:r>
        <w:t>]</w:t>
      </w:r>
    </w:p>
    <w:p w14:paraId="25C474B9" w14:textId="77777777" w:rsidR="00BE1364" w:rsidRPr="004C109E" w:rsidRDefault="00BE1364" w:rsidP="00BE1364">
      <w:pPr>
        <w:rPr>
          <w:sz w:val="16"/>
        </w:rPr>
      </w:pPr>
      <w:r w:rsidRPr="004C109E">
        <w:rPr>
          <w:sz w:val="16"/>
        </w:rPr>
        <w:t xml:space="preserve">Let us start by observing, </w:t>
      </w:r>
      <w:r w:rsidRPr="004C109E">
        <w:rPr>
          <w:rStyle w:val="StyleUnderline"/>
        </w:rPr>
        <w:t>empirically</w:t>
      </w:r>
      <w:r w:rsidRPr="004C109E">
        <w:rPr>
          <w:sz w:val="16"/>
        </w:rPr>
        <w:t xml:space="preserve">, that </w:t>
      </w:r>
      <w:r w:rsidRPr="004C109E">
        <w:rPr>
          <w:rStyle w:val="StyleUnderline"/>
        </w:rPr>
        <w:t xml:space="preserve">a widely shared judgment about intrinsic value and disvalue is that </w:t>
      </w:r>
      <w:r w:rsidRPr="004C109E">
        <w:rPr>
          <w:rStyle w:val="Emphasis"/>
          <w:highlight w:val="green"/>
        </w:rPr>
        <w:t xml:space="preserve">pleasure is intrinsically </w:t>
      </w:r>
      <w:proofErr w:type="gramStart"/>
      <w:r w:rsidRPr="004C109E">
        <w:rPr>
          <w:rStyle w:val="Emphasis"/>
          <w:highlight w:val="green"/>
        </w:rPr>
        <w:t>valuable</w:t>
      </w:r>
      <w:proofErr w:type="gramEnd"/>
      <w:r w:rsidRPr="004C109E">
        <w:rPr>
          <w:rStyle w:val="Emphasis"/>
          <w:highlight w:val="green"/>
        </w:rPr>
        <w:t xml:space="preserve"> </w:t>
      </w:r>
      <w:r w:rsidRPr="004C109E">
        <w:rPr>
          <w:rStyle w:val="StyleUnderline"/>
          <w:highlight w:val="green"/>
        </w:rPr>
        <w:t xml:space="preserve">and </w:t>
      </w:r>
      <w:r w:rsidRPr="004C109E">
        <w:rPr>
          <w:rStyle w:val="Emphasis"/>
          <w:highlight w:val="green"/>
        </w:rPr>
        <w:t xml:space="preserve">pain is intrinsically </w:t>
      </w:r>
      <w:proofErr w:type="spellStart"/>
      <w:r w:rsidRPr="004C109E">
        <w:rPr>
          <w:rStyle w:val="Emphasis"/>
          <w:highlight w:val="green"/>
        </w:rPr>
        <w:t>disvaluable</w:t>
      </w:r>
      <w:proofErr w:type="spellEnd"/>
      <w:r w:rsidRPr="004C109E">
        <w:rPr>
          <w:rStyle w:val="StyleUnderline"/>
        </w:rPr>
        <w:t>.</w:t>
      </w:r>
      <w:r w:rsidRPr="004C109E">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C109E">
        <w:rPr>
          <w:rStyle w:val="StyleUnderline"/>
        </w:rPr>
        <w:t>there is something undeniably good about the way pleasure feels and something undeniably bad about the way pain feels</w:t>
      </w:r>
      <w:r w:rsidRPr="004C109E">
        <w:rPr>
          <w:sz w:val="16"/>
        </w:rPr>
        <w:t>, and neither the goodness of pleasure nor the badness of pain seems to be exhausted by the further effects that these experiences might have. ‘</w:t>
      </w:r>
      <w:r w:rsidRPr="004C109E">
        <w:rPr>
          <w:rStyle w:val="StyleUnderline"/>
        </w:rPr>
        <w:t>‘Pleasure’’ and ‘‘pain’’ are</w:t>
      </w:r>
      <w:r w:rsidRPr="004C109E">
        <w:rPr>
          <w:sz w:val="16"/>
        </w:rPr>
        <w:t xml:space="preserve"> here understood </w:t>
      </w:r>
      <w:r w:rsidRPr="004C109E">
        <w:rPr>
          <w:rStyle w:val="StyleUnderline"/>
        </w:rPr>
        <w:t>inclusivel</w:t>
      </w:r>
      <w:r w:rsidRPr="004C109E">
        <w:rPr>
          <w:sz w:val="16"/>
        </w:rPr>
        <w:t xml:space="preserve">y, as </w:t>
      </w:r>
      <w:r w:rsidRPr="004C109E">
        <w:rPr>
          <w:rStyle w:val="StyleUnderline"/>
        </w:rPr>
        <w:t>encompassing anything hedonically positive and</w:t>
      </w:r>
      <w:r w:rsidRPr="004C109E">
        <w:rPr>
          <w:sz w:val="16"/>
        </w:rPr>
        <w:t xml:space="preserve"> anything hedonically </w:t>
      </w:r>
      <w:r w:rsidRPr="004C109E">
        <w:rPr>
          <w:rStyle w:val="StyleUnderline"/>
        </w:rPr>
        <w:t>negative</w:t>
      </w:r>
      <w:r w:rsidRPr="004C109E">
        <w:rPr>
          <w:sz w:val="16"/>
        </w:rPr>
        <w:t>.2</w:t>
      </w:r>
    </w:p>
    <w:p w14:paraId="7CBE94CD" w14:textId="77777777" w:rsidR="00BE1364" w:rsidRPr="004C109E" w:rsidRDefault="00BE1364" w:rsidP="00BE1364">
      <w:pPr>
        <w:rPr>
          <w:rStyle w:val="StyleUnderline"/>
        </w:rPr>
      </w:pPr>
      <w:r w:rsidRPr="004C109E">
        <w:rPr>
          <w:sz w:val="16"/>
        </w:rPr>
        <w:t xml:space="preserve">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C109E">
        <w:rPr>
          <w:sz w:val="16"/>
        </w:rPr>
        <w:t>I</w:t>
      </w:r>
      <w:proofErr w:type="gramEnd"/>
      <w:r w:rsidRPr="004C109E">
        <w:rPr>
          <w:sz w:val="16"/>
        </w:rPr>
        <w:t xml:space="preserve"> then proceed by asking ‘‘But what is the pleasure of drinking the soda good for?’’ the discussion is likely to reach an awkward end. The reason is that the </w:t>
      </w:r>
      <w:r w:rsidRPr="004C109E">
        <w:rPr>
          <w:rStyle w:val="StyleUnderline"/>
        </w:rPr>
        <w:t>pleasure is not good for anything further</w:t>
      </w:r>
      <w:r w:rsidRPr="004C109E">
        <w:rPr>
          <w:sz w:val="16"/>
        </w:rPr>
        <w:t xml:space="preserve">; </w:t>
      </w:r>
      <w:r w:rsidRPr="004C109E">
        <w:rPr>
          <w:rStyle w:val="StyleUnderline"/>
        </w:rPr>
        <w:t>it is simply</w:t>
      </w:r>
      <w:r w:rsidRPr="004C109E">
        <w:rPr>
          <w:sz w:val="16"/>
        </w:rPr>
        <w:t xml:space="preserve"> that for which going to the convenience store and buying the soda is </w:t>
      </w:r>
      <w:r w:rsidRPr="004C109E">
        <w:rPr>
          <w:rStyle w:val="StyleUnderline"/>
        </w:rPr>
        <w:t>good</w:t>
      </w:r>
      <w:r w:rsidRPr="004C109E">
        <w:rPr>
          <w:sz w:val="16"/>
        </w:rPr>
        <w:t>.3 As Aristotle observes: ‘‘</w:t>
      </w:r>
      <w:r w:rsidRPr="004C109E">
        <w:rPr>
          <w:rStyle w:val="StyleUnderline"/>
          <w:highlight w:val="green"/>
        </w:rPr>
        <w:t>We never ask</w:t>
      </w:r>
      <w:r w:rsidRPr="004C109E">
        <w:rPr>
          <w:sz w:val="16"/>
        </w:rPr>
        <w:t xml:space="preserve"> [a man] </w:t>
      </w:r>
      <w:r w:rsidRPr="004C109E">
        <w:rPr>
          <w:rStyle w:val="StyleUnderline"/>
          <w:highlight w:val="green"/>
        </w:rPr>
        <w:t>what</w:t>
      </w:r>
      <w:r w:rsidRPr="004C109E">
        <w:rPr>
          <w:sz w:val="16"/>
        </w:rPr>
        <w:t xml:space="preserve"> his </w:t>
      </w:r>
      <w:r w:rsidRPr="004C109E">
        <w:rPr>
          <w:rStyle w:val="StyleUnderline"/>
        </w:rPr>
        <w:t xml:space="preserve">end </w:t>
      </w:r>
      <w:r w:rsidRPr="004C109E">
        <w:rPr>
          <w:rStyle w:val="StyleUnderline"/>
          <w:highlight w:val="green"/>
        </w:rPr>
        <w:t>is</w:t>
      </w:r>
      <w:r w:rsidRPr="004C109E">
        <w:rPr>
          <w:sz w:val="16"/>
        </w:rPr>
        <w:t xml:space="preserve"> in </w:t>
      </w:r>
      <w:r w:rsidRPr="004C109E">
        <w:rPr>
          <w:rStyle w:val="StyleUnderline"/>
        </w:rPr>
        <w:t xml:space="preserve">being </w:t>
      </w:r>
      <w:r w:rsidRPr="004C109E">
        <w:rPr>
          <w:rStyle w:val="StyleUnderline"/>
          <w:highlight w:val="green"/>
        </w:rPr>
        <w:t>pleased</w:t>
      </w:r>
      <w:r w:rsidRPr="004C109E">
        <w:rPr>
          <w:rStyle w:val="StyleUnderline"/>
        </w:rPr>
        <w:t xml:space="preserve">, </w:t>
      </w:r>
      <w:r w:rsidRPr="004C109E">
        <w:rPr>
          <w:rStyle w:val="StyleUnderline"/>
          <w:highlight w:val="green"/>
        </w:rPr>
        <w:t>because</w:t>
      </w:r>
      <w:r w:rsidRPr="004C109E">
        <w:rPr>
          <w:sz w:val="16"/>
        </w:rPr>
        <w:t xml:space="preserve"> we assume that </w:t>
      </w:r>
      <w:r w:rsidRPr="004C109E">
        <w:rPr>
          <w:rStyle w:val="Emphasis"/>
          <w:highlight w:val="green"/>
        </w:rPr>
        <w:t>pleasure is</w:t>
      </w:r>
      <w:r w:rsidRPr="004C109E">
        <w:rPr>
          <w:rStyle w:val="Emphasis"/>
        </w:rPr>
        <w:t xml:space="preserve"> choice </w:t>
      </w:r>
      <w:r w:rsidRPr="004C109E">
        <w:rPr>
          <w:rStyle w:val="Emphasis"/>
          <w:highlight w:val="green"/>
        </w:rPr>
        <w:t>worthy in itself</w:t>
      </w:r>
      <w:r w:rsidRPr="004C109E">
        <w:rPr>
          <w:sz w:val="16"/>
        </w:rPr>
        <w:t xml:space="preserve">.’’4 Presumably, </w:t>
      </w:r>
      <w:r w:rsidRPr="004C109E">
        <w:rPr>
          <w:rStyle w:val="StyleUnderline"/>
        </w:rPr>
        <w:t>a similar story can be told in</w:t>
      </w:r>
      <w:r w:rsidRPr="004C109E">
        <w:rPr>
          <w:sz w:val="16"/>
        </w:rPr>
        <w:t xml:space="preserve"> the case of </w:t>
      </w:r>
      <w:r w:rsidRPr="004C109E">
        <w:rPr>
          <w:rStyle w:val="StyleUnderline"/>
        </w:rPr>
        <w:t>pains</w:t>
      </w:r>
      <w:r w:rsidRPr="004C109E">
        <w:rPr>
          <w:sz w:val="16"/>
        </w:rPr>
        <w:t xml:space="preserve">, for if someone says ‘‘This is painful!’’ we never respond by asking: ‘‘And why is that a problem?’’ </w:t>
      </w:r>
      <w:r w:rsidRPr="004C109E">
        <w:rPr>
          <w:rStyle w:val="StyleUnderline"/>
        </w:rPr>
        <w:t xml:space="preserve">We take for granted that </w:t>
      </w:r>
      <w:r w:rsidRPr="004C109E">
        <w:rPr>
          <w:rStyle w:val="Emphasis"/>
          <w:highlight w:val="green"/>
        </w:rPr>
        <w:t>if something is painful, we have a sufficient explanation of why it is bad</w:t>
      </w:r>
      <w:r w:rsidRPr="004C109E">
        <w:rPr>
          <w:rStyle w:val="Emphasis"/>
        </w:rPr>
        <w:t>.</w:t>
      </w:r>
    </w:p>
    <w:p w14:paraId="365F7422" w14:textId="77777777" w:rsidR="00BE1364" w:rsidRPr="004C109E" w:rsidRDefault="00BE1364" w:rsidP="00BE1364">
      <w:pPr>
        <w:rPr>
          <w:sz w:val="16"/>
        </w:rPr>
      </w:pPr>
      <w:r w:rsidRPr="004C109E">
        <w:rPr>
          <w:sz w:val="16"/>
        </w:rPr>
        <w:t xml:space="preserve">If we are onto something in our everyday reasoning about values, it seems that </w:t>
      </w:r>
      <w:r w:rsidRPr="004C109E">
        <w:rPr>
          <w:rStyle w:val="StyleUnderline"/>
          <w:highlight w:val="green"/>
        </w:rPr>
        <w:t>pleasure and pain are</w:t>
      </w:r>
      <w:r w:rsidRPr="004C109E">
        <w:rPr>
          <w:sz w:val="16"/>
        </w:rPr>
        <w:t xml:space="preserve"> both places </w:t>
      </w:r>
      <w:r w:rsidRPr="004C109E">
        <w:rPr>
          <w:rStyle w:val="StyleUnderline"/>
        </w:rPr>
        <w:t xml:space="preserve">where we </w:t>
      </w:r>
      <w:r w:rsidRPr="004C109E">
        <w:rPr>
          <w:rStyle w:val="Emphasis"/>
        </w:rPr>
        <w:t xml:space="preserve">reach </w:t>
      </w:r>
      <w:r w:rsidRPr="004C109E">
        <w:rPr>
          <w:rStyle w:val="Emphasis"/>
          <w:highlight w:val="green"/>
        </w:rPr>
        <w:t>the end of the line</w:t>
      </w:r>
      <w:r w:rsidRPr="004C109E">
        <w:rPr>
          <w:rStyle w:val="StyleUnderline"/>
          <w:highlight w:val="green"/>
        </w:rPr>
        <w:t xml:space="preserve"> in</w:t>
      </w:r>
      <w:r w:rsidRPr="004C109E">
        <w:rPr>
          <w:rStyle w:val="StyleUnderline"/>
        </w:rPr>
        <w:t xml:space="preserve"> matters of </w:t>
      </w:r>
      <w:r w:rsidRPr="004C109E">
        <w:rPr>
          <w:rStyle w:val="Emphasis"/>
          <w:highlight w:val="green"/>
        </w:rPr>
        <w:t>value</w:t>
      </w:r>
      <w:r w:rsidRPr="004C109E">
        <w:rPr>
          <w:rStyle w:val="StyleUnderline"/>
        </w:rPr>
        <w:t>.</w:t>
      </w:r>
    </w:p>
    <w:p w14:paraId="06F71957" w14:textId="77777777" w:rsidR="00BE1364" w:rsidRDefault="00BE1364" w:rsidP="00BE1364"/>
    <w:p w14:paraId="5093E20A" w14:textId="77777777" w:rsidR="00BE1364" w:rsidRPr="00213324" w:rsidRDefault="00BE1364" w:rsidP="00BE1364">
      <w:pPr>
        <w:pStyle w:val="Heading4"/>
      </w:pPr>
      <w:r>
        <w:t xml:space="preserve">Specifically, </w:t>
      </w:r>
      <w:r w:rsidRPr="009B7CE7">
        <w:rPr>
          <w:u w:val="single"/>
        </w:rPr>
        <w:t>extinction outweighs</w:t>
      </w:r>
      <w:r w:rsidRPr="009B7CE7">
        <w:rPr>
          <w:b w:val="0"/>
          <w:bCs w:val="0"/>
        </w:rPr>
        <w:t xml:space="preserve"> – magnitude, irreversibility, uncertainty.</w:t>
      </w:r>
    </w:p>
    <w:p w14:paraId="545385C1" w14:textId="77777777" w:rsidR="00BE1364" w:rsidRPr="00213324" w:rsidRDefault="00BE1364" w:rsidP="00BE1364">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233F1B13" w14:textId="77777777" w:rsidR="00BE1364" w:rsidRPr="009B7CE7" w:rsidRDefault="00BE1364" w:rsidP="00BE1364">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w:t>
      </w:r>
      <w:proofErr w:type="gramStart"/>
      <w:r w:rsidRPr="009B7CE7">
        <w:rPr>
          <w:rStyle w:val="StyleUnderline"/>
        </w:rPr>
        <w:t>the human race</w:t>
      </w:r>
      <w:proofErr w:type="gramEnd"/>
      <w:r w:rsidRPr="009B7CE7">
        <w:rPr>
          <w:rStyle w:val="StyleUnderline"/>
        </w:rPr>
        <w:t xml:space="preserv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 xml:space="preserve">Humanity could be around for a very long time: if humans survive </w:t>
      </w:r>
      <w:proofErr w:type="gramStart"/>
      <w:r w:rsidRPr="009B7CE7">
        <w:rPr>
          <w:rStyle w:val="StyleUnderline"/>
        </w:rPr>
        <w:t>as long as</w:t>
      </w:r>
      <w:proofErr w:type="gramEnd"/>
      <w:r w:rsidRPr="009B7CE7">
        <w:rPr>
          <w:rStyle w:val="StyleUnderline"/>
        </w:rPr>
        <w:t xml:space="preserve">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46FE7933" w14:textId="77777777" w:rsidR="00BE1364" w:rsidRPr="009B7CE7" w:rsidRDefault="00BE1364" w:rsidP="00BE1364">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w:t>
      </w:r>
      <w:proofErr w:type="gramStart"/>
      <w:r w:rsidRPr="009B7CE7">
        <w:rPr>
          <w:sz w:val="16"/>
        </w:rPr>
        <w:t>at a later date</w:t>
      </w:r>
      <w:proofErr w:type="gramEnd"/>
      <w:r w:rsidRPr="009B7CE7">
        <w:rPr>
          <w:sz w:val="16"/>
        </w:rPr>
        <w:t>.</w:t>
      </w:r>
    </w:p>
    <w:p w14:paraId="2B7C7671" w14:textId="77777777" w:rsidR="00BE1364" w:rsidRDefault="00BE1364" w:rsidP="00BE1364">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60D88984" w14:textId="77777777" w:rsidR="00BE1364" w:rsidRPr="0028399D" w:rsidRDefault="00BE1364" w:rsidP="00BE1364">
      <w:pPr>
        <w:pStyle w:val="Heading4"/>
        <w:rPr>
          <w:rFonts w:eastAsia="Times New Roman" w:cs="Calibri"/>
        </w:rPr>
      </w:pPr>
      <w:r w:rsidRPr="008D552A">
        <w:rPr>
          <w:rFonts w:eastAsia="Times New Roman" w:cs="Calibri"/>
        </w:rPr>
        <w:t xml:space="preserve">Action under one framework doesn’t preclude action under another. For example, if I am a </w:t>
      </w:r>
      <w:proofErr w:type="gramStart"/>
      <w:r w:rsidRPr="008D552A">
        <w:rPr>
          <w:rFonts w:eastAsia="Times New Roman" w:cs="Calibri"/>
        </w:rPr>
        <w:t>Utilitarian</w:t>
      </w:r>
      <w:proofErr w:type="gramEnd"/>
      <w:r w:rsidRPr="008D552A">
        <w:rPr>
          <w:rFonts w:eastAsia="Times New Roman" w:cs="Calibri"/>
        </w:rPr>
        <w:t xml:space="preserve"> I can still </w:t>
      </w:r>
      <w:r>
        <w:rPr>
          <w:rFonts w:eastAsia="Times New Roman" w:cs="Calibri"/>
        </w:rPr>
        <w:t>h</w:t>
      </w:r>
      <w:r w:rsidRPr="008D552A">
        <w:rPr>
          <w:rFonts w:eastAsia="Times New Roman" w:cs="Calibri"/>
        </w:rPr>
        <w:t xml:space="preserve">ave an obligation under util, even if the </w:t>
      </w:r>
      <w:proofErr w:type="spellStart"/>
      <w:r w:rsidRPr="008D552A">
        <w:rPr>
          <w:rFonts w:eastAsia="Times New Roman" w:cs="Calibri"/>
        </w:rPr>
        <w:t>aff</w:t>
      </w:r>
      <w:proofErr w:type="spellEnd"/>
      <w:r w:rsidRPr="008D552A">
        <w:rPr>
          <w:rFonts w:eastAsia="Times New Roman" w:cs="Calibri"/>
        </w:rPr>
        <w:t xml:space="preserve"> is bad under Hobbes. This means that winning a framing issue doesn’t exclude my offense.</w:t>
      </w:r>
    </w:p>
    <w:p w14:paraId="6E207D31" w14:textId="77777777" w:rsidR="00BE1364" w:rsidRPr="00F601E6" w:rsidRDefault="00BE1364" w:rsidP="00BE1364"/>
    <w:p w14:paraId="79F2DC2A" w14:textId="77777777" w:rsidR="00BE1364" w:rsidRPr="00BE1364" w:rsidRDefault="00BE1364" w:rsidP="00BE1364"/>
    <w:p w14:paraId="22422C38" w14:textId="64936223" w:rsidR="00CA6098" w:rsidRDefault="00CA6098" w:rsidP="00CA6098">
      <w:pPr>
        <w:pStyle w:val="Heading2"/>
      </w:pPr>
      <w:r>
        <w:t>4</w:t>
      </w:r>
    </w:p>
    <w:p w14:paraId="2806AE57" w14:textId="77777777" w:rsidR="00BE1364" w:rsidRPr="00012592" w:rsidRDefault="00BE1364" w:rsidP="00BE1364">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235AFCAD" w14:textId="77777777" w:rsidR="00BE1364" w:rsidRDefault="00BE1364" w:rsidP="00BE1364">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749C2DBF" w14:textId="77777777" w:rsidR="00BE1364" w:rsidRPr="001000BC" w:rsidRDefault="00BE1364" w:rsidP="00BE1364">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2693DB5E" w14:textId="77777777" w:rsidR="00BE1364" w:rsidRDefault="00BE1364" w:rsidP="00BE1364">
      <w:pPr>
        <w:pStyle w:val="Heading4"/>
      </w:pPr>
      <w:r>
        <w:t xml:space="preserve">Space Deterrence Breakdowns causes </w:t>
      </w:r>
      <w:r>
        <w:rPr>
          <w:u w:val="single"/>
        </w:rPr>
        <w:t>War</w:t>
      </w:r>
      <w:r>
        <w:t xml:space="preserve"> and </w:t>
      </w:r>
      <w:r>
        <w:rPr>
          <w:u w:val="single"/>
        </w:rPr>
        <w:t>Extinction</w:t>
      </w:r>
      <w:r>
        <w:t>.</w:t>
      </w:r>
    </w:p>
    <w:p w14:paraId="11537D0B" w14:textId="77777777" w:rsidR="00BE1364" w:rsidRPr="00B91998" w:rsidRDefault="00BE1364" w:rsidP="00BE1364">
      <w:r w:rsidRPr="00B91998">
        <w:rPr>
          <w:rStyle w:val="Style13ptBold"/>
        </w:rPr>
        <w:t>Parker 17</w:t>
      </w:r>
      <w:r>
        <w:t xml:space="preserve"> Clifton Parker 1-24-2017 “</w:t>
      </w:r>
      <w:r w:rsidRPr="00111AFC">
        <w:t>Deterrence in space key to U.S. security</w:t>
      </w:r>
      <w:r>
        <w:t xml:space="preserve">” </w:t>
      </w:r>
      <w:hyperlink r:id="rId11"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4AF0C4F2" w14:textId="77777777" w:rsidR="00BE1364" w:rsidRPr="00012592" w:rsidRDefault="00BE1364" w:rsidP="00BE1364">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2"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3" w:history="1">
        <w:r w:rsidRPr="00012592">
          <w:rPr>
            <w:rStyle w:val="Hyperlink"/>
            <w:sz w:val="16"/>
          </w:rPr>
          <w:t>Center</w:t>
        </w:r>
      </w:hyperlink>
      <w:r w:rsidRPr="00012592">
        <w:rPr>
          <w:sz w:val="16"/>
        </w:rPr>
        <w:t xml:space="preserve"> for International Security and Cooperation. His </w:t>
      </w:r>
      <w:hyperlink r:id="rId14"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14:paraId="11C0495D" w14:textId="77777777" w:rsidR="00BE1364" w:rsidRPr="00A90049" w:rsidRDefault="00BE1364" w:rsidP="00BE1364"/>
    <w:p w14:paraId="0528BC86" w14:textId="77777777" w:rsidR="00BE1364" w:rsidRPr="00BE1364" w:rsidRDefault="00BE1364" w:rsidP="00BE1364"/>
    <w:p w14:paraId="4A764BE9" w14:textId="56F379A3" w:rsidR="00CA6098" w:rsidRDefault="00CA6098" w:rsidP="00CA6098">
      <w:pPr>
        <w:pStyle w:val="Heading2"/>
      </w:pPr>
      <w:r>
        <w:t>5</w:t>
      </w:r>
    </w:p>
    <w:p w14:paraId="26C47F49" w14:textId="77777777" w:rsidR="00BE1364" w:rsidRPr="00C32EFD" w:rsidRDefault="00BE1364" w:rsidP="00BE1364">
      <w:pPr>
        <w:pStyle w:val="Heading4"/>
        <w:rPr>
          <w:u w:val="single"/>
        </w:rPr>
      </w:pPr>
      <w:r w:rsidRPr="00C32EFD">
        <w:t xml:space="preserve">The ROB is to determine the truth </w:t>
      </w:r>
      <w:proofErr w:type="spellStart"/>
      <w:r w:rsidRPr="00C32EFD">
        <w:t>of</w:t>
      </w:r>
      <w:proofErr w:type="spellEnd"/>
      <w:r w:rsidRPr="00C32EFD">
        <w:t xml:space="preserve"> falsity of the resolution –</w:t>
      </w:r>
    </w:p>
    <w:p w14:paraId="5B53C9B1" w14:textId="77777777" w:rsidR="00BE1364" w:rsidRPr="00C32EFD" w:rsidRDefault="00BE1364" w:rsidP="00BE1364">
      <w:pPr>
        <w:pStyle w:val="Heading4"/>
        <w:rPr>
          <w:rFonts w:eastAsia="Calibri"/>
        </w:rPr>
      </w:pPr>
      <w:r w:rsidRPr="00C32EFD">
        <w:t xml:space="preserve">1] Textuality – </w:t>
      </w:r>
      <w:r w:rsidRPr="00C32EFD">
        <w:rPr>
          <w:rFonts w:eastAsia="Calibri"/>
        </w:rPr>
        <w:t>five dictionaries</w:t>
      </w:r>
      <w:r w:rsidRPr="00C32EFD">
        <w:rPr>
          <w:rFonts w:eastAsia="Calibri"/>
          <w:vertAlign w:val="superscript"/>
        </w:rPr>
        <w:footnoteReference w:id="2"/>
      </w:r>
      <w:r w:rsidRPr="00C32EFD">
        <w:rPr>
          <w:rFonts w:eastAsia="Calibri"/>
        </w:rPr>
        <w:t xml:space="preserve"> define to negate as to deny the truth of and affirm</w:t>
      </w:r>
      <w:r w:rsidRPr="00C32EFD">
        <w:rPr>
          <w:rFonts w:eastAsia="Calibri"/>
          <w:vertAlign w:val="superscript"/>
        </w:rPr>
        <w:footnoteReference w:id="3"/>
      </w:r>
      <w:r w:rsidRPr="00C32EFD">
        <w:rPr>
          <w:rFonts w:eastAsia="Calibri"/>
        </w:rPr>
        <w:t xml:space="preserve"> as to prove true. </w:t>
      </w:r>
    </w:p>
    <w:p w14:paraId="386D71A7" w14:textId="77777777" w:rsidR="00BE1364" w:rsidRPr="00C32EFD" w:rsidRDefault="00BE1364" w:rsidP="00BE1364">
      <w:pPr>
        <w:pStyle w:val="Heading4"/>
      </w:pPr>
      <w:r w:rsidRPr="00C32EFD">
        <w:t xml:space="preserve">That OW – </w:t>
      </w:r>
    </w:p>
    <w:p w14:paraId="59ADF227" w14:textId="77777777" w:rsidR="00BE1364" w:rsidRPr="00C32EFD" w:rsidRDefault="00BE1364" w:rsidP="00BE1364">
      <w:pPr>
        <w:pStyle w:val="Heading4"/>
      </w:pPr>
      <w:r w:rsidRPr="00C32EFD">
        <w:rPr>
          <w:rFonts w:eastAsia="Calibri"/>
        </w:rPr>
        <w:t xml:space="preserve">a] </w:t>
      </w:r>
      <w:r w:rsidRPr="00C32EFD">
        <w:t xml:space="preserve">Jurisdiction – judges are constrained through their constitutive purpose and proves it’s a side constraint on what arguments they can vote on. </w:t>
      </w:r>
    </w:p>
    <w:p w14:paraId="012F9DE2" w14:textId="77777777" w:rsidR="00BE1364" w:rsidRPr="00C32EFD" w:rsidRDefault="00BE1364" w:rsidP="00BE1364">
      <w:pPr>
        <w:pStyle w:val="Heading4"/>
      </w:pPr>
      <w:r w:rsidRPr="00C32EFD">
        <w:t xml:space="preserve">b] Predictability – people base prep off the pregiven terms in the resolution. </w:t>
      </w:r>
    </w:p>
    <w:p w14:paraId="1AC8A72B" w14:textId="77777777" w:rsidR="00BE1364" w:rsidRPr="00C32EFD" w:rsidRDefault="00BE1364" w:rsidP="00BE1364">
      <w:pPr>
        <w:pStyle w:val="Heading4"/>
      </w:pPr>
      <w:r w:rsidRPr="00C32EFD">
        <w:t>2] Isomorphism – alternative ROBs aren’t binary truth/false because of topic lit biases which increases intervention and takes the debate out of the hands of debaters.</w:t>
      </w:r>
    </w:p>
    <w:p w14:paraId="1EC1DBB7" w14:textId="77777777" w:rsidR="00BE1364" w:rsidRPr="00C32EFD" w:rsidRDefault="00BE1364" w:rsidP="00BE1364">
      <w:pPr>
        <w:pStyle w:val="Heading4"/>
      </w:pPr>
      <w:r w:rsidRPr="00C32EFD">
        <w:t xml:space="preserve">3] Inclusion – any offense functions under it </w:t>
      </w:r>
      <w:proofErr w:type="gramStart"/>
      <w:r w:rsidRPr="00C32EFD">
        <w:t>as long as</w:t>
      </w:r>
      <w:proofErr w:type="gramEnd"/>
      <w:r w:rsidRPr="00C32EFD">
        <w:t xml:space="preserve"> debaters implicate their positions to prove the truth or falsity of the resolution which maximizes substantive clash through ground and is a sequencing question for engaging in debate. </w:t>
      </w:r>
    </w:p>
    <w:p w14:paraId="0E16B837" w14:textId="77777777" w:rsidR="00BE1364" w:rsidRDefault="00BE1364" w:rsidP="00BE1364">
      <w:pPr>
        <w:pStyle w:val="Heading4"/>
      </w:pPr>
      <w:r w:rsidRPr="00C32EFD">
        <w:t xml:space="preserve">4] Logic – any statement relies on a conception of truth to function – for example, I’m hungry is the same as its true that I’m hungry – logic is a litmus test for any argument and proves your ROB collapse since it relies on truth. </w:t>
      </w:r>
    </w:p>
    <w:p w14:paraId="18A5BEB5" w14:textId="77777777" w:rsidR="00BE1364" w:rsidRDefault="00BE1364" w:rsidP="00BE1364">
      <w:pPr>
        <w:pStyle w:val="Heading4"/>
      </w:pPr>
      <w:r>
        <w:t xml:space="preserve">I negate – </w:t>
      </w:r>
    </w:p>
    <w:p w14:paraId="2991E1BC" w14:textId="77777777" w:rsidR="00BE1364" w:rsidRDefault="00BE1364" w:rsidP="00BE1364">
      <w:pPr>
        <w:pStyle w:val="Heading4"/>
      </w:pPr>
      <w:r>
        <w:t>1] the</w:t>
      </w:r>
      <w:r>
        <w:rPr>
          <w:rStyle w:val="FootnoteReference"/>
        </w:rPr>
        <w:footnoteReference w:id="4"/>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5C8DBF6D" w14:textId="77777777" w:rsidR="00BE1364" w:rsidRDefault="00BE1364" w:rsidP="00BE1364">
      <w:pPr>
        <w:pStyle w:val="Heading4"/>
      </w:pPr>
      <w:r>
        <w:t>2] of</w:t>
      </w:r>
      <w:r>
        <w:rPr>
          <w:rStyle w:val="FootnoteReference"/>
        </w:rPr>
        <w:footnoteReference w:id="5"/>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44F59DCA" w14:textId="77777777" w:rsidR="00BE1364" w:rsidRDefault="00BE1364" w:rsidP="00BE1364">
      <w:pPr>
        <w:pStyle w:val="Heading4"/>
      </w:pPr>
      <w:r>
        <w:t>3] private</w:t>
      </w:r>
      <w:r>
        <w:rPr>
          <w:rStyle w:val="FootnoteReference"/>
        </w:rPr>
        <w:footnoteReference w:id="6"/>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7"/>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1DB320CE" w14:textId="77777777" w:rsidR="00BE1364" w:rsidRDefault="00BE1364" w:rsidP="00BE1364">
      <w:pPr>
        <w:pStyle w:val="Heading4"/>
      </w:pPr>
      <w:r>
        <w:t xml:space="preserve">They don’t exist – circumvention. </w:t>
      </w:r>
    </w:p>
    <w:p w14:paraId="7BFE512E" w14:textId="77777777" w:rsidR="00BE1364" w:rsidRDefault="00BE1364" w:rsidP="00BE1364">
      <w:r w:rsidRPr="00E841E3">
        <w:rPr>
          <w:rStyle w:val="Style13ptBold"/>
        </w:rPr>
        <w:t xml:space="preserve">Martinez 21 </w:t>
      </w:r>
      <w:r>
        <w:t>[Katherine Latimer Martinez (Seattle University School of Law). “</w:t>
      </w:r>
      <w:r w:rsidRPr="008A09D0">
        <w:rPr>
          <w:rStyle w:val="Emphasis"/>
        </w:rPr>
        <w:t xml:space="preserve">Lost in Space: An </w:t>
      </w:r>
      <w:r w:rsidRPr="008A09D0">
        <w:rPr>
          <w:rStyle w:val="Emphasis"/>
          <w:highlight w:val="green"/>
        </w:rPr>
        <w:t>Exploration</w:t>
      </w:r>
      <w:r w:rsidRPr="008A09D0">
        <w:rPr>
          <w:rStyle w:val="Emphasis"/>
        </w:rPr>
        <w:t xml:space="preserve"> of the Current Gaps </w:t>
      </w:r>
      <w:r w:rsidRPr="008A09D0">
        <w:rPr>
          <w:rStyle w:val="Emphasis"/>
          <w:highlight w:val="green"/>
        </w:rPr>
        <w:t>in Space</w:t>
      </w:r>
      <w:r w:rsidRPr="008A09D0">
        <w:rPr>
          <w:rStyle w:val="Emphasis"/>
        </w:rPr>
        <w:t xml:space="preserve"> Law”.</w:t>
      </w:r>
      <w:r>
        <w:t xml:space="preserve"> Seattle Journal of Technology, Environmental &amp; Innovation Law: Vol. </w:t>
      </w:r>
      <w:proofErr w:type="gramStart"/>
      <w:r>
        <w:t>11 :</w:t>
      </w:r>
      <w:proofErr w:type="gramEnd"/>
      <w:r>
        <w:t xml:space="preserve"> </w:t>
      </w:r>
      <w:proofErr w:type="spellStart"/>
      <w:r>
        <w:t>Iss</w:t>
      </w:r>
      <w:proofErr w:type="spellEnd"/>
      <w:r>
        <w:t xml:space="preserve">. </w:t>
      </w:r>
      <w:proofErr w:type="gramStart"/>
      <w:r>
        <w:t>2 ,</w:t>
      </w:r>
      <w:proofErr w:type="gramEnd"/>
      <w:r>
        <w:t xml:space="preserve"> Article 4. 5-7-2021. Accessed 12/18/21. </w:t>
      </w:r>
      <w:hyperlink r:id="rId15" w:history="1">
        <w:r w:rsidRPr="00780B69">
          <w:rPr>
            <w:rStyle w:val="Hyperlink"/>
          </w:rPr>
          <w:t>https://digitalcommons.law.seattleu.edu/cgi/viewcontent.cgi?article=1022&amp;context=sjteil</w:t>
        </w:r>
      </w:hyperlink>
      <w:r>
        <w:t xml:space="preserve"> //Xu]</w:t>
      </w:r>
    </w:p>
    <w:p w14:paraId="667D4373" w14:textId="77777777" w:rsidR="00BE1364" w:rsidRPr="00196CC8" w:rsidRDefault="00BE1364" w:rsidP="00BE1364">
      <w:pPr>
        <w:rPr>
          <w:b/>
          <w:iCs/>
          <w:u w:val="single"/>
        </w:rPr>
      </w:pPr>
      <w:r w:rsidRPr="008A09D0">
        <w:rPr>
          <w:rStyle w:val="Emphasis"/>
          <w:highlight w:val="green"/>
        </w:rPr>
        <w:t>No company</w:t>
      </w:r>
      <w:r w:rsidRPr="008A09D0">
        <w:rPr>
          <w:rStyle w:val="Emphasis"/>
        </w:rPr>
        <w:t xml:space="preserve"> </w:t>
      </w:r>
      <w:proofErr w:type="gramStart"/>
      <w:r w:rsidRPr="008A09D0">
        <w:rPr>
          <w:rStyle w:val="Emphasis"/>
        </w:rPr>
        <w:t>is able to</w:t>
      </w:r>
      <w:proofErr w:type="gramEnd"/>
      <w:r w:rsidRPr="008A09D0">
        <w:rPr>
          <w:rStyle w:val="Emphasis"/>
        </w:rPr>
        <w:t xml:space="preserve"> </w:t>
      </w:r>
      <w:r w:rsidRPr="008A09D0">
        <w:rPr>
          <w:rStyle w:val="Emphasis"/>
          <w:highlight w:val="green"/>
        </w:rPr>
        <w:t>operate in a purely private capacity</w:t>
      </w:r>
      <w:r w:rsidRPr="008A09D0">
        <w:rPr>
          <w:rStyle w:val="Emphasis"/>
        </w:rPr>
        <w:t xml:space="preserve"> and </w:t>
      </w:r>
      <w:r w:rsidRPr="008A09D0">
        <w:rPr>
          <w:rStyle w:val="Emphasis"/>
          <w:highlight w:val="green"/>
        </w:rPr>
        <w:t>without State partnerships because of</w:t>
      </w:r>
      <w:r w:rsidRPr="008A09D0">
        <w:rPr>
          <w:rStyle w:val="Emphasis"/>
        </w:rPr>
        <w:t xml:space="preserve"> a </w:t>
      </w:r>
      <w:r w:rsidRPr="008A09D0">
        <w:rPr>
          <w:rStyle w:val="Emphasis"/>
          <w:highlight w:val="green"/>
        </w:rPr>
        <w:t>need for</w:t>
      </w:r>
      <w:r w:rsidRPr="008A09D0">
        <w:rPr>
          <w:rStyle w:val="Emphasis"/>
        </w:rPr>
        <w:t xml:space="preserve"> government </w:t>
      </w:r>
      <w:r w:rsidRPr="008A09D0">
        <w:rPr>
          <w:rStyle w:val="Emphasis"/>
          <w:highlight w:val="green"/>
        </w:rPr>
        <w:t>funding and</w:t>
      </w:r>
      <w:r w:rsidRPr="008A09D0">
        <w:rPr>
          <w:rStyle w:val="Emphasis"/>
        </w:rPr>
        <w:t xml:space="preserve"> the government’s need for </w:t>
      </w:r>
      <w:r w:rsidRPr="008A09D0">
        <w:rPr>
          <w:rStyle w:val="Emphasis"/>
          <w:highlight w:val="green"/>
        </w:rPr>
        <w:t>additional research due to decreases in funding and resource</w:t>
      </w:r>
      <w:r w:rsidRPr="008A09D0">
        <w:rPr>
          <w:rStyle w:val="Emphasis"/>
        </w:rPr>
        <w:t>s</w:t>
      </w:r>
      <w:r w:rsidRPr="008A09D0">
        <w:t>.138 Private companies fall into two categories: (1) those focused on commercial space travel and (2) those focused on mining and space resources.</w:t>
      </w:r>
    </w:p>
    <w:p w14:paraId="558E3CBA" w14:textId="13DBDA6E" w:rsidR="00CA6098" w:rsidRDefault="00BE1364" w:rsidP="00BE1364">
      <w:pPr>
        <w:pStyle w:val="Heading2"/>
      </w:pPr>
      <w:r>
        <w:t>6</w:t>
      </w:r>
    </w:p>
    <w:p w14:paraId="1D78DCCA" w14:textId="77777777" w:rsidR="00BE1364" w:rsidRDefault="00BE1364" w:rsidP="00BE1364">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40BAF857" w14:textId="77777777" w:rsidR="00BE1364" w:rsidRDefault="00BE1364" w:rsidP="00BE1364">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5FD5FBF8" w14:textId="77777777" w:rsidR="00BE1364" w:rsidRDefault="00BE1364" w:rsidP="00BE1364">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2F30352F" w14:textId="77777777" w:rsidR="00BE1364" w:rsidRDefault="00BE1364" w:rsidP="00BE1364">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6775089D" w14:textId="77777777" w:rsidR="00BE1364" w:rsidRPr="00F51B40" w:rsidRDefault="00BE1364" w:rsidP="00BE1364">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0FD86640" w14:textId="77777777" w:rsidR="00BE1364" w:rsidRDefault="00BE1364" w:rsidP="00BE1364">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7457578B" w14:textId="2C9F12F4" w:rsidR="00BE1364" w:rsidRDefault="00BE1364" w:rsidP="00BE1364">
      <w:pPr>
        <w:pStyle w:val="Heading2"/>
      </w:pPr>
      <w:r>
        <w:t>Case</w:t>
      </w:r>
    </w:p>
    <w:p w14:paraId="6DA6F1B4" w14:textId="0F5DA44B" w:rsidR="005C317E" w:rsidRDefault="005C317E" w:rsidP="005C317E">
      <w:pPr>
        <w:pStyle w:val="Heading3"/>
      </w:pPr>
      <w:proofErr w:type="spellStart"/>
      <w:r>
        <w:t>Underview</w:t>
      </w:r>
      <w:proofErr w:type="spellEnd"/>
    </w:p>
    <w:p w14:paraId="167484CD" w14:textId="13F3C389" w:rsidR="005C317E" w:rsidRPr="005C317E" w:rsidRDefault="001A0A87" w:rsidP="005C317E">
      <w:pPr>
        <w:pStyle w:val="Heading4"/>
      </w:pPr>
      <w:r>
        <w:t xml:space="preserve">No bl for a </w:t>
      </w:r>
      <w:proofErr w:type="spellStart"/>
      <w:r>
        <w:t>blippy</w:t>
      </w:r>
      <w:proofErr w:type="spellEnd"/>
      <w:r>
        <w:t xml:space="preserve"> 1nc tricks independently don’t allow this because I don’t get </w:t>
      </w:r>
      <w:proofErr w:type="spellStart"/>
      <w:r>
        <w:t>answeres</w:t>
      </w:r>
      <w:proofErr w:type="spellEnd"/>
      <w:r>
        <w:t xml:space="preserve"> to 2ar responses.</w:t>
      </w:r>
    </w:p>
    <w:p w14:paraId="2220D26E" w14:textId="77777777" w:rsidR="005C317E" w:rsidRDefault="005C317E" w:rsidP="005C317E">
      <w:pPr>
        <w:pStyle w:val="Heading4"/>
      </w:pPr>
      <w:r>
        <w:t>CI- The violation</w:t>
      </w:r>
    </w:p>
    <w:p w14:paraId="60358F9D" w14:textId="77777777" w:rsidR="005C317E" w:rsidRDefault="005C317E" w:rsidP="005C317E">
      <w:pPr>
        <w:pStyle w:val="Heading4"/>
      </w:pPr>
      <w:r>
        <w:t>1] Negative testing- we should get to test the affirmative from multiple angles and sides that o/w’s since it’s the constitutive and inescapable role of the negative</w:t>
      </w:r>
    </w:p>
    <w:p w14:paraId="01D36915" w14:textId="77777777" w:rsidR="005C317E" w:rsidRDefault="005C317E" w:rsidP="005C317E">
      <w:pPr>
        <w:pStyle w:val="Heading4"/>
      </w:pPr>
      <w:r>
        <w:t xml:space="preserve">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448BC502" w14:textId="77777777" w:rsidR="005C317E" w:rsidRDefault="005C317E" w:rsidP="005C317E">
      <w:pPr>
        <w:pStyle w:val="Heading4"/>
      </w:pPr>
      <w:r>
        <w:t>A2 Time Skew/Strat skew</w:t>
      </w:r>
    </w:p>
    <w:p w14:paraId="4111A8CE" w14:textId="77777777" w:rsidR="005C317E" w:rsidRDefault="005C317E" w:rsidP="005C317E">
      <w:pPr>
        <w:pStyle w:val="Heading4"/>
      </w:pPr>
      <w:r>
        <w:t xml:space="preserve">1] </w:t>
      </w:r>
      <w:proofErr w:type="gramStart"/>
      <w:r>
        <w:t>Non-unique</w:t>
      </w:r>
      <w:proofErr w:type="gramEnd"/>
      <w:r>
        <w:t>- all arguments skew time and strategy to some extent.</w:t>
      </w:r>
    </w:p>
    <w:p w14:paraId="5D85C0D3" w14:textId="77777777" w:rsidR="005C317E" w:rsidRDefault="005C317E" w:rsidP="005C317E">
      <w:pPr>
        <w:pStyle w:val="Heading4"/>
      </w:pPr>
      <w:r>
        <w:t>2] Inevitable- Any argument that operates on a higher layer like 1ar theory would moot speech times</w:t>
      </w:r>
    </w:p>
    <w:p w14:paraId="6F433E42" w14:textId="77777777" w:rsidR="005C317E" w:rsidRDefault="005C317E" w:rsidP="005C317E">
      <w:pPr>
        <w:pStyle w:val="Heading4"/>
      </w:pPr>
      <w:r>
        <w:t>3] Turn- reading turns to only your offense would moot the time you spent reading the FW</w:t>
      </w:r>
    </w:p>
    <w:p w14:paraId="01B8617E" w14:textId="08C0F7F1" w:rsidR="005C317E" w:rsidRDefault="005C317E" w:rsidP="005C317E">
      <w:pPr>
        <w:pStyle w:val="Heading4"/>
      </w:pPr>
      <w:r>
        <w:t xml:space="preserve">4] Turn- our </w:t>
      </w:r>
      <w:proofErr w:type="spellStart"/>
      <w:r>
        <w:t>interp</w:t>
      </w:r>
      <w:proofErr w:type="spellEnd"/>
      <w:r>
        <w:t xml:space="preserve"> forces 1ar critical thinking and efficiency which is better since it lets them get faster for more abusive NC’s</w:t>
      </w:r>
    </w:p>
    <w:p w14:paraId="6DF48B5A" w14:textId="123C68CE" w:rsidR="005C317E" w:rsidRPr="005C317E" w:rsidRDefault="005C317E" w:rsidP="005C317E">
      <w:pPr>
        <w:pStyle w:val="Heading4"/>
      </w:pPr>
      <w:r>
        <w:t>AT Clash</w:t>
      </w:r>
    </w:p>
    <w:p w14:paraId="0D5767E0" w14:textId="410396FA" w:rsidR="005C317E" w:rsidRDefault="005C317E" w:rsidP="005C317E">
      <w:pPr>
        <w:pStyle w:val="Heading4"/>
      </w:pPr>
      <w:r>
        <w:t xml:space="preserve">1] Turn- our </w:t>
      </w:r>
      <w:proofErr w:type="spellStart"/>
      <w:r>
        <w:t>interp</w:t>
      </w:r>
      <w:proofErr w:type="spellEnd"/>
      <w:r>
        <w:t xml:space="preserve"> forces you to consider what the topic would say under different ethical perspectives which is better since they would just lock us into one ethical perspective</w:t>
      </w:r>
      <w:r>
        <w:t xml:space="preserve"> and debate under them</w:t>
      </w:r>
    </w:p>
    <w:p w14:paraId="6D38B1F2" w14:textId="77777777" w:rsidR="005C317E" w:rsidRDefault="005C317E" w:rsidP="005C317E">
      <w:pPr>
        <w:pStyle w:val="Heading4"/>
      </w:pPr>
      <w:r>
        <w:t xml:space="preserve">2] Topic Skews- under some frameworks the topic literature can be very </w:t>
      </w:r>
      <w:proofErr w:type="spellStart"/>
      <w:r>
        <w:t>aff</w:t>
      </w:r>
      <w:proofErr w:type="spellEnd"/>
      <w:r>
        <w:t xml:space="preserve"> leaning like I-</w:t>
      </w:r>
      <w:proofErr w:type="gramStart"/>
      <w:r>
        <w:t>law</w:t>
      </w:r>
      <w:proofErr w:type="gramEnd"/>
      <w:r>
        <w:t xml:space="preserve"> so we need a deterrent</w:t>
      </w:r>
    </w:p>
    <w:p w14:paraId="330F8C3F" w14:textId="778D5B89" w:rsidR="005C317E" w:rsidRDefault="005C317E" w:rsidP="005C317E">
      <w:pPr>
        <w:pStyle w:val="Heading4"/>
      </w:pPr>
      <w:r>
        <w:t>3] Turn- AFC can be used by non-topical teams to say we can’t contest their self-serving ROTBs which still moots the topic.</w:t>
      </w:r>
    </w:p>
    <w:p w14:paraId="04FD909B" w14:textId="70154FD1" w:rsidR="005C317E" w:rsidRPr="005C317E" w:rsidRDefault="005C317E" w:rsidP="005C317E">
      <w:pPr>
        <w:pStyle w:val="Heading4"/>
      </w:pPr>
      <w:r>
        <w:t xml:space="preserve">4] Turn obviously. -e clash over the </w:t>
      </w:r>
      <w:proofErr w:type="spellStart"/>
      <w:r>
        <w:t>nwexus</w:t>
      </w:r>
      <w:proofErr w:type="spellEnd"/>
      <w:r>
        <w:t xml:space="preserve"> point of the topic with util</w:t>
      </w:r>
    </w:p>
    <w:p w14:paraId="0B763D3D" w14:textId="3388636F" w:rsidR="005C317E" w:rsidRPr="005C317E" w:rsidRDefault="005C317E" w:rsidP="005C317E">
      <w:pPr>
        <w:pStyle w:val="Heading4"/>
      </w:pPr>
      <w:r>
        <w:t xml:space="preserve">They didn’t read paradigm issues – give me </w:t>
      </w:r>
      <w:proofErr w:type="gramStart"/>
      <w:r>
        <w:t>an</w:t>
      </w:r>
      <w:proofErr w:type="gramEnd"/>
      <w:r>
        <w:t xml:space="preserve"> </w:t>
      </w:r>
      <w:proofErr w:type="spellStart"/>
      <w:r>
        <w:t>rvi</w:t>
      </w:r>
      <w:proofErr w:type="spellEnd"/>
      <w:r>
        <w:t xml:space="preserve"> on 1ac shells anything else justifies infinite ridiculous 1ac </w:t>
      </w:r>
      <w:proofErr w:type="spellStart"/>
      <w:r>
        <w:t>inteprs</w:t>
      </w:r>
      <w:proofErr w:type="spellEnd"/>
      <w:r>
        <w:t xml:space="preserve"> that are no risk because they kick them if responded to which deter from substantive engagement. Outweighs because we have two months to debate the topic</w:t>
      </w:r>
    </w:p>
    <w:p w14:paraId="6F13BCF4" w14:textId="1B9A4DE2" w:rsidR="00BE1364" w:rsidRDefault="00BE1364" w:rsidP="00BE1364">
      <w:pPr>
        <w:pStyle w:val="Heading3"/>
      </w:pPr>
      <w:r>
        <w:t>Framework</w:t>
      </w:r>
    </w:p>
    <w:p w14:paraId="0A5D937E" w14:textId="77777777" w:rsidR="005C317E" w:rsidRPr="00FF0CF7" w:rsidRDefault="005C317E" w:rsidP="005C317E">
      <w:pPr>
        <w:pStyle w:val="Heading4"/>
        <w:rPr>
          <w:rFonts w:cs="Calibri"/>
        </w:rPr>
      </w:pPr>
      <w:r w:rsidRPr="00FF0CF7">
        <w:rPr>
          <w:rFonts w:cs="Calibri"/>
        </w:rPr>
        <w:t xml:space="preserve">Nonideal theory is necessary—even </w:t>
      </w:r>
      <w:proofErr w:type="spellStart"/>
      <w:r w:rsidRPr="00FF0CF7">
        <w:rPr>
          <w:rFonts w:cs="Calibri"/>
        </w:rPr>
        <w:t>Korsgaard</w:t>
      </w:r>
      <w:proofErr w:type="spellEnd"/>
      <w:r w:rsidRPr="00FF0CF7">
        <w:rPr>
          <w:rFonts w:cs="Calibri"/>
        </w:rPr>
        <w:t xml:space="preserve"> concedes extinction justifies moral loopholes</w:t>
      </w:r>
    </w:p>
    <w:p w14:paraId="42F003AB" w14:textId="77777777" w:rsidR="005C317E" w:rsidRPr="00FF0CF7" w:rsidRDefault="005C317E" w:rsidP="005C317E">
      <w:proofErr w:type="spellStart"/>
      <w:r w:rsidRPr="00FF0CF7">
        <w:rPr>
          <w:rStyle w:val="StyleUnderline"/>
        </w:rPr>
        <w:t>Korsgaard</w:t>
      </w:r>
      <w:proofErr w:type="spellEnd"/>
      <w:r w:rsidRPr="00FF0CF7">
        <w:rPr>
          <w:rStyle w:val="StyleUnderline"/>
        </w:rPr>
        <w:t xml:space="preserve"> PhD 02</w:t>
      </w:r>
      <w:r w:rsidRPr="00FF0CF7">
        <w:t xml:space="preserve"> [Christine, PhD in Philosophy, works at Harvard] “</w:t>
      </w:r>
      <w:proofErr w:type="spellStart"/>
      <w:r w:rsidRPr="00FF0CF7">
        <w:t>Internalism</w:t>
      </w:r>
      <w:proofErr w:type="spellEnd"/>
      <w:r w:rsidRPr="00FF0CF7">
        <w:t xml:space="preserve"> and the Sources of Normativity” RE</w:t>
      </w:r>
    </w:p>
    <w:p w14:paraId="0CC9881F" w14:textId="77777777" w:rsidR="005C317E" w:rsidRPr="00FF0CF7" w:rsidRDefault="005C317E" w:rsidP="005C317E">
      <w:r w:rsidRPr="00FF0CF7">
        <w:rPr>
          <w:rStyle w:val="StyleUnderline"/>
        </w:rPr>
        <w:t xml:space="preserve">But </w:t>
      </w:r>
      <w:r w:rsidRPr="00C07B92">
        <w:rPr>
          <w:rStyle w:val="StyleUnderline"/>
          <w:highlight w:val="green"/>
        </w:rPr>
        <w:t>actions</w:t>
      </w:r>
      <w:r w:rsidRPr="00FF0CF7">
        <w:rPr>
          <w:rStyle w:val="StyleUnderline"/>
        </w:rPr>
        <w:t xml:space="preserve"> are also events in the world (or correspond to events in the world, at least), and they too </w:t>
      </w:r>
      <w:r w:rsidRPr="00C07B92">
        <w:rPr>
          <w:rStyle w:val="StyleUnderline"/>
          <w:highlight w:val="green"/>
        </w:rPr>
        <w:t>have consequences.</w:t>
      </w:r>
      <w:r w:rsidRPr="00FF0CF7">
        <w:t xml:space="preserve"> There are </w:t>
      </w:r>
      <w:proofErr w:type="gramStart"/>
      <w:r w:rsidRPr="00FF0CF7">
        <w:t>a number of</w:t>
      </w:r>
      <w:proofErr w:type="gramEnd"/>
      <w:r w:rsidRPr="00FF0CF7">
        <w:t xml:space="preserve"> different ways in which one can deal with worries about what happens to the consequences in Kant’s ethical theory. It is worth pointing out that </w:t>
      </w:r>
      <w:r w:rsidRPr="00C07B92">
        <w:rPr>
          <w:rStyle w:val="StyleUnderline"/>
          <w:highlight w:val="green"/>
        </w:rPr>
        <w:t>Kant</w:t>
      </w:r>
      <w:r w:rsidRPr="00FF0CF7">
        <w:rPr>
          <w:rStyle w:val="StyleUnderline"/>
        </w:rPr>
        <w:t xml:space="preserve"> himself not only </w:t>
      </w:r>
      <w:r w:rsidRPr="00C07B92">
        <w:rPr>
          <w:rStyle w:val="StyleUnderline"/>
          <w:highlight w:val="green"/>
        </w:rPr>
        <w:t>did not ignore</w:t>
      </w:r>
      <w:r w:rsidRPr="00FF0CF7">
        <w:rPr>
          <w:rStyle w:val="StyleUnderline"/>
        </w:rPr>
        <w:t xml:space="preserve"> the </w:t>
      </w:r>
      <w:proofErr w:type="gramStart"/>
      <w:r w:rsidRPr="00C07B92">
        <w:rPr>
          <w:rStyle w:val="StyleUnderline"/>
          <w:highlight w:val="green"/>
        </w:rPr>
        <w:t>consequences</w:t>
      </w:r>
      <w:r w:rsidRPr="00FF0CF7">
        <w:rPr>
          <w:rStyle w:val="StyleUnderline"/>
        </w:rPr>
        <w:t>, but</w:t>
      </w:r>
      <w:proofErr w:type="gramEnd"/>
      <w:r w:rsidRPr="00FF0CF7">
        <w:rPr>
          <w:rStyle w:val="StyleUnderline"/>
        </w:rPr>
        <w:t xml:space="preserve"> took the fact that good actions can have bad effects as the starting point for his religious philosophy.</w:t>
      </w:r>
      <w:r w:rsidRPr="00FF0CF7">
        <w:t xml:space="preserve"> In his religious thought, Kant was concerned with the question how the moral agent has to envision the world, how he has to think of its metaphysics in order to cope with the fact that the actions morality demands may have terrible effects that we never </w:t>
      </w:r>
      <w:proofErr w:type="gramStart"/>
      <w:r w:rsidRPr="00FF0CF7">
        <w:t>intended, or</w:t>
      </w:r>
      <w:proofErr w:type="gramEnd"/>
      <w:r w:rsidRPr="00FF0CF7">
        <w:t xml:space="preserve"> may simply fail to have good ones. </w:t>
      </w:r>
      <w:proofErr w:type="gramStart"/>
      <w:r w:rsidRPr="00FF0CF7">
        <w:rPr>
          <w:rStyle w:val="StyleUnderline"/>
        </w:rPr>
        <w:t>I myself</w:t>
      </w:r>
      <w:proofErr w:type="gramEnd"/>
      <w:r w:rsidRPr="00FF0CF7">
        <w:rPr>
          <w:rStyle w:val="StyleUnderline"/>
        </w:rPr>
        <w:t xml:space="preserve"> see the development of what Rawls has called “</w:t>
      </w:r>
      <w:r w:rsidRPr="00C07B92">
        <w:rPr>
          <w:rStyle w:val="StyleUnderline"/>
          <w:highlight w:val="green"/>
        </w:rPr>
        <w:t>nonideal theory</w:t>
      </w:r>
      <w:r w:rsidRPr="00FF0CF7">
        <w:rPr>
          <w:rStyle w:val="StyleUnderline"/>
        </w:rPr>
        <w:t xml:space="preserve">” to be the right way of </w:t>
      </w:r>
      <w:r w:rsidRPr="00C07B92">
        <w:rPr>
          <w:rStyle w:val="StyleUnderline"/>
          <w:highlight w:val="green"/>
        </w:rPr>
        <w:t>tak</w:t>
      </w:r>
      <w:r w:rsidRPr="00FF0CF7">
        <w:rPr>
          <w:rStyle w:val="StyleUnderline"/>
        </w:rPr>
        <w:t xml:space="preserve">ing </w:t>
      </w:r>
      <w:r w:rsidRPr="00C07B92">
        <w:rPr>
          <w:rStyle w:val="StyleUnderline"/>
          <w:highlight w:val="green"/>
        </w:rPr>
        <w:t>care of</w:t>
      </w:r>
      <w:r w:rsidRPr="00FF0CF7">
        <w:rPr>
          <w:rStyle w:val="StyleUnderline"/>
        </w:rPr>
        <w:t xml:space="preserve"> a certain class of </w:t>
      </w:r>
      <w:r w:rsidRPr="00C07B92">
        <w:rPr>
          <w:rStyle w:val="StyleUnderline"/>
          <w:highlight w:val="green"/>
        </w:rPr>
        <w:t>cases, in which the consequences</w:t>
      </w:r>
      <w:r w:rsidRPr="00FF0CF7">
        <w:rPr>
          <w:rStyle w:val="StyleUnderline"/>
        </w:rPr>
        <w:t xml:space="preserve"> of doing the right thing just </w:t>
      </w:r>
      <w:r w:rsidRPr="00C07B92">
        <w:rPr>
          <w:rStyle w:val="StyleUnderline"/>
          <w:highlight w:val="green"/>
        </w:rPr>
        <w:t>seem too appalling</w:t>
      </w:r>
      <w:r w:rsidRPr="00FF0CF7">
        <w:rPr>
          <w:rStyle w:val="StyleUnderline"/>
        </w:rPr>
        <w:t xml:space="preserve"> for us </w:t>
      </w:r>
      <w:r w:rsidRPr="00C07B92">
        <w:rPr>
          <w:rStyle w:val="StyleUnderline"/>
          <w:highlight w:val="green"/>
        </w:rPr>
        <w:t>to</w:t>
      </w:r>
      <w:r w:rsidRPr="00FF0CF7">
        <w:rPr>
          <w:rStyle w:val="StyleUnderline"/>
        </w:rPr>
        <w:t xml:space="preserve"> simply </w:t>
      </w:r>
      <w:r w:rsidRPr="00C07B92">
        <w:rPr>
          <w:rStyle w:val="StyleUnderline"/>
          <w:highlight w:val="green"/>
        </w:rPr>
        <w:t>wash our hands of.</w:t>
      </w:r>
      <w:r w:rsidRPr="00FF0CF7">
        <w:t xml:space="preserve"> But I do not want to say that just having bad consequences is enough to put an action into the realm of nonideal theory. I think there is a range of bad consequences that a decent person </w:t>
      </w:r>
      <w:proofErr w:type="gramStart"/>
      <w:r w:rsidRPr="00FF0CF7">
        <w:t>has to</w:t>
      </w:r>
      <w:proofErr w:type="gramEnd"/>
      <w:r w:rsidRPr="00FF0CF7">
        <w:t xml:space="preserve"> be prepared to live with, out of respect for other people’s right to manage their own lives and actions, and to contribute to shared decisions. But I also think that </w:t>
      </w:r>
      <w:r w:rsidRPr="00C07B92">
        <w:rPr>
          <w:rStyle w:val="StyleUnderline"/>
          <w:highlight w:val="green"/>
        </w:rPr>
        <w:t>there are cases where our actions go wrong</w:t>
      </w:r>
      <w:r w:rsidRPr="00FF0CF7">
        <w:rPr>
          <w:rStyle w:val="StyleUnderline"/>
        </w:rPr>
        <w:t xml:space="preserve"> in such a way </w:t>
      </w:r>
      <w:r w:rsidRPr="00C07B92">
        <w:rPr>
          <w:rStyle w:val="StyleUnderline"/>
          <w:highlight w:val="green"/>
        </w:rPr>
        <w:t>that they turn out</w:t>
      </w:r>
      <w:r w:rsidRPr="00FF0CF7">
        <w:rPr>
          <w:rStyle w:val="StyleUnderline"/>
        </w:rPr>
        <w:t xml:space="preserve"> in a sense </w:t>
      </w:r>
      <w:r w:rsidRPr="00C07B92">
        <w:rPr>
          <w:rStyle w:val="StyleUnderline"/>
          <w:highlight w:val="green"/>
        </w:rPr>
        <w:t>not to be the actions we intended to do, or</w:t>
      </w:r>
      <w:r w:rsidRPr="00FF0CF7">
        <w:rPr>
          <w:rStyle w:val="StyleUnderline"/>
        </w:rPr>
        <w:t xml:space="preserve"> to </w:t>
      </w:r>
      <w:r w:rsidRPr="00C07B92">
        <w:rPr>
          <w:rStyle w:val="StyleUnderline"/>
          <w:highlight w:val="green"/>
        </w:rPr>
        <w:t>instantiate the values we meant</w:t>
      </w:r>
      <w:r w:rsidRPr="00FF0CF7">
        <w:rPr>
          <w:rStyle w:val="StyleUnderline"/>
        </w:rPr>
        <w:t xml:space="preserve"> them to instantiate.</w:t>
      </w:r>
      <w:r w:rsidRPr="00FF0CF7">
        <w:t xml:space="preserve"> I think that some of these cases can be dealt with by introducing the kind of double-level structure into moral philosophy that I have described in the essay on “The Right to Lie: Kant on Dealing with Evil.”3 </w:t>
      </w:r>
      <w:r w:rsidRPr="00FF0CF7">
        <w:rPr>
          <w:rStyle w:val="StyleUnderline"/>
        </w:rPr>
        <w:t>But I also think there are cases that cannot be domesticated even in this way, cases in which, to put it paradoxically, the good person will do something “wrong.”</w:t>
      </w:r>
      <w:r w:rsidRPr="00FF0CF7">
        <w:t xml:space="preserve"> I have written about that sort of case too, in “Taking the Law into Our Own Hands: Kant on the Right to Revolution.”4</w:t>
      </w:r>
    </w:p>
    <w:p w14:paraId="0CD0F2AC" w14:textId="77777777" w:rsidR="005C317E" w:rsidRPr="00FF0CF7" w:rsidRDefault="005C317E" w:rsidP="005C317E">
      <w:pPr>
        <w:pStyle w:val="Heading4"/>
      </w:pPr>
      <w:r w:rsidRPr="00FF0CF7">
        <w:t>AT Concedes Reason</w:t>
      </w:r>
    </w:p>
    <w:p w14:paraId="46FA6203" w14:textId="2102247B" w:rsidR="005C317E" w:rsidRPr="00FF0CF7" w:rsidRDefault="005C317E" w:rsidP="005C317E">
      <w:pPr>
        <w:pStyle w:val="Heading4"/>
        <w:rPr>
          <w:rFonts w:cs="Calibri"/>
        </w:rPr>
      </w:pPr>
      <w:r>
        <w:rPr>
          <w:rFonts w:cs="Calibri"/>
        </w:rPr>
        <w:t>1]</w:t>
      </w:r>
      <w:r w:rsidRPr="00FF0CF7">
        <w:rPr>
          <w:rFonts w:cs="Calibri"/>
        </w:rPr>
        <w:t xml:space="preserve"> Obviously a silly argument – we don’t say reason doesn’t exist at all, just that our rationality if false</w:t>
      </w:r>
    </w:p>
    <w:p w14:paraId="0E8EE968" w14:textId="433E0B5D" w:rsidR="005C317E" w:rsidRPr="00FF0CF7" w:rsidRDefault="005C317E" w:rsidP="005C317E">
      <w:pPr>
        <w:pStyle w:val="Heading4"/>
        <w:rPr>
          <w:rFonts w:cs="Calibri"/>
        </w:rPr>
      </w:pPr>
      <w:r>
        <w:rPr>
          <w:rFonts w:cs="Calibri"/>
        </w:rPr>
        <w:t>2]</w:t>
      </w:r>
      <w:r w:rsidRPr="00FF0CF7">
        <w:rPr>
          <w:rFonts w:cs="Calibri"/>
        </w:rPr>
        <w:t xml:space="preserve"> Reasoning existing does not mean it’s the highest moral value</w:t>
      </w:r>
    </w:p>
    <w:p w14:paraId="1B9CE5DE" w14:textId="529ADEB1" w:rsidR="005C317E" w:rsidRPr="00FF0CF7" w:rsidRDefault="005C317E" w:rsidP="005C317E">
      <w:pPr>
        <w:pStyle w:val="Heading4"/>
        <w:rPr>
          <w:rFonts w:cs="Calibri"/>
        </w:rPr>
      </w:pPr>
      <w:r>
        <w:rPr>
          <w:rFonts w:cs="Calibri"/>
        </w:rPr>
        <w:t>3]</w:t>
      </w:r>
      <w:r w:rsidRPr="00FF0CF7">
        <w:rPr>
          <w:rFonts w:cs="Calibri"/>
        </w:rPr>
        <w:t xml:space="preserve"> Reasoning doesn’t shape everything – if I said “reject Kantian frameworks” which no warrant, that’s still a statement but there’s obviously no reasoning behind it</w:t>
      </w:r>
    </w:p>
    <w:p w14:paraId="75678E24" w14:textId="77777777" w:rsidR="005C317E" w:rsidRPr="00FF0CF7" w:rsidRDefault="005C317E" w:rsidP="005C317E">
      <w:pPr>
        <w:pStyle w:val="Heading4"/>
      </w:pPr>
      <w:r w:rsidRPr="00FF0CF7">
        <w:t>AT Action Theory</w:t>
      </w:r>
    </w:p>
    <w:p w14:paraId="20C50121" w14:textId="77777777" w:rsidR="005C317E" w:rsidRPr="00FF0CF7" w:rsidRDefault="005C317E" w:rsidP="005C317E">
      <w:pPr>
        <w:pStyle w:val="Heading4"/>
        <w:rPr>
          <w:rFonts w:cs="Calibri"/>
        </w:rPr>
      </w:pPr>
      <w:r w:rsidRPr="00FF0CF7">
        <w:rPr>
          <w:rFonts w:cs="Calibri"/>
        </w:rPr>
        <w:t>1. No implication, just proves that reason is used to explain actions not why it ought to come first</w:t>
      </w:r>
    </w:p>
    <w:p w14:paraId="40C900D1" w14:textId="77777777" w:rsidR="005C317E" w:rsidRPr="00FF0CF7" w:rsidRDefault="005C317E" w:rsidP="005C317E">
      <w:pPr>
        <w:pStyle w:val="Heading4"/>
        <w:rPr>
          <w:rFonts w:cs="Calibri"/>
        </w:rPr>
      </w:pPr>
      <w:r w:rsidRPr="00FF0CF7">
        <w:rPr>
          <w:rFonts w:cs="Calibri"/>
        </w:rPr>
        <w:t>2. Turn, we decide a course of action based on material circumstances so util controls the internal link to intending an action in the first place</w:t>
      </w:r>
    </w:p>
    <w:p w14:paraId="688E9B41" w14:textId="642F8DBE" w:rsidR="005C317E" w:rsidRPr="00FF0CF7" w:rsidRDefault="005C317E" w:rsidP="005C317E">
      <w:pPr>
        <w:pStyle w:val="Heading4"/>
      </w:pPr>
      <w:r>
        <w:t>AT Wood</w:t>
      </w:r>
    </w:p>
    <w:p w14:paraId="41E70B2B" w14:textId="77777777" w:rsidR="005C317E" w:rsidRPr="00FF0CF7" w:rsidRDefault="005C317E" w:rsidP="005C317E">
      <w:pPr>
        <w:pStyle w:val="Heading4"/>
        <w:rPr>
          <w:rFonts w:cs="Calibri"/>
        </w:rPr>
      </w:pPr>
      <w:r w:rsidRPr="00FF0CF7">
        <w:rPr>
          <w:rFonts w:cs="Calibri"/>
        </w:rPr>
        <w:t xml:space="preserve">1. No impact to bindingness even if a </w:t>
      </w:r>
      <w:proofErr w:type="spellStart"/>
      <w:r w:rsidRPr="00FF0CF7">
        <w:rPr>
          <w:rFonts w:cs="Calibri"/>
        </w:rPr>
        <w:t>fw</w:t>
      </w:r>
      <w:proofErr w:type="spellEnd"/>
      <w:r w:rsidRPr="00FF0CF7">
        <w:rPr>
          <w:rFonts w:cs="Calibri"/>
        </w:rPr>
        <w:t xml:space="preserve"> isn’t binding that doesn’t disprove the normative goodness of it</w:t>
      </w:r>
    </w:p>
    <w:p w14:paraId="57A44271" w14:textId="77777777" w:rsidR="005C317E" w:rsidRPr="00FF0CF7" w:rsidRDefault="005C317E" w:rsidP="005C317E">
      <w:pPr>
        <w:pStyle w:val="Heading4"/>
        <w:rPr>
          <w:rFonts w:cs="Calibri"/>
        </w:rPr>
      </w:pPr>
      <w:r w:rsidRPr="00FF0CF7">
        <w:rPr>
          <w:rFonts w:cs="Calibri"/>
        </w:rPr>
        <w:t xml:space="preserve">2. </w:t>
      </w:r>
      <w:proofErr w:type="spellStart"/>
      <w:r w:rsidRPr="00FF0CF7">
        <w:rPr>
          <w:rFonts w:cs="Calibri"/>
        </w:rPr>
        <w:t>Schmagency</w:t>
      </w:r>
      <w:proofErr w:type="spellEnd"/>
      <w:r w:rsidRPr="00FF0CF7">
        <w:rPr>
          <w:rFonts w:cs="Calibri"/>
        </w:rPr>
        <w:t xml:space="preserve"> objection- shift out of our constitutive obligations and be an agent</w:t>
      </w:r>
    </w:p>
    <w:p w14:paraId="51FFFA46" w14:textId="77777777" w:rsidR="001A0A87" w:rsidRPr="00FF0CF7" w:rsidRDefault="001A0A87" w:rsidP="001A0A87">
      <w:pPr>
        <w:pStyle w:val="Heading4"/>
      </w:pPr>
      <w:r w:rsidRPr="00FF0CF7">
        <w:t>AT Equal Freedom</w:t>
      </w:r>
    </w:p>
    <w:p w14:paraId="643133C2" w14:textId="72929C83" w:rsidR="001A0A87" w:rsidRPr="00FF0CF7" w:rsidRDefault="001A0A87" w:rsidP="001A0A87">
      <w:pPr>
        <w:pStyle w:val="Heading4"/>
        <w:rPr>
          <w:rFonts w:cs="Calibri"/>
        </w:rPr>
      </w:pPr>
      <w:r>
        <w:rPr>
          <w:rFonts w:cs="Calibri"/>
        </w:rPr>
        <w:t xml:space="preserve">1] </w:t>
      </w:r>
      <w:r w:rsidRPr="00FF0CF7">
        <w:rPr>
          <w:rFonts w:cs="Calibri"/>
        </w:rPr>
        <w:t xml:space="preserve">No internal link—just because I </w:t>
      </w:r>
      <w:proofErr w:type="gramStart"/>
      <w:r w:rsidRPr="00FF0CF7">
        <w:rPr>
          <w:rFonts w:cs="Calibri"/>
        </w:rPr>
        <w:t>have to</w:t>
      </w:r>
      <w:proofErr w:type="gramEnd"/>
      <w:r w:rsidRPr="00FF0CF7">
        <w:rPr>
          <w:rFonts w:cs="Calibri"/>
        </w:rPr>
        <w:t xml:space="preserve"> value my own freedom and reason does not mean I have to value everyone else’s. </w:t>
      </w:r>
    </w:p>
    <w:p w14:paraId="4E9B7BA2" w14:textId="75805B93" w:rsidR="001A0A87" w:rsidRPr="00FF0CF7" w:rsidRDefault="001A0A87" w:rsidP="001A0A87">
      <w:pPr>
        <w:pStyle w:val="Heading4"/>
        <w:rPr>
          <w:rFonts w:cs="Calibri"/>
        </w:rPr>
      </w:pPr>
      <w:r>
        <w:rPr>
          <w:rFonts w:cs="Calibri"/>
        </w:rPr>
        <w:t xml:space="preserve">2] </w:t>
      </w:r>
      <w:r w:rsidRPr="00FF0CF7">
        <w:rPr>
          <w:rFonts w:cs="Calibri"/>
        </w:rPr>
        <w:t xml:space="preserve">Even if I value my freedom, I can still value it </w:t>
      </w:r>
      <w:proofErr w:type="spellStart"/>
      <w:r w:rsidRPr="00FF0CF7">
        <w:rPr>
          <w:rFonts w:cs="Calibri"/>
        </w:rPr>
        <w:t>contigently</w:t>
      </w:r>
      <w:proofErr w:type="spellEnd"/>
      <w:r w:rsidRPr="00FF0CF7">
        <w:rPr>
          <w:rFonts w:cs="Calibri"/>
        </w:rPr>
        <w:t xml:space="preserve"> based on circumstances – </w:t>
      </w:r>
      <w:proofErr w:type="gramStart"/>
      <w:r w:rsidRPr="00FF0CF7">
        <w:rPr>
          <w:rFonts w:cs="Calibri"/>
        </w:rPr>
        <w:t>i.e.</w:t>
      </w:r>
      <w:proofErr w:type="gramEnd"/>
      <w:r w:rsidRPr="00FF0CF7">
        <w:rPr>
          <w:rFonts w:cs="Calibri"/>
        </w:rPr>
        <w:t xml:space="preserve"> people give others more freedom over them all the time when it’s for their own benefit.</w:t>
      </w:r>
    </w:p>
    <w:p w14:paraId="09AA8EDA" w14:textId="170276DC" w:rsidR="00BE1364" w:rsidRDefault="001A0A87" w:rsidP="001A0A87">
      <w:pPr>
        <w:pStyle w:val="Heading4"/>
      </w:pPr>
      <w:r>
        <w:t>We can deliberate between different experiences which resolves the A point</w:t>
      </w:r>
    </w:p>
    <w:p w14:paraId="549687AC" w14:textId="7EB6C29D" w:rsidR="001A0A87" w:rsidRDefault="001A0A87" w:rsidP="001A0A87">
      <w:pPr>
        <w:pStyle w:val="Heading4"/>
      </w:pPr>
      <w:r>
        <w:t>There isn’t an is ought gap for states because they need to be held accountable for all their actions</w:t>
      </w:r>
    </w:p>
    <w:p w14:paraId="445509B4" w14:textId="77777777" w:rsidR="001A0A87" w:rsidRPr="001A0A87" w:rsidRDefault="001A0A87" w:rsidP="001A0A87"/>
    <w:p w14:paraId="184755CC" w14:textId="2954FCD2" w:rsidR="00BE1364" w:rsidRDefault="001A0A87" w:rsidP="001A0A87">
      <w:pPr>
        <w:pStyle w:val="Heading4"/>
      </w:pPr>
      <w:r>
        <w:t>Induction doesn’t fail – pen</w:t>
      </w:r>
    </w:p>
    <w:p w14:paraId="0D1821CE" w14:textId="06548707" w:rsidR="001A0A87" w:rsidRDefault="001A0A87" w:rsidP="001A0A87">
      <w:pPr>
        <w:pStyle w:val="Heading4"/>
      </w:pPr>
      <w:r>
        <w:t>Butterfly effect – we can aggregate different consequences</w:t>
      </w:r>
    </w:p>
    <w:p w14:paraId="73CCDB20" w14:textId="012939E0" w:rsidR="001A0A87" w:rsidRDefault="001A0A87" w:rsidP="001A0A87">
      <w:pPr>
        <w:pStyle w:val="Heading4"/>
      </w:pPr>
      <w:r>
        <w:t>No one likes death – so aggregation doesn’t fail</w:t>
      </w:r>
    </w:p>
    <w:p w14:paraId="259DF342" w14:textId="0EC67C14" w:rsidR="001A0A87" w:rsidRPr="001A0A87" w:rsidRDefault="001A0A87" w:rsidP="001A0A87">
      <w:pPr>
        <w:pStyle w:val="Heading4"/>
      </w:pPr>
      <w:r>
        <w:t>Extinction comes first – states are culpable for everything</w:t>
      </w:r>
    </w:p>
    <w:sectPr w:rsidR="001A0A87" w:rsidRPr="001A0A8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54E63" w14:textId="77777777" w:rsidR="00D83E06" w:rsidRDefault="00D83E06" w:rsidP="00CA6098">
      <w:pPr>
        <w:spacing w:after="0" w:line="240" w:lineRule="auto"/>
      </w:pPr>
      <w:r>
        <w:separator/>
      </w:r>
    </w:p>
  </w:endnote>
  <w:endnote w:type="continuationSeparator" w:id="0">
    <w:p w14:paraId="6A970A5B" w14:textId="77777777" w:rsidR="00D83E06" w:rsidRDefault="00D83E06" w:rsidP="00CA6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FFC69" w14:textId="77777777" w:rsidR="00D83E06" w:rsidRDefault="00D83E06" w:rsidP="00CA6098">
      <w:pPr>
        <w:spacing w:after="0" w:line="240" w:lineRule="auto"/>
      </w:pPr>
      <w:r>
        <w:separator/>
      </w:r>
    </w:p>
  </w:footnote>
  <w:footnote w:type="continuationSeparator" w:id="0">
    <w:p w14:paraId="7740CB2D" w14:textId="77777777" w:rsidR="00D83E06" w:rsidRDefault="00D83E06" w:rsidP="00CA6098">
      <w:pPr>
        <w:spacing w:after="0" w:line="240" w:lineRule="auto"/>
      </w:pPr>
      <w:r>
        <w:continuationSeparator/>
      </w:r>
    </w:p>
  </w:footnote>
  <w:footnote w:id="1">
    <w:p w14:paraId="264467D9" w14:textId="77777777" w:rsidR="00BE1364" w:rsidRDefault="00BE1364" w:rsidP="00BE1364">
      <w:pPr>
        <w:pStyle w:val="FootnoteText"/>
      </w:pPr>
      <w:r>
        <w:rPr>
          <w:rStyle w:val="FootnoteReference"/>
        </w:rPr>
        <w:footnoteRef/>
      </w:r>
      <w:r>
        <w:t xml:space="preserve"> </w:t>
      </w:r>
      <w:hyperlink r:id="rId1"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 w:id="2">
    <w:p w14:paraId="6E9188C9" w14:textId="77777777" w:rsidR="00BE1364" w:rsidRPr="00752E9C" w:rsidRDefault="00BE1364" w:rsidP="00BE1364">
      <w:pPr>
        <w:ind w:right="-1440"/>
        <w:rPr>
          <w:sz w:val="16"/>
          <w:szCs w:val="16"/>
        </w:rPr>
      </w:pPr>
      <w:r w:rsidRPr="00752E9C">
        <w:rPr>
          <w:rStyle w:val="FootnoteReference"/>
          <w:sz w:val="16"/>
          <w:szCs w:val="16"/>
        </w:rPr>
        <w:footnoteRef/>
      </w:r>
      <w:r w:rsidRPr="00752E9C">
        <w:rPr>
          <w:sz w:val="16"/>
          <w:szCs w:val="16"/>
        </w:rPr>
        <w:t xml:space="preserve"> </w:t>
      </w:r>
      <w:hyperlink r:id="rId2" w:history="1">
        <w:r w:rsidRPr="00752E9C">
          <w:rPr>
            <w:rStyle w:val="Hyperlink"/>
            <w:sz w:val="16"/>
            <w:szCs w:val="16"/>
          </w:rPr>
          <w:t>http://dictionary.reference.com/browse/negate</w:t>
        </w:r>
      </w:hyperlink>
      <w:r w:rsidRPr="00752E9C">
        <w:rPr>
          <w:sz w:val="16"/>
          <w:szCs w:val="16"/>
        </w:rPr>
        <w:t xml:space="preserve">, </w:t>
      </w:r>
      <w:hyperlink r:id="rId3" w:history="1">
        <w:r w:rsidRPr="00752E9C">
          <w:rPr>
            <w:rStyle w:val="Hyperlink"/>
            <w:sz w:val="16"/>
            <w:szCs w:val="16"/>
          </w:rPr>
          <w:t>http://www.merriam-webster.com/dictionary/negate</w:t>
        </w:r>
      </w:hyperlink>
      <w:r w:rsidRPr="00752E9C">
        <w:rPr>
          <w:sz w:val="16"/>
          <w:szCs w:val="16"/>
        </w:rPr>
        <w:t xml:space="preserve">, </w:t>
      </w:r>
      <w:hyperlink r:id="rId4" w:history="1">
        <w:r w:rsidRPr="00752E9C">
          <w:rPr>
            <w:rStyle w:val="Hyperlink"/>
            <w:sz w:val="16"/>
            <w:szCs w:val="16"/>
          </w:rPr>
          <w:t>http://www.thefreedictionary.com/negate</w:t>
        </w:r>
      </w:hyperlink>
      <w:r w:rsidRPr="00752E9C">
        <w:rPr>
          <w:sz w:val="16"/>
          <w:szCs w:val="16"/>
        </w:rPr>
        <w:t xml:space="preserve">, </w:t>
      </w:r>
      <w:hyperlink r:id="rId5" w:history="1">
        <w:r w:rsidRPr="00752E9C">
          <w:rPr>
            <w:rStyle w:val="Hyperlink"/>
            <w:sz w:val="16"/>
            <w:szCs w:val="16"/>
          </w:rPr>
          <w:t>http://www.vocabulary.com/dictionary/negate</w:t>
        </w:r>
      </w:hyperlink>
      <w:r w:rsidRPr="00752E9C">
        <w:rPr>
          <w:sz w:val="16"/>
          <w:szCs w:val="16"/>
        </w:rPr>
        <w:t xml:space="preserve">, </w:t>
      </w:r>
      <w:hyperlink r:id="rId6" w:history="1">
        <w:r w:rsidRPr="00752E9C">
          <w:rPr>
            <w:rStyle w:val="Hyperlink"/>
            <w:sz w:val="16"/>
            <w:szCs w:val="16"/>
          </w:rPr>
          <w:t>http://www.oxforddictionaries.com/definition/english/negate</w:t>
        </w:r>
      </w:hyperlink>
    </w:p>
  </w:footnote>
  <w:footnote w:id="3">
    <w:p w14:paraId="60398A71" w14:textId="77777777" w:rsidR="00BE1364" w:rsidRPr="00855FDC" w:rsidRDefault="00BE1364" w:rsidP="00BE1364">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4">
    <w:p w14:paraId="1A8101F8" w14:textId="77777777" w:rsidR="00BE1364" w:rsidRDefault="00BE1364" w:rsidP="00BE1364">
      <w:pPr>
        <w:pStyle w:val="FootnoteText"/>
      </w:pPr>
      <w:r>
        <w:rPr>
          <w:rStyle w:val="FootnoteReference"/>
        </w:rPr>
        <w:footnoteRef/>
      </w:r>
      <w:r>
        <w:t xml:space="preserve"> </w:t>
      </w:r>
      <w:hyperlink r:id="rId7"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5">
    <w:p w14:paraId="623556AA" w14:textId="77777777" w:rsidR="00BE1364" w:rsidRDefault="00BE1364" w:rsidP="00BE1364">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334AB437" w14:textId="77777777" w:rsidR="00BE1364" w:rsidRDefault="00BE1364" w:rsidP="00BE1364">
      <w:pPr>
        <w:pStyle w:val="FootnoteText"/>
      </w:pPr>
      <w:r>
        <w:rPr>
          <w:rStyle w:val="FootnoteReference"/>
        </w:rPr>
        <w:footnoteRef/>
      </w:r>
      <w:r>
        <w:t xml:space="preserve"> </w:t>
      </w:r>
      <w:hyperlink r:id="rId9"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7">
    <w:p w14:paraId="53F07081" w14:textId="77777777" w:rsidR="00BE1364" w:rsidRDefault="00BE1364" w:rsidP="00BE1364">
      <w:pPr>
        <w:pStyle w:val="FootnoteText"/>
      </w:pPr>
      <w:r>
        <w:rPr>
          <w:rStyle w:val="FootnoteReference"/>
        </w:rPr>
        <w:footnoteRef/>
      </w:r>
      <w:r>
        <w:t xml:space="preserve"> </w:t>
      </w:r>
      <w:hyperlink r:id="rId10"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C413F"/>
    <w:multiLevelType w:val="multilevel"/>
    <w:tmpl w:val="A82420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6E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A87"/>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17E"/>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CE8"/>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E8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92E"/>
    <w:rsid w:val="00BC0ABE"/>
    <w:rsid w:val="00BC30DB"/>
    <w:rsid w:val="00BC64FF"/>
    <w:rsid w:val="00BC7C37"/>
    <w:rsid w:val="00BD2244"/>
    <w:rsid w:val="00BE136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09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E0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94827"/>
  <w14:defaultImageDpi w14:val="300"/>
  <w15:docId w15:val="{3D68AE9C-7B58-5949-A8CD-B15E38E2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6E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6E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6E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6E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AC6E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6E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E8A"/>
  </w:style>
  <w:style w:type="character" w:customStyle="1" w:styleId="Heading1Char">
    <w:name w:val="Heading 1 Char"/>
    <w:aliases w:val="Pocket Char"/>
    <w:basedOn w:val="DefaultParagraphFont"/>
    <w:link w:val="Heading1"/>
    <w:uiPriority w:val="9"/>
    <w:rsid w:val="00AC6E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6E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6E8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AC6E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C6E8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C6E8A"/>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AC6E8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AC6E8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C"/>
    <w:basedOn w:val="DefaultParagraphFont"/>
    <w:link w:val="Card"/>
    <w:uiPriority w:val="99"/>
    <w:unhideWhenUsed/>
    <w:rsid w:val="00AC6E8A"/>
    <w:rPr>
      <w:color w:val="auto"/>
      <w:u w:val="none"/>
    </w:rPr>
  </w:style>
  <w:style w:type="paragraph" w:styleId="DocumentMap">
    <w:name w:val="Document Map"/>
    <w:basedOn w:val="Normal"/>
    <w:link w:val="DocumentMapChar"/>
    <w:uiPriority w:val="99"/>
    <w:semiHidden/>
    <w:unhideWhenUsed/>
    <w:rsid w:val="00AC6E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6E8A"/>
    <w:rPr>
      <w:rFonts w:ascii="Lucida Grande" w:hAnsi="Lucida Grande" w:cs="Lucida Grande"/>
    </w:rPr>
  </w:style>
  <w:style w:type="paragraph" w:customStyle="1" w:styleId="textbold">
    <w:name w:val="text bold"/>
    <w:basedOn w:val="Normal"/>
    <w:link w:val="Emphasis"/>
    <w:autoRedefine/>
    <w:uiPriority w:val="20"/>
    <w:qFormat/>
    <w:rsid w:val="00BB392E"/>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CA60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CA6098"/>
    <w:rPr>
      <w:vertAlign w:val="superscript"/>
    </w:rPr>
  </w:style>
  <w:style w:type="paragraph" w:customStyle="1" w:styleId="Emphasis1">
    <w:name w:val="Emphasis1"/>
    <w:basedOn w:val="Normal"/>
    <w:autoRedefine/>
    <w:uiPriority w:val="20"/>
    <w:qFormat/>
    <w:rsid w:val="00BE136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FootnoteText">
    <w:name w:val="footnote text"/>
    <w:basedOn w:val="Normal"/>
    <w:link w:val="FootnoteTextChar"/>
    <w:uiPriority w:val="99"/>
    <w:unhideWhenUsed/>
    <w:qFormat/>
    <w:rsid w:val="00BE1364"/>
    <w:pPr>
      <w:spacing w:after="0" w:line="240" w:lineRule="auto"/>
    </w:pPr>
    <w:rPr>
      <w:sz w:val="20"/>
      <w:szCs w:val="20"/>
    </w:rPr>
  </w:style>
  <w:style w:type="character" w:customStyle="1" w:styleId="FootnoteTextChar">
    <w:name w:val="Footnote Text Char"/>
    <w:basedOn w:val="DefaultParagraphFont"/>
    <w:link w:val="FootnoteText"/>
    <w:uiPriority w:val="99"/>
    <w:rsid w:val="00BE1364"/>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sac.fsi.stanford.ed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f.mil/AboutUs/Biographies/Display/tabid/225/Article/108115/general-john-e-hyten.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sac.fsi.stanford.edu/news/deterrence-space-key-us-security" TargetMode="External"/><Relationship Id="rId5" Type="http://schemas.openxmlformats.org/officeDocument/2006/relationships/numbering" Target="numbering.xml"/><Relationship Id="rId15" Type="http://schemas.openxmlformats.org/officeDocument/2006/relationships/hyperlink" Target="https://digitalcommons.law.seattleu.edu/cgi/viewcontent.cgi?article=1022&amp;context=sjtei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isac.fsi.stanford.edu/events/us-strategic-command-perspectives-deterrence-and-assuranc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3" Type="http://schemas.openxmlformats.org/officeDocument/2006/relationships/hyperlink" Target="http://www.merriam-webster.com/dictionary/negate" TargetMode="External"/><Relationship Id="rId7" Type="http://schemas.openxmlformats.org/officeDocument/2006/relationships/hyperlink" Target="https://www.google.com/search?q=the+definition&amp;rlz=1C1CHBF_enUS877US877&amp;oq=the+definition&amp;aqs=chrome..69i57j69i64j69i61j69i60l2.1976j0j7&amp;sourceid=chrome&amp;ie=UTF-8" TargetMode="External"/><Relationship Id="rId2" Type="http://schemas.openxmlformats.org/officeDocument/2006/relationships/hyperlink" Target="http://dictionary.reference.com/browse/negate" TargetMode="External"/><Relationship Id="rId1" Type="http://schemas.openxmlformats.org/officeDocument/2006/relationships/hyperlink" Target="https://www.google.com/search?q=appropriation+definition&amp;rlz=1C1CHBF_enUS877US877&amp;oq=appr&amp;aqs=chrome.0.69i59j69i57j69i59l2j69i60l3.1218j0j7&amp;sourceid=chrome&amp;ie=UTF-8" TargetMode="External"/><Relationship Id="rId6" Type="http://schemas.openxmlformats.org/officeDocument/2006/relationships/hyperlink" Target="http://www.oxforddictionaries.com/definition/english/negate" TargetMode="External"/><Relationship Id="rId5" Type="http://schemas.openxmlformats.org/officeDocument/2006/relationships/hyperlink" Target="http://www.vocabulary.com/dictionary/negate" TargetMode="External"/><Relationship Id="rId10" Type="http://schemas.openxmlformats.org/officeDocument/2006/relationships/hyperlink" Target="https://www.merriam-webster.com/dictionary/entity" TargetMode="External"/><Relationship Id="rId4" Type="http://schemas.openxmlformats.org/officeDocument/2006/relationships/hyperlink" Target="http://www.thefreedictionary.com/negate" TargetMode="External"/><Relationship Id="rId9" Type="http://schemas.openxmlformats.org/officeDocument/2006/relationships/hyperlink" Target="https://www.google.com/search?q=private+definition&amp;rlz=1C1CHBF_enUS877US877&amp;oq=private+&amp;aqs=chrome.0.69i59j69i57j69i60j69i61.1372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6242</Words>
  <Characters>35580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2022-01-15T16:06:00Z</dcterms:created>
  <dcterms:modified xsi:type="dcterms:W3CDTF">2022-01-15T16:08:00Z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