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484B" w14:textId="77777777" w:rsidR="00166CBC" w:rsidRDefault="00166CBC" w:rsidP="00166CBC">
      <w:pPr>
        <w:pStyle w:val="Heading2"/>
      </w:pPr>
      <w:r>
        <w:t>1AC Shell v5 – Cal</w:t>
      </w:r>
    </w:p>
    <w:p w14:paraId="639C332B" w14:textId="77777777" w:rsidR="00166CBC" w:rsidRDefault="00166CBC" w:rsidP="00166CBC">
      <w:pPr>
        <w:pStyle w:val="Heading3"/>
      </w:pPr>
      <w:r>
        <w:t>1AC: Plan</w:t>
      </w:r>
    </w:p>
    <w:p w14:paraId="7A63F539" w14:textId="77777777" w:rsidR="00166CBC" w:rsidRDefault="00166CBC" w:rsidP="00166CBC">
      <w:pPr>
        <w:pStyle w:val="Heading4"/>
      </w:pPr>
      <w:r>
        <w:t xml:space="preserve">Plan - </w:t>
      </w:r>
      <w:r w:rsidRPr="007F3FA1">
        <w:t>Private entities ought not appropriate lunar heritage sites</w:t>
      </w:r>
      <w:r>
        <w:t xml:space="preserve"> in outer space. </w:t>
      </w:r>
    </w:p>
    <w:p w14:paraId="67C38E88" w14:textId="77777777" w:rsidR="00166CBC" w:rsidRPr="00BD4BDA" w:rsidRDefault="00166CBC" w:rsidP="00166CBC">
      <w:pPr>
        <w:pStyle w:val="ListParagraph"/>
        <w:numPr>
          <w:ilvl w:val="0"/>
          <w:numId w:val="16"/>
        </w:numPr>
      </w:pPr>
      <w:r>
        <w:t xml:space="preserve">We will defend NASA’s interpretation of lunar heritage sites </w:t>
      </w:r>
    </w:p>
    <w:p w14:paraId="543FD6F0" w14:textId="77777777" w:rsidR="00166CBC" w:rsidRDefault="00166CBC" w:rsidP="00166CB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025A5BB" w14:textId="77777777" w:rsidR="00166CBC" w:rsidRPr="00BD4BDA" w:rsidRDefault="00166CBC" w:rsidP="00166CBC">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2F53CA08" w14:textId="77777777" w:rsidR="00166CBC" w:rsidRPr="00FE6C2C" w:rsidRDefault="00166CBC" w:rsidP="00166CBC"/>
    <w:p w14:paraId="3C7A593E" w14:textId="77777777" w:rsidR="00166CBC" w:rsidRDefault="00166CBC" w:rsidP="00166CBC">
      <w:pPr>
        <w:pStyle w:val="Heading3"/>
      </w:pPr>
      <w:r>
        <w:t>1AC: Lunar Heritage</w:t>
      </w:r>
    </w:p>
    <w:p w14:paraId="3CBE6C2D" w14:textId="77777777" w:rsidR="00166CBC" w:rsidRPr="00926B03" w:rsidRDefault="00166CBC" w:rsidP="00166CBC">
      <w:pPr>
        <w:pStyle w:val="Heading4"/>
      </w:pPr>
      <w:r>
        <w:t xml:space="preserve">The Advantage is </w:t>
      </w:r>
      <w:r>
        <w:rPr>
          <w:u w:val="single"/>
        </w:rPr>
        <w:t>Lunar Heritage</w:t>
      </w:r>
      <w:r>
        <w:t>:</w:t>
      </w:r>
    </w:p>
    <w:p w14:paraId="7048CD37" w14:textId="77777777" w:rsidR="00166CBC" w:rsidRDefault="00166CBC" w:rsidP="00166CBC">
      <w:pPr>
        <w:pStyle w:val="Heading4"/>
      </w:pPr>
      <w:r>
        <w:t xml:space="preserve">Global Moon Rush by </w:t>
      </w:r>
      <w:r>
        <w:rPr>
          <w:u w:val="single"/>
        </w:rPr>
        <w:t>private actors</w:t>
      </w:r>
      <w:r>
        <w:t xml:space="preserve"> is </w:t>
      </w:r>
      <w:r>
        <w:rPr>
          <w:u w:val="single"/>
        </w:rPr>
        <w:t>coming now</w:t>
      </w:r>
      <w:r>
        <w:t>.</w:t>
      </w:r>
    </w:p>
    <w:p w14:paraId="33F5B323" w14:textId="77777777" w:rsidR="00166CBC" w:rsidRPr="00042143" w:rsidRDefault="00166CBC" w:rsidP="00166CBC">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73E61ECD" w14:textId="77777777" w:rsidR="00166CBC" w:rsidRDefault="00166CBC" w:rsidP="00166CB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389D8D" w14:textId="77777777" w:rsidR="00166CBC" w:rsidRDefault="00166CBC" w:rsidP="00166CBC">
      <w:pPr>
        <w:pStyle w:val="Heading4"/>
      </w:pPr>
      <w:r>
        <w:t xml:space="preserve">Corporate development, tourism, and looting will destroy </w:t>
      </w:r>
      <w:r w:rsidRPr="00D961AA">
        <w:rPr>
          <w:u w:val="single"/>
        </w:rPr>
        <w:t>scientifically rich</w:t>
      </w:r>
      <w:r>
        <w:t xml:space="preserve"> Tranquility base artifacts.</w:t>
      </w:r>
    </w:p>
    <w:p w14:paraId="3D010676" w14:textId="77777777" w:rsidR="00166CBC" w:rsidRPr="00380B2A" w:rsidRDefault="00166CBC" w:rsidP="00166CBC">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6B61A758" w14:textId="77777777" w:rsidR="00166CBC" w:rsidRDefault="00166CBC" w:rsidP="00166CB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C5DC9F1" w14:textId="77777777" w:rsidR="00166CBC" w:rsidRDefault="00166CBC" w:rsidP="00166CBC">
      <w:pPr>
        <w:pStyle w:val="Heading4"/>
      </w:pPr>
      <w:r>
        <w:t xml:space="preserve">Private entities are a </w:t>
      </w:r>
      <w:r>
        <w:rPr>
          <w:u w:val="single"/>
        </w:rPr>
        <w:t>unique threat</w:t>
      </w:r>
      <w:r>
        <w:t>---universal rules key.</w:t>
      </w:r>
    </w:p>
    <w:p w14:paraId="5518D67A" w14:textId="77777777" w:rsidR="00166CBC" w:rsidRPr="00D82DE1" w:rsidRDefault="00166CBC" w:rsidP="00166CBC">
      <w:pPr>
        <w:pStyle w:val="ListParagraph"/>
        <w:numPr>
          <w:ilvl w:val="0"/>
          <w:numId w:val="12"/>
        </w:numPr>
      </w:pPr>
      <w:r>
        <w:t>Private Key Card – AT: Alt Causes</w:t>
      </w:r>
    </w:p>
    <w:p w14:paraId="34E8DB71" w14:textId="77777777" w:rsidR="00166CBC" w:rsidRDefault="00166CBC" w:rsidP="00166CBC">
      <w:pPr>
        <w:pStyle w:val="ListParagraph"/>
        <w:numPr>
          <w:ilvl w:val="0"/>
          <w:numId w:val="12"/>
        </w:numPr>
      </w:pPr>
      <w:r>
        <w:t>AT: Unilat CP</w:t>
      </w:r>
    </w:p>
    <w:p w14:paraId="64373EB6" w14:textId="77777777" w:rsidR="00166CBC" w:rsidRDefault="00166CBC" w:rsidP="00166CBC">
      <w:pPr>
        <w:pStyle w:val="ListParagraph"/>
        <w:numPr>
          <w:ilvl w:val="0"/>
          <w:numId w:val="12"/>
        </w:numPr>
      </w:pPr>
      <w:r>
        <w:t>AT: Adv CP</w:t>
      </w:r>
    </w:p>
    <w:p w14:paraId="366DC2F4" w14:textId="77777777" w:rsidR="00166CBC" w:rsidRDefault="00166CBC" w:rsidP="00166CBC">
      <w:pPr>
        <w:pStyle w:val="ListParagraph"/>
        <w:numPr>
          <w:ilvl w:val="0"/>
          <w:numId w:val="12"/>
        </w:numPr>
      </w:pPr>
      <w:r>
        <w:t>AT: Generic DA</w:t>
      </w:r>
    </w:p>
    <w:p w14:paraId="2BDCE7A1" w14:textId="77777777" w:rsidR="00166CBC" w:rsidRDefault="00166CBC" w:rsidP="00166CBC">
      <w:pPr>
        <w:pStyle w:val="ListParagraph"/>
        <w:numPr>
          <w:ilvl w:val="0"/>
          <w:numId w:val="12"/>
        </w:numPr>
      </w:pPr>
      <w:r>
        <w:t>AT: OST DA</w:t>
      </w:r>
    </w:p>
    <w:p w14:paraId="54AECEEC" w14:textId="77777777" w:rsidR="00166CBC" w:rsidRDefault="00166CBC" w:rsidP="00166CBC">
      <w:pPr>
        <w:pStyle w:val="ListParagraph"/>
        <w:numPr>
          <w:ilvl w:val="0"/>
          <w:numId w:val="12"/>
        </w:numPr>
      </w:pPr>
      <w:r>
        <w:t>Solvency Advocate</w:t>
      </w:r>
    </w:p>
    <w:p w14:paraId="51451FDB" w14:textId="77777777" w:rsidR="00166CBC" w:rsidRPr="00BE44DC" w:rsidRDefault="00166CBC" w:rsidP="00166CBC">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63E3F284" w14:textId="77777777" w:rsidR="00166CBC" w:rsidRPr="00420B02" w:rsidRDefault="00166CBC" w:rsidP="00166CBC">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ADBA99D" w14:textId="77777777" w:rsidR="00166CBC" w:rsidRDefault="00166CBC" w:rsidP="00166CBC">
      <w:pPr>
        <w:pStyle w:val="Heading4"/>
      </w:pPr>
      <w:r>
        <w:t xml:space="preserve">Heritage Sites </w:t>
      </w:r>
      <w:r>
        <w:rPr>
          <w:u w:val="single"/>
        </w:rPr>
        <w:t>are critical</w:t>
      </w:r>
      <w:r>
        <w:t xml:space="preserve"> for </w:t>
      </w:r>
      <w:r>
        <w:rPr>
          <w:u w:val="single"/>
        </w:rPr>
        <w:t>science research</w:t>
      </w:r>
      <w:r>
        <w:t xml:space="preserve"> around Dust. </w:t>
      </w:r>
    </w:p>
    <w:p w14:paraId="1806C8F3" w14:textId="77777777" w:rsidR="00166CBC" w:rsidRPr="002C1327" w:rsidRDefault="00166CBC" w:rsidP="00166CB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757CEBE" w14:textId="77777777" w:rsidR="00166CBC" w:rsidRPr="00300410" w:rsidRDefault="00166CBC" w:rsidP="00166CB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EA33F44" w14:textId="77777777" w:rsidR="00166CBC" w:rsidRDefault="00166CBC" w:rsidP="00166CBC">
      <w:pPr>
        <w:pStyle w:val="Heading4"/>
      </w:pPr>
      <w:r>
        <w:t xml:space="preserve">Moon Dust Research key to </w:t>
      </w:r>
      <w:r>
        <w:rPr>
          <w:u w:val="single"/>
        </w:rPr>
        <w:t>Moon Basing</w:t>
      </w:r>
      <w:r>
        <w:t>.</w:t>
      </w:r>
    </w:p>
    <w:p w14:paraId="37BEF14A" w14:textId="77777777" w:rsidR="00166CBC" w:rsidRPr="00362E4C" w:rsidRDefault="00166CBC" w:rsidP="00166CBC">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33B78B4" w14:textId="77777777" w:rsidR="00166CBC" w:rsidRDefault="00166CBC" w:rsidP="00166CBC">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B925C8C" w14:textId="77777777" w:rsidR="00166CBC" w:rsidRDefault="00166CBC" w:rsidP="00166CBC">
      <w:pPr>
        <w:pStyle w:val="Heading4"/>
      </w:pPr>
      <w:r>
        <w:t>A lunar base</w:t>
      </w:r>
      <w:r w:rsidRPr="003019D2">
        <w:t xml:space="preserve"> </w:t>
      </w:r>
      <w:r>
        <w:t xml:space="preserve">is </w:t>
      </w:r>
      <w:r w:rsidRPr="003019D2">
        <w:t>coming now but preservation of the environment is key</w:t>
      </w:r>
      <w:r>
        <w:t>.</w:t>
      </w:r>
    </w:p>
    <w:p w14:paraId="08F52175" w14:textId="77777777" w:rsidR="00166CBC" w:rsidRPr="003019D2" w:rsidRDefault="00166CBC" w:rsidP="00166CBC">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3F113AA1" w14:textId="77777777" w:rsidR="00166CBC" w:rsidRPr="003019D2" w:rsidRDefault="00166CBC" w:rsidP="00166CBC">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13030403" w14:textId="77777777" w:rsidR="00166CBC" w:rsidRPr="003019D2" w:rsidRDefault="00166CBC" w:rsidP="00166CBC">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75BDB28A" w14:textId="77777777" w:rsidR="00166CBC" w:rsidRPr="003019D2" w:rsidRDefault="00166CBC" w:rsidP="00166CBC">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097754F8" w14:textId="77777777" w:rsidR="00166CBC" w:rsidRPr="003019D2" w:rsidRDefault="00166CBC" w:rsidP="00166CBC">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20352E2" w14:textId="77777777" w:rsidR="00166CBC" w:rsidRPr="003019D2" w:rsidRDefault="00166CBC" w:rsidP="00166CBC">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148F8910" w14:textId="77777777" w:rsidR="00166CBC" w:rsidRPr="003019D2" w:rsidRDefault="00166CBC" w:rsidP="00166CBC">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6189DFEF" w14:textId="77777777" w:rsidR="00166CBC" w:rsidRPr="003019D2" w:rsidRDefault="00166CBC" w:rsidP="00166CBC">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0160CBB7" w14:textId="77777777" w:rsidR="00166CBC" w:rsidRPr="003019D2" w:rsidRDefault="00166CBC" w:rsidP="00166CBC">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7973D091" w14:textId="77777777" w:rsidR="00166CBC" w:rsidRPr="003019D2" w:rsidRDefault="00166CBC" w:rsidP="00166CBC">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6B154781" w14:textId="77777777" w:rsidR="00166CBC" w:rsidRPr="003019D2" w:rsidRDefault="00166CBC" w:rsidP="00166CBC">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A651CC5" w14:textId="77777777" w:rsidR="00166CBC" w:rsidRPr="003019D2" w:rsidRDefault="00166CBC" w:rsidP="00166CBC">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040D839E" w14:textId="77777777" w:rsidR="00166CBC" w:rsidRPr="005A7108" w:rsidRDefault="00166CBC" w:rsidP="00166CBC">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7EF3E8" w14:textId="77777777" w:rsidR="00166CBC" w:rsidRDefault="00166CBC" w:rsidP="00166CBC">
      <w:pPr>
        <w:pStyle w:val="Heading4"/>
      </w:pPr>
      <w:r>
        <w:t xml:space="preserve">Scenario 1 – </w:t>
      </w:r>
      <w:r>
        <w:rPr>
          <w:u w:val="single"/>
        </w:rPr>
        <w:t>Aquaculture</w:t>
      </w:r>
      <w:r>
        <w:t>:</w:t>
      </w:r>
    </w:p>
    <w:p w14:paraId="425FC4E7" w14:textId="77777777" w:rsidR="00166CBC" w:rsidRPr="007E3E90" w:rsidRDefault="00166CBC" w:rsidP="00166CBC">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6F119F8B" w14:textId="77777777" w:rsidR="00166CBC" w:rsidRPr="007E3E90" w:rsidRDefault="00166CBC" w:rsidP="00166CBC">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1222783B" w14:textId="77777777" w:rsidR="00166CBC" w:rsidRPr="007E3E90" w:rsidRDefault="00166CBC" w:rsidP="00166CBC">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4F6B3617" w14:textId="77777777" w:rsidR="00166CBC" w:rsidRDefault="00166CBC" w:rsidP="00166CBC">
      <w:pPr>
        <w:pStyle w:val="Heading4"/>
      </w:pPr>
      <w:r>
        <w:t xml:space="preserve">Food security quickly declining </w:t>
      </w:r>
    </w:p>
    <w:p w14:paraId="5F06F535" w14:textId="77777777" w:rsidR="00166CBC" w:rsidRPr="00A8696B" w:rsidRDefault="00166CBC" w:rsidP="00166CBC">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https://www.futuredirections.org.au/publication/global-food-and-water-security-in-2050-demographic-change-and-increased-demand/</w:t>
        </w:r>
      </w:hyperlink>
      <w:r w:rsidRPr="00A8696B">
        <w:t>, accessed 8-12-2021]JMK</w:t>
      </w:r>
    </w:p>
    <w:p w14:paraId="28F9DED4" w14:textId="77777777" w:rsidR="00166CBC" w:rsidRPr="00B719D8" w:rsidRDefault="00166CBC" w:rsidP="00166CBC">
      <w:r w:rsidRPr="00B719D8">
        <w:t>*size 2 font is an incredibly long rant about plant-based diets.</w:t>
      </w:r>
    </w:p>
    <w:p w14:paraId="14E62610" w14:textId="77777777" w:rsidR="00166CBC" w:rsidRDefault="00166CBC" w:rsidP="00166CBC">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5C4EEC62" w14:textId="77777777" w:rsidR="00166CBC" w:rsidRPr="00B373D6" w:rsidRDefault="00166CBC" w:rsidP="00166CBC">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5ACF4AC2" w14:textId="77777777" w:rsidR="00166CBC" w:rsidRPr="00B373D6" w:rsidRDefault="00166CBC" w:rsidP="00166CBC">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5D73E88A" w14:textId="77777777" w:rsidR="00166CBC" w:rsidRPr="00B373D6" w:rsidRDefault="00166CBC" w:rsidP="00166CBC">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42ACDDD5" w14:textId="77777777" w:rsidR="00166CBC" w:rsidRPr="00B373D6" w:rsidRDefault="00166CBC" w:rsidP="00166CBC">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C71D33" w14:textId="77777777" w:rsidR="00166CBC" w:rsidRPr="00B373D6" w:rsidRDefault="00166CBC" w:rsidP="00166CBC">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7DB83226" w14:textId="77777777" w:rsidR="00166CBC" w:rsidRPr="00B373D6" w:rsidRDefault="00166CBC" w:rsidP="00166CBC">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1E68C921" w14:textId="77777777" w:rsidR="00166CBC" w:rsidRPr="00B373D6" w:rsidRDefault="00166CBC" w:rsidP="00166CBC">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34F8AB10" w14:textId="77777777" w:rsidR="00166CBC" w:rsidRPr="00B373D6" w:rsidRDefault="00166CBC" w:rsidP="00166CBC">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42C767DE" w14:textId="77777777" w:rsidR="00166CBC" w:rsidRPr="00B373D6" w:rsidRDefault="00166CBC" w:rsidP="00166CBC">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76E88E6E" w14:textId="77777777" w:rsidR="00166CBC" w:rsidRDefault="00166CBC" w:rsidP="00166CBC">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52AD098C" w14:textId="77777777" w:rsidR="00166CBC" w:rsidRDefault="00166CBC" w:rsidP="00166CBC">
      <w:pPr>
        <w:pStyle w:val="Heading4"/>
      </w:pPr>
      <w:r>
        <w:t xml:space="preserve">Food Insecurity goes </w:t>
      </w:r>
      <w:r>
        <w:rPr>
          <w:u w:val="single"/>
        </w:rPr>
        <w:t>nuclear</w:t>
      </w:r>
      <w:r>
        <w:t xml:space="preserve"> – escalates </w:t>
      </w:r>
      <w:r>
        <w:rPr>
          <w:u w:val="single"/>
        </w:rPr>
        <w:t>multiple hotspots</w:t>
      </w:r>
      <w:r>
        <w:t>.</w:t>
      </w:r>
    </w:p>
    <w:p w14:paraId="535415CD" w14:textId="77777777" w:rsidR="00166CBC" w:rsidRPr="00E07505" w:rsidRDefault="00166CBC" w:rsidP="00166CBC">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BD5406C" w14:textId="77777777" w:rsidR="00166CBC" w:rsidRPr="00541660" w:rsidRDefault="00166CBC" w:rsidP="00166CBC">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1F155F1B" w14:textId="77777777" w:rsidR="00166CBC" w:rsidRDefault="00166CBC" w:rsidP="00166CBC">
      <w:pPr>
        <w:pStyle w:val="Heading4"/>
      </w:pPr>
      <w:r>
        <w:t>Marine aquaculture solves extinction.</w:t>
      </w:r>
    </w:p>
    <w:p w14:paraId="11EE498E" w14:textId="77777777" w:rsidR="00166CBC" w:rsidRDefault="00166CBC" w:rsidP="00166CBC">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7D888FA5" w14:textId="77777777" w:rsidR="00166CBC" w:rsidRPr="00050391" w:rsidRDefault="00166CBC" w:rsidP="00166CBC">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7AFB9C95" w14:textId="77777777" w:rsidR="00166CBC" w:rsidRPr="00050391" w:rsidRDefault="00166CBC" w:rsidP="00166CBC">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21B2F2D9" w14:textId="77777777" w:rsidR="00166CBC" w:rsidRPr="00050391" w:rsidRDefault="00166CBC" w:rsidP="00166CBC">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691B25E7" w14:textId="77777777" w:rsidR="00166CBC" w:rsidRPr="00050391" w:rsidRDefault="00166CBC" w:rsidP="00166CBC">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5189FC2A" w14:textId="77777777" w:rsidR="00166CBC" w:rsidRPr="00050391" w:rsidRDefault="00166CBC" w:rsidP="00166CBC">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359BAAA7" w14:textId="77777777" w:rsidR="00166CBC" w:rsidRPr="00050391" w:rsidRDefault="00166CBC" w:rsidP="00166CBC">
      <w:pPr>
        <w:rPr>
          <w:sz w:val="16"/>
        </w:rPr>
      </w:pPr>
      <w:r w:rsidRPr="00050391">
        <w:rPr>
          <w:sz w:val="16"/>
        </w:rPr>
        <w:t>2 Can The Ocean Save Us? It May Have To</w:t>
      </w:r>
    </w:p>
    <w:p w14:paraId="2FEEA8E1" w14:textId="77777777" w:rsidR="00166CBC" w:rsidRPr="00050391" w:rsidRDefault="00166CBC" w:rsidP="00166CBC">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71D17BE7" w14:textId="77777777" w:rsidR="00166CBC" w:rsidRPr="00050391" w:rsidRDefault="00166CBC" w:rsidP="00166CBC">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0C8B47A7" w14:textId="77777777" w:rsidR="00166CBC" w:rsidRPr="00050391" w:rsidRDefault="00166CBC" w:rsidP="00166CBC">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56489986" w14:textId="77777777" w:rsidR="00166CBC" w:rsidRPr="00050391" w:rsidRDefault="00166CBC" w:rsidP="00166CBC">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3A368AF0" w14:textId="77777777" w:rsidR="00166CBC" w:rsidRPr="00050391" w:rsidRDefault="00166CBC" w:rsidP="00166CBC">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597CEA2F" w14:textId="77777777" w:rsidR="00166CBC" w:rsidRPr="00050391" w:rsidRDefault="00166CBC" w:rsidP="00166CBC">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2830F47A" w14:textId="77777777" w:rsidR="00166CBC" w:rsidRPr="00050391" w:rsidRDefault="00166CBC" w:rsidP="00166CBC">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791FB945" w14:textId="77777777" w:rsidR="00166CBC" w:rsidRPr="00050391" w:rsidRDefault="00166CBC" w:rsidP="00166CBC">
      <w:pPr>
        <w:rPr>
          <w:sz w:val="16"/>
        </w:rPr>
      </w:pPr>
      <w:r w:rsidRPr="00050391">
        <w:rPr>
          <w:sz w:val="16"/>
        </w:rPr>
        <w:t>4 Moving Food Production to the Sea</w:t>
      </w:r>
    </w:p>
    <w:p w14:paraId="51137ACF" w14:textId="77777777" w:rsidR="00166CBC" w:rsidRPr="00050391" w:rsidRDefault="00166CBC" w:rsidP="00166CBC">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735B4305" w14:textId="77777777" w:rsidR="00166CBC" w:rsidRPr="00541660" w:rsidRDefault="00166CBC" w:rsidP="00166CBC">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0F26FF45" w14:textId="77777777" w:rsidR="00166CBC" w:rsidRDefault="00166CBC" w:rsidP="00166CBC">
      <w:pPr>
        <w:pStyle w:val="Heading4"/>
      </w:pPr>
      <w:r>
        <w:t xml:space="preserve">Scenario 2 – </w:t>
      </w:r>
      <w:r>
        <w:rPr>
          <w:u w:val="single"/>
        </w:rPr>
        <w:t>Neutrinos</w:t>
      </w:r>
      <w:r>
        <w:t>:</w:t>
      </w:r>
    </w:p>
    <w:p w14:paraId="661BB5A2" w14:textId="77777777" w:rsidR="00166CBC" w:rsidRDefault="00166CBC" w:rsidP="00166CBC">
      <w:pPr>
        <w:pStyle w:val="Heading4"/>
      </w:pPr>
      <w:r>
        <w:t xml:space="preserve">Earth’s Atmosphere </w:t>
      </w:r>
      <w:r>
        <w:rPr>
          <w:u w:val="single"/>
        </w:rPr>
        <w:t>limits</w:t>
      </w:r>
      <w:r>
        <w:t xml:space="preserve"> Neutrino Research – only a Moon base </w:t>
      </w:r>
      <w:r>
        <w:rPr>
          <w:u w:val="single"/>
        </w:rPr>
        <w:t>solves</w:t>
      </w:r>
      <w:r>
        <w:t>.</w:t>
      </w:r>
    </w:p>
    <w:p w14:paraId="5013F133" w14:textId="77777777" w:rsidR="00166CBC" w:rsidRPr="006A60D6" w:rsidRDefault="00166CBC" w:rsidP="00166CB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28191A34" w14:textId="77777777" w:rsidR="00166CBC" w:rsidRPr="00AA4515" w:rsidRDefault="00166CBC" w:rsidP="00166CB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660F0D36" w14:textId="77777777" w:rsidR="00166CBC" w:rsidRDefault="00166CBC" w:rsidP="00166CBC">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A7AC607" w14:textId="77777777" w:rsidR="00166CBC" w:rsidRPr="00DB6AEB" w:rsidRDefault="00166CBC" w:rsidP="00166CB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30BEC96" w14:textId="77777777" w:rsidR="00166CBC" w:rsidRPr="001E4C04" w:rsidRDefault="00166CBC" w:rsidP="00166CB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B7FFB7F" w14:textId="77777777" w:rsidR="00166CBC" w:rsidRPr="00F06024" w:rsidRDefault="00166CBC" w:rsidP="00166CBC">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7E04281" w14:textId="77777777" w:rsidR="00166CBC" w:rsidRPr="00D06C87" w:rsidRDefault="00166CBC" w:rsidP="00166CBC">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1643A15" w14:textId="77777777" w:rsidR="00166CBC" w:rsidRPr="00055F1F" w:rsidRDefault="00166CBC" w:rsidP="00166CBC">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2D153523" w14:textId="77777777" w:rsidR="00166CBC" w:rsidRDefault="00166CBC" w:rsidP="00166CBC">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1A43CC9" w14:textId="77777777" w:rsidR="00166CBC" w:rsidRPr="00FD7DA6" w:rsidRDefault="00166CBC" w:rsidP="00166CBC">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34BC9FEC" w14:textId="77777777" w:rsidR="00166CBC" w:rsidRPr="00536760" w:rsidRDefault="00166CBC" w:rsidP="00166CBC">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434FDD5A" w14:textId="77777777" w:rsidR="00166CBC" w:rsidRPr="00216297" w:rsidRDefault="00166CBC" w:rsidP="00166CB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9EB9D82" w14:textId="77777777" w:rsidR="00166CBC" w:rsidRPr="00FE2CDD" w:rsidRDefault="00166CBC" w:rsidP="00166CBC">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F067FF0" w14:textId="77777777" w:rsidR="00166CBC" w:rsidRDefault="00166CBC" w:rsidP="00166CBC">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0766C965" w14:textId="77777777" w:rsidR="00166CBC" w:rsidRPr="00192BF4" w:rsidRDefault="00166CBC" w:rsidP="00166CBC">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0D48EBCE" w14:textId="77777777" w:rsidR="00166CBC" w:rsidRPr="00E7547B" w:rsidRDefault="00166CBC" w:rsidP="00166CBC">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21" w:history="1">
        <w:r w:rsidRPr="00E7547B">
          <w:rPr>
            <w:rStyle w:val="Hyperlink"/>
            <w:sz w:val="16"/>
            <w:szCs w:val="16"/>
          </w:rPr>
          <w:t>https://www.theguardian.com/world/2018/jan/14/nuclear-deterrence-myth-lethal-david-barash</w:t>
        </w:r>
      </w:hyperlink>
      <w:r w:rsidRPr="00E7547B">
        <w:rPr>
          <w:sz w:val="16"/>
          <w:szCs w:val="16"/>
        </w:rPr>
        <w:t>)</w:t>
      </w:r>
    </w:p>
    <w:p w14:paraId="418AF595" w14:textId="77777777" w:rsidR="00166CBC" w:rsidRDefault="00166CBC" w:rsidP="00166CBC">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0AFC345E" w14:textId="77777777" w:rsidR="00166CBC" w:rsidRPr="00927BDF" w:rsidRDefault="00166CBC" w:rsidP="00166CBC">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0871A875" w14:textId="77777777" w:rsidR="00166CBC" w:rsidRPr="002365EE" w:rsidRDefault="00166CBC" w:rsidP="00166CBC">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0B584DB9" w14:textId="77777777" w:rsidR="00166CBC" w:rsidRPr="003D1D74" w:rsidRDefault="00166CBC" w:rsidP="00166CBC">
      <w:pPr>
        <w:rPr>
          <w:rStyle w:val="StyleUnderline"/>
          <w:u w:val="no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first-strike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counter-intuitive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r w:rsidRPr="005C2CD7">
        <w:rPr>
          <w:rStyle w:val="Emphasis"/>
          <w:highlight w:val="cyan"/>
        </w:rPr>
        <w:t>glitches</w:t>
      </w:r>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55AA750B" w14:textId="77777777" w:rsidR="00166CBC" w:rsidRPr="00635356" w:rsidRDefault="00166CBC" w:rsidP="00166CB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75901BD" w14:textId="77777777" w:rsidR="00166CBC" w:rsidRPr="001E0213" w:rsidRDefault="00166CBC" w:rsidP="00166CB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3"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4"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7CA461DC" w14:textId="77777777" w:rsidR="00166CBC" w:rsidRDefault="00166CBC" w:rsidP="00166CBC">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5"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6"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7"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494B2996" w14:textId="77777777" w:rsidR="00166CBC" w:rsidRDefault="00166CBC" w:rsidP="00166CBC">
      <w:pPr>
        <w:pStyle w:val="Heading3"/>
      </w:pPr>
      <w:r>
        <w:t>1AC: Framing</w:t>
      </w:r>
    </w:p>
    <w:p w14:paraId="63873249" w14:textId="77777777" w:rsidR="00166CBC" w:rsidRPr="00807451" w:rsidRDefault="00166CBC" w:rsidP="00166CBC">
      <w:pPr>
        <w:pStyle w:val="Heading4"/>
        <w:rPr>
          <w:bCs w:val="0"/>
        </w:rPr>
      </w:pPr>
      <w:r w:rsidRPr="00807451">
        <w:t>The standard is maximizing expected wellbeing.</w:t>
      </w:r>
    </w:p>
    <w:p w14:paraId="54A10FB5" w14:textId="77777777" w:rsidR="00166CBC" w:rsidRPr="00807451" w:rsidRDefault="00166CBC" w:rsidP="00166CBC">
      <w:pPr>
        <w:pStyle w:val="Heading4"/>
        <w:rPr>
          <w:bCs w:val="0"/>
        </w:rPr>
      </w:pPr>
      <w:r w:rsidRPr="00807451">
        <w:t>Prefer:</w:t>
      </w:r>
    </w:p>
    <w:p w14:paraId="41E46FE4" w14:textId="77777777" w:rsidR="00166CBC" w:rsidRPr="00807451" w:rsidRDefault="00166CBC" w:rsidP="00166CBC">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3A54F33" w14:textId="77777777" w:rsidR="00166CBC" w:rsidRDefault="00166CBC" w:rsidP="00166CBC">
      <w:pPr>
        <w:rPr>
          <w:rStyle w:val="Style13ptBold"/>
        </w:rPr>
      </w:pPr>
      <w:r>
        <w:rPr>
          <w:rStyle w:val="Style13ptBold"/>
        </w:rPr>
        <w:t>Blum et al. 18</w:t>
      </w:r>
    </w:p>
    <w:p w14:paraId="27DC3B69" w14:textId="77777777" w:rsidR="00166CBC" w:rsidRDefault="00166CBC" w:rsidP="00166CBC">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46DFE391" w14:textId="77777777" w:rsidR="00166CBC" w:rsidRDefault="00166CBC" w:rsidP="00166CBC">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62A02E7"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4BE077F" w14:textId="77777777" w:rsidR="00166CBC" w:rsidRDefault="00166CBC" w:rsidP="00166CBC">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9327A16"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0828DDC"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B891208"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4857FF8" w14:textId="77777777" w:rsidR="00166CBC" w:rsidRDefault="00166CBC" w:rsidP="00166CBC">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608B165F"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2E62D14"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35C27B0"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16B7974"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31F5445"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3F0C1F2"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Desire and reward centers </w:t>
      </w:r>
    </w:p>
    <w:p w14:paraId="164D2387"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858B7E1"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E92F14D"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6400A84"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1E02107"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E5FD06C"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CCBB8FE"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E84C88E"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70ED915"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FAAF13E" w14:textId="77777777" w:rsidR="00166CBC" w:rsidRDefault="00166CBC" w:rsidP="00166CBC">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F59FAE" w14:textId="77777777" w:rsidR="00166CBC" w:rsidRPr="00727D67" w:rsidRDefault="00166CBC" w:rsidP="00166CBC">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08FBACFB" w14:textId="77777777" w:rsidR="00166CBC" w:rsidRPr="00F601E6" w:rsidRDefault="00166CBC" w:rsidP="00166CBC">
      <w:pPr>
        <w:pStyle w:val="Heading4"/>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3A27D9B3" w14:textId="77777777" w:rsidR="00166CBC" w:rsidRPr="00F601E6" w:rsidRDefault="00166CBC" w:rsidP="00166CBC"/>
    <w:p w14:paraId="2F50A2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3456761">
    <w:abstractNumId w:val="10"/>
  </w:num>
  <w:num w:numId="2" w16cid:durableId="539561656">
    <w:abstractNumId w:val="8"/>
  </w:num>
  <w:num w:numId="3" w16cid:durableId="1733691906">
    <w:abstractNumId w:val="7"/>
  </w:num>
  <w:num w:numId="4" w16cid:durableId="1265188807">
    <w:abstractNumId w:val="6"/>
  </w:num>
  <w:num w:numId="5" w16cid:durableId="177042385">
    <w:abstractNumId w:val="5"/>
  </w:num>
  <w:num w:numId="6" w16cid:durableId="418866383">
    <w:abstractNumId w:val="9"/>
  </w:num>
  <w:num w:numId="7" w16cid:durableId="1692561475">
    <w:abstractNumId w:val="4"/>
  </w:num>
  <w:num w:numId="8" w16cid:durableId="1761439898">
    <w:abstractNumId w:val="3"/>
  </w:num>
  <w:num w:numId="9" w16cid:durableId="1890997418">
    <w:abstractNumId w:val="2"/>
  </w:num>
  <w:num w:numId="10" w16cid:durableId="720641060">
    <w:abstractNumId w:val="1"/>
  </w:num>
  <w:num w:numId="11" w16cid:durableId="144593093">
    <w:abstractNumId w:val="0"/>
  </w:num>
  <w:num w:numId="12" w16cid:durableId="590966298">
    <w:abstractNumId w:val="11"/>
  </w:num>
  <w:num w:numId="13" w16cid:durableId="736636886">
    <w:abstractNumId w:val="12"/>
  </w:num>
  <w:num w:numId="14" w16cid:durableId="1699118774">
    <w:abstractNumId w:val="13"/>
  </w:num>
  <w:num w:numId="15" w16cid:durableId="1891333140">
    <w:abstractNumId w:val="15"/>
  </w:num>
  <w:num w:numId="16" w16cid:durableId="1988315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56E6"/>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C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6E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F1984"/>
  <w14:defaultImageDpi w14:val="300"/>
  <w15:docId w15:val="{26BCFBB9-CEB9-4141-B406-0B5F58226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6C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56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56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56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F56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56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6E6"/>
  </w:style>
  <w:style w:type="character" w:customStyle="1" w:styleId="Heading1Char">
    <w:name w:val="Heading 1 Char"/>
    <w:aliases w:val="Pocket Char"/>
    <w:basedOn w:val="DefaultParagraphFont"/>
    <w:link w:val="Heading1"/>
    <w:uiPriority w:val="9"/>
    <w:rsid w:val="005F56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56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56E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F56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F56E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F56E6"/>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5F56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56E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F56E6"/>
    <w:rPr>
      <w:color w:val="auto"/>
      <w:u w:val="none"/>
    </w:rPr>
  </w:style>
  <w:style w:type="paragraph" w:styleId="DocumentMap">
    <w:name w:val="Document Map"/>
    <w:basedOn w:val="Normal"/>
    <w:link w:val="DocumentMapChar"/>
    <w:uiPriority w:val="99"/>
    <w:semiHidden/>
    <w:unhideWhenUsed/>
    <w:rsid w:val="005F56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6E6"/>
    <w:rPr>
      <w:rFonts w:ascii="Lucida Grande" w:hAnsi="Lucida Grande" w:cs="Lucida Grande"/>
    </w:rPr>
  </w:style>
  <w:style w:type="paragraph" w:customStyle="1" w:styleId="Emphasis1">
    <w:name w:val="Emphasis1"/>
    <w:basedOn w:val="Normal"/>
    <w:link w:val="Emphasis"/>
    <w:autoRedefine/>
    <w:uiPriority w:val="20"/>
    <w:qFormat/>
    <w:rsid w:val="00166CB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66CBC"/>
    <w:rPr>
      <w:color w:val="605E5C"/>
      <w:shd w:val="clear" w:color="auto" w:fill="E1DFDD"/>
    </w:rPr>
  </w:style>
  <w:style w:type="paragraph" w:customStyle="1" w:styleId="textbold">
    <w:name w:val="text bold"/>
    <w:basedOn w:val="Normal"/>
    <w:autoRedefine/>
    <w:uiPriority w:val="7"/>
    <w:qFormat/>
    <w:rsid w:val="00166CB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66CB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66CB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66C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166CB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66CBC"/>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166C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66CB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theguardian.com/world/2018/jan/14/nuclear-deterrence-myth-lethal-david-barash"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www.nucleardarkness.org/"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psr.org/"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35959</Words>
  <Characters>204971</Characters>
  <Application>Microsoft Office Word</Application>
  <DocSecurity>0</DocSecurity>
  <Lines>1708</Lines>
  <Paragraphs>480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240450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2022-03-26T20:33:00Z</dcterms:created>
  <dcterms:modified xsi:type="dcterms:W3CDTF">2022-03-26T20:33:00Z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