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D2AD" w14:textId="77777777" w:rsidR="00D47579" w:rsidRPr="00C125F4" w:rsidRDefault="00D47579" w:rsidP="00C125F4"/>
    <w:p w14:paraId="2D45430A" w14:textId="2996BF11" w:rsidR="004A6360" w:rsidRPr="000328DE" w:rsidRDefault="004A6360" w:rsidP="004A6360">
      <w:pPr>
        <w:pStyle w:val="Heading2"/>
        <w:rPr>
          <w:rFonts w:cs="Calibri"/>
        </w:rPr>
      </w:pPr>
      <w:r w:rsidRPr="000328DE">
        <w:rPr>
          <w:rFonts w:cs="Calibri"/>
        </w:rPr>
        <w:lastRenderedPageBreak/>
        <w:t>OFF</w:t>
      </w:r>
    </w:p>
    <w:p w14:paraId="5529914D" w14:textId="77777777" w:rsidR="004A6360" w:rsidRPr="000328DE" w:rsidRDefault="004A6360" w:rsidP="004A6360">
      <w:pPr>
        <w:pStyle w:val="Heading3"/>
        <w:rPr>
          <w:rFonts w:cs="Calibri"/>
        </w:rPr>
      </w:pPr>
      <w:r w:rsidRPr="000328DE">
        <w:rPr>
          <w:rFonts w:cs="Calibri"/>
        </w:rPr>
        <w:lastRenderedPageBreak/>
        <w:t xml:space="preserve">1NC – T </w:t>
      </w:r>
    </w:p>
    <w:p w14:paraId="7A7016A5" w14:textId="77777777" w:rsidR="0013581F" w:rsidRDefault="0013581F" w:rsidP="0013581F">
      <w:pPr>
        <w:pStyle w:val="Heading4"/>
      </w:pPr>
      <w:r>
        <w:t>Interpretation: The affirmative must stick to the full range of their specified intellectual property regulation.</w:t>
      </w:r>
    </w:p>
    <w:p w14:paraId="39219E5E" w14:textId="217D413C" w:rsidR="0013581F" w:rsidRDefault="0013581F" w:rsidP="0013581F">
      <w:pPr>
        <w:pStyle w:val="Heading4"/>
      </w:pPr>
      <w:r>
        <w:t>Violation: They read patent thicketing, which is a special type of patents.</w:t>
      </w:r>
    </w:p>
    <w:p w14:paraId="59C561AD" w14:textId="6FA430C1" w:rsidR="0013581F" w:rsidRDefault="0013581F" w:rsidP="0013581F">
      <w:pPr>
        <w:pStyle w:val="Heading4"/>
      </w:pPr>
      <w:r>
        <w:t>1] Limits, there’s a finite number of IP laws like patents, exclusivity, trade secrets, but if you can specify one use of each then the number of affs blow up because they can use any solvency advocate that says the word patent</w:t>
      </w:r>
    </w:p>
    <w:p w14:paraId="04410869" w14:textId="2DA0D2B2" w:rsidR="0013581F" w:rsidRDefault="0013581F" w:rsidP="0013581F">
      <w:pPr>
        <w:pStyle w:val="Heading4"/>
      </w:pPr>
      <w:r>
        <w:t>2] Ground, this arbitrarily brackets off neg ground because if I read a patents generic you can always say that it doesn’t apply. This model disincentivizes ultra-narrow affs. If this happens in round it’s proof of abuse</w:t>
      </w:r>
    </w:p>
    <w:p w14:paraId="4DEC6076" w14:textId="77777777" w:rsidR="0013581F" w:rsidRDefault="0013581F" w:rsidP="0013581F">
      <w:pPr>
        <w:pStyle w:val="Heading4"/>
      </w:pPr>
      <w:r>
        <w:t>3] TVA, just read your aff but with only patents instead of one and done</w:t>
      </w:r>
    </w:p>
    <w:p w14:paraId="003D712D" w14:textId="77777777" w:rsidR="0013581F" w:rsidRPr="000628C4" w:rsidRDefault="0013581F" w:rsidP="0013581F">
      <w:pPr>
        <w:pStyle w:val="Heading4"/>
        <w:rPr>
          <w:rFonts w:cs="Arial"/>
        </w:rPr>
      </w:pPr>
      <w:r w:rsidRPr="000628C4">
        <w:rPr>
          <w:rFonts w:cs="Arial"/>
        </w:rPr>
        <w:t>Competing interps – you can’t be reasonably topical – it’s a binary question</w:t>
      </w:r>
    </w:p>
    <w:p w14:paraId="317921A2" w14:textId="77777777" w:rsidR="0013581F" w:rsidRPr="000628C4" w:rsidRDefault="0013581F" w:rsidP="0013581F">
      <w:pPr>
        <w:pStyle w:val="Heading4"/>
        <w:rPr>
          <w:rFonts w:cs="Arial"/>
        </w:rPr>
      </w:pPr>
      <w:r w:rsidRPr="000628C4">
        <w:rPr>
          <w:rFonts w:cs="Arial"/>
        </w:rPr>
        <w:t xml:space="preserve">No RVIs – T’s a stock issue, not a reason you should win </w:t>
      </w:r>
    </w:p>
    <w:p w14:paraId="5FDE9555" w14:textId="77777777" w:rsidR="0013581F" w:rsidRPr="000628C4" w:rsidRDefault="0013581F" w:rsidP="0013581F">
      <w:pPr>
        <w:pStyle w:val="Heading4"/>
        <w:rPr>
          <w:rFonts w:cs="Arial"/>
        </w:rPr>
      </w:pPr>
      <w:r w:rsidRPr="000628C4">
        <w:rPr>
          <w:rFonts w:cs="Arial"/>
        </w:rPr>
        <w:t>Reject the team – anything else servers out of plan text which is a voter because it moots the NC</w:t>
      </w:r>
    </w:p>
    <w:p w14:paraId="68407361" w14:textId="77777777" w:rsidR="004A6360" w:rsidRPr="000328DE" w:rsidRDefault="004A6360" w:rsidP="004A6360">
      <w:pPr>
        <w:rPr>
          <w:rFonts w:cs="Calibri"/>
        </w:rPr>
      </w:pPr>
    </w:p>
    <w:p w14:paraId="28F7A106" w14:textId="6BC9D8AB" w:rsidR="009A0D62" w:rsidRDefault="009A0D62" w:rsidP="009A0D62">
      <w:pPr>
        <w:pStyle w:val="Heading2"/>
        <w:rPr>
          <w:rFonts w:eastAsia="Times New Roman"/>
        </w:rPr>
      </w:pPr>
      <w:r>
        <w:rPr>
          <w:rFonts w:eastAsia="Times New Roman"/>
        </w:rPr>
        <w:lastRenderedPageBreak/>
        <w:t>Off</w:t>
      </w:r>
    </w:p>
    <w:p w14:paraId="6DFF5BAB" w14:textId="77777777" w:rsidR="004A6360" w:rsidRPr="009266AD" w:rsidRDefault="004A6360" w:rsidP="004A6360">
      <w:pPr>
        <w:pStyle w:val="Heading3"/>
      </w:pPr>
      <w:r>
        <w:lastRenderedPageBreak/>
        <w:t>OFF</w:t>
      </w:r>
    </w:p>
    <w:p w14:paraId="786C9971" w14:textId="2097A902" w:rsidR="004A6360" w:rsidRDefault="004A6360" w:rsidP="004A6360">
      <w:pPr>
        <w:pStyle w:val="Heading4"/>
        <w:shd w:val="clear" w:color="auto" w:fill="FFFFFF"/>
        <w:spacing w:before="0" w:line="264" w:lineRule="atLeast"/>
        <w:rPr>
          <w:rFonts w:ascii="Open Sans" w:eastAsia="Times New Roman" w:hAnsi="Open Sans" w:cs="Open Sans"/>
          <w:color w:val="000000"/>
          <w:sz w:val="21"/>
          <w:szCs w:val="21"/>
        </w:rPr>
      </w:pPr>
      <w:r>
        <w:t xml:space="preserve">CP: </w:t>
      </w:r>
      <w:r w:rsidRPr="009266AD">
        <w:rPr>
          <w:rFonts w:ascii="Open Sans" w:eastAsia="Times New Roman" w:hAnsi="Open Sans" w:cs="Open Sans"/>
          <w:color w:val="000000"/>
          <w:sz w:val="21"/>
          <w:szCs w:val="21"/>
        </w:rPr>
        <w:t>Member nations of the World Trade Organization should enter into a prior and binding consultation with the World Health Organization over</w:t>
      </w:r>
      <w:r w:rsidR="0013581F">
        <w:rPr>
          <w:rFonts w:ascii="Open Sans" w:eastAsia="Times New Roman" w:hAnsi="Open Sans" w:cs="Open Sans"/>
          <w:color w:val="000000"/>
          <w:sz w:val="21"/>
          <w:szCs w:val="21"/>
        </w:rPr>
        <w:t xml:space="preserve"> providing drug innovators a single period of exclusivity for their drug.</w:t>
      </w:r>
      <w:r w:rsidRPr="009266AD">
        <w:rPr>
          <w:rFonts w:ascii="Open Sans" w:eastAsia="Times New Roman" w:hAnsi="Open Sans" w:cs="Open Sans"/>
          <w:color w:val="000000"/>
          <w:sz w:val="21"/>
          <w:szCs w:val="21"/>
        </w:rPr>
        <w:t xml:space="preserve"> Member nations will support the proposal and adopt the results of consultation.</w:t>
      </w:r>
    </w:p>
    <w:p w14:paraId="79477AA9" w14:textId="77777777" w:rsidR="004A6360" w:rsidRPr="009266AD" w:rsidRDefault="004A6360" w:rsidP="004A6360"/>
    <w:p w14:paraId="463993EA" w14:textId="77777777" w:rsidR="004A6360" w:rsidRPr="00624CF9" w:rsidRDefault="004A6360" w:rsidP="004A6360">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29EC4EDA" w14:textId="77777777" w:rsidR="004A6360" w:rsidRPr="00F97FE0" w:rsidRDefault="004A6360" w:rsidP="004A6360">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6999C8AD" w14:textId="77777777" w:rsidR="004A6360" w:rsidRPr="00253762" w:rsidRDefault="00BB3606" w:rsidP="004A6360">
      <w:hyperlink r:id="rId6" w:history="1">
        <w:r w:rsidR="004A6360" w:rsidRPr="00E97EF2">
          <w:rPr>
            <w:rStyle w:val="Hyperlink"/>
          </w:rPr>
          <w:t>https://law.unimelb.edu.au/__data/assets/pdf_file/0007/1681117/Rimmer.pdf</w:t>
        </w:r>
      </w:hyperlink>
      <w:r w:rsidR="004A6360">
        <w:t xml:space="preserve"> (</w:t>
      </w:r>
      <w:r w:rsidR="004A6360" w:rsidRPr="00F97FE0">
        <w:t>BA (Hons), LLB (Hons) (Australian National University), PhD (New South Wales); Lecturer at ACIPA, the Faculty of Law, The Australian National University</w:t>
      </w:r>
      <w:r w:rsidR="004A6360">
        <w:t xml:space="preserve">)//SidK + Elmer </w:t>
      </w:r>
    </w:p>
    <w:p w14:paraId="4BB479A0" w14:textId="77777777" w:rsidR="004A6360" w:rsidRDefault="004A6360" w:rsidP="004A6360">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sz w:val="24"/>
        </w:rPr>
        <w:t>aspirational statements</w:t>
      </w:r>
      <w:r w:rsidRPr="002548A8">
        <w:rPr>
          <w:u w:val="single"/>
        </w:rPr>
        <w:t xml:space="preserve"> about patent law and access to essential medicines. Arguably, though, the organisation</w:t>
      </w:r>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The agency did</w:t>
      </w:r>
      <w:r w:rsidRPr="002548A8">
        <w:rPr>
          <w:b/>
          <w:bCs/>
          <w:u w:val="single"/>
        </w:rPr>
        <w:t xml:space="preserve"> </w:t>
      </w:r>
      <w:r w:rsidRPr="002548A8">
        <w:rPr>
          <w:rStyle w:val="StyleUnderline"/>
          <w:sz w:val="24"/>
        </w:rPr>
        <w:t>not</w:t>
      </w:r>
      <w:r w:rsidRPr="002548A8">
        <w:rPr>
          <w:b/>
          <w:bCs/>
          <w:u w:val="single"/>
        </w:rPr>
        <w:t xml:space="preserve"> </w:t>
      </w:r>
      <w:r w:rsidRPr="002548A8">
        <w:rPr>
          <w:rStyle w:val="StyleUnderline"/>
          <w:sz w:val="24"/>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 xml:space="preserve">Klaus Stöhr conceded: ‘At a certain point of time you have to give way for competitive pharmaceutical companies’.210 </w:t>
      </w:r>
      <w:r w:rsidRPr="00D93FBE">
        <w:rPr>
          <w:rStyle w:val="StyleUnderline"/>
          <w:sz w:val="24"/>
          <w:highlight w:val="green"/>
        </w:rPr>
        <w:t>On a policy front, the WHO remained deferential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sz w:val="24"/>
          <w:highlight w:val="green"/>
        </w:rPr>
        <w:t>unwilling to take on more than a spectator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organisation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high ranking officials from the </w:t>
      </w:r>
      <w:r w:rsidRPr="002548A8">
        <w:rPr>
          <w:sz w:val="16"/>
        </w:rPr>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the 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sz w:val="24"/>
          <w:highlight w:val="green"/>
        </w:rPr>
        <w:t>needs</w:t>
      </w:r>
      <w:r w:rsidRPr="00D93FBE">
        <w:rPr>
          <w:b/>
          <w:bCs/>
          <w:highlight w:val="green"/>
          <w:u w:val="single"/>
        </w:rPr>
        <w:t xml:space="preserve"> </w:t>
      </w:r>
      <w:r w:rsidRPr="00D93FBE">
        <w:rPr>
          <w:rStyle w:val="StyleUnderline"/>
          <w:sz w:val="24"/>
          <w:highlight w:val="green"/>
        </w:rPr>
        <w:t>to</w:t>
      </w:r>
      <w:r w:rsidRPr="00D93FBE">
        <w:rPr>
          <w:b/>
          <w:bCs/>
          <w:highlight w:val="green"/>
          <w:u w:val="single"/>
        </w:rPr>
        <w:t xml:space="preserve"> </w:t>
      </w:r>
      <w:r w:rsidRPr="00D93FBE">
        <w:rPr>
          <w:rStyle w:val="StyleUnderline"/>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w:t>
      </w:r>
      <w:r w:rsidRPr="00F97FE0">
        <w:rPr>
          <w:sz w:val="16"/>
        </w:rPr>
        <w:lastRenderedPageBreak/>
        <w:t xml:space="preserve">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w:t>
      </w:r>
      <w:r w:rsidRPr="00F97FE0">
        <w:rPr>
          <w:sz w:val="16"/>
        </w:rPr>
        <w:lastRenderedPageBreak/>
        <w:t xml:space="preserve">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5AAD4BA" w14:textId="77777777" w:rsidR="004A6360" w:rsidRDefault="004A6360" w:rsidP="004A6360">
      <w:pPr>
        <w:pStyle w:val="Heading4"/>
      </w:pPr>
      <w:r>
        <w:t>WHO Cred key to Global Right to Health – medicine access is critical.</w:t>
      </w:r>
    </w:p>
    <w:p w14:paraId="65AFC919" w14:textId="77777777" w:rsidR="004A6360" w:rsidRDefault="004A6360" w:rsidP="004A6360">
      <w:pPr>
        <w:pStyle w:val="ListParagraph"/>
        <w:numPr>
          <w:ilvl w:val="0"/>
          <w:numId w:val="18"/>
        </w:numPr>
      </w:pPr>
      <w:r>
        <w:t>Note the Bottom Paragraph is at the bottom of the PDF – I put a paragraph break to indicate it as such – no words are missing.</w:t>
      </w:r>
    </w:p>
    <w:p w14:paraId="23C2A2A5" w14:textId="77777777" w:rsidR="004A6360" w:rsidRPr="00146FCD" w:rsidRDefault="004A6360" w:rsidP="004A6360">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7CE65041" w14:textId="77777777" w:rsidR="004A6360" w:rsidRPr="00D93FBE" w:rsidRDefault="004A6360" w:rsidP="004A6360">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reinvigorate the advocacy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w:t>
      </w:r>
      <w:r w:rsidRPr="002548A8">
        <w:rPr>
          <w:u w:val="single"/>
        </w:rPr>
        <w:lastRenderedPageBreak/>
        <w:t xml:space="preserve">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AA1D649" w14:textId="77777777" w:rsidR="004A6360" w:rsidRDefault="004A6360" w:rsidP="004A6360">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1DA66DFC" w14:textId="77777777" w:rsidR="004A6360" w:rsidRDefault="004A6360" w:rsidP="004A6360">
      <w:pPr>
        <w:pStyle w:val="Heading4"/>
      </w:pPr>
      <w:r>
        <w:t xml:space="preserve">Right to Health solves </w:t>
      </w:r>
      <w:r>
        <w:rPr>
          <w:u w:val="single"/>
        </w:rPr>
        <w:t>Nationalist Populism</w:t>
      </w:r>
      <w:r>
        <w:t>.</w:t>
      </w:r>
    </w:p>
    <w:p w14:paraId="14D6309F" w14:textId="77777777" w:rsidR="004A6360" w:rsidRPr="00D93FBE" w:rsidRDefault="004A6360" w:rsidP="004A6360">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813EF97" w14:textId="77777777" w:rsidR="004A6360" w:rsidRPr="00D93FBE" w:rsidRDefault="004A6360" w:rsidP="004A6360">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w:t>
      </w:r>
      <w:r w:rsidRPr="00D93FBE">
        <w:rPr>
          <w:sz w:val="16"/>
        </w:rPr>
        <w:lastRenderedPageBreak/>
        <w:t>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sz w:val="24"/>
          <w:highlight w:val="green"/>
        </w:rPr>
        <w:t>nations are</w:t>
      </w:r>
      <w:r w:rsidRPr="00D93FBE">
        <w:rPr>
          <w:rStyle w:val="StyleUnderline"/>
          <w:sz w:val="24"/>
        </w:rPr>
        <w:t xml:space="preserve"> indeed </w:t>
      </w:r>
      <w:r w:rsidRPr="00D93FBE">
        <w:rPr>
          <w:rStyle w:val="StyleUnderline"/>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sz w:val="24"/>
          <w:highlight w:val="green"/>
        </w:rPr>
        <w:t>resistance of</w:t>
      </w:r>
      <w:r w:rsidRPr="00D93FBE">
        <w:rPr>
          <w:rStyle w:val="StyleUnderline"/>
          <w:sz w:val="24"/>
        </w:rPr>
        <w:t xml:space="preserve"> the </w:t>
      </w:r>
      <w:r w:rsidRPr="00D93FBE">
        <w:rPr>
          <w:rStyle w:val="StyleUnderline"/>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r w:rsidRPr="00D93FBE">
        <w:rPr>
          <w:rStyle w:val="Emphasis"/>
          <w:sz w:val="24"/>
        </w:rPr>
        <w:t>endeavor</w:t>
      </w:r>
      <w:r w:rsidRPr="00D93FBE">
        <w:rPr>
          <w:sz w:val="16"/>
        </w:rPr>
        <w:t>.</w:t>
      </w:r>
    </w:p>
    <w:p w14:paraId="2FDB7E06" w14:textId="77777777" w:rsidR="004A6360" w:rsidRDefault="004A6360" w:rsidP="004A6360">
      <w:pPr>
        <w:pStyle w:val="Heading4"/>
      </w:pPr>
      <w:r>
        <w:t xml:space="preserve">Populism is an </w:t>
      </w:r>
      <w:r>
        <w:rPr>
          <w:u w:val="single"/>
        </w:rPr>
        <w:t>existential threat</w:t>
      </w:r>
      <w:r>
        <w:t>.</w:t>
      </w:r>
    </w:p>
    <w:p w14:paraId="127E83EC" w14:textId="77777777" w:rsidR="004A6360" w:rsidRPr="00D93FBE" w:rsidRDefault="004A6360" w:rsidP="004A6360">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A97C31D" w14:textId="77777777" w:rsidR="004A6360" w:rsidRPr="00173996" w:rsidRDefault="004A6360" w:rsidP="004A6360">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fact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w:t>
      </w:r>
      <w:r w:rsidRPr="00D93FBE">
        <w:rPr>
          <w:sz w:val="16"/>
        </w:rPr>
        <w:lastRenderedPageBreak/>
        <w:t xml:space="preserve">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3989FF39" w14:textId="753B87AB" w:rsidR="004A6360" w:rsidRDefault="004A6360" w:rsidP="004A6360"/>
    <w:p w14:paraId="704E8BAB" w14:textId="77777777" w:rsidR="004A6360" w:rsidRPr="000328DE" w:rsidRDefault="004A6360" w:rsidP="004A6360">
      <w:pPr>
        <w:pStyle w:val="Heading2"/>
        <w:rPr>
          <w:rFonts w:cs="Calibri"/>
        </w:rPr>
      </w:pPr>
      <w:r w:rsidRPr="000328DE">
        <w:rPr>
          <w:rFonts w:cs="Calibri"/>
        </w:rPr>
        <w:lastRenderedPageBreak/>
        <w:t>Case</w:t>
      </w:r>
    </w:p>
    <w:p w14:paraId="732A06A4" w14:textId="77777777" w:rsidR="00CB1E75" w:rsidRPr="000328DE" w:rsidRDefault="00CB1E75" w:rsidP="00CB1E75">
      <w:pPr>
        <w:pStyle w:val="Heading3"/>
        <w:rPr>
          <w:rFonts w:cs="Calibri"/>
        </w:rPr>
      </w:pPr>
      <w:r w:rsidRPr="000328DE">
        <w:rPr>
          <w:rFonts w:cs="Calibri"/>
        </w:rPr>
        <w:lastRenderedPageBreak/>
        <w:t>AT: Inherency</w:t>
      </w:r>
    </w:p>
    <w:p w14:paraId="2E4DA4DC" w14:textId="77777777" w:rsidR="00CB1E75" w:rsidRDefault="00CB1E75" w:rsidP="00CB1E75">
      <w:pPr>
        <w:pStyle w:val="Heading4"/>
      </w:pPr>
      <w:r>
        <w:t>We contest the thesis of the aff. 3 myths contribute to the evergreening lie; contrary to popular belief, patents cannot be extended, patents do not prevent competitors from bringing drugs to market, and automatic substitution simply reflects product advertising not an issue with the patent system</w:t>
      </w:r>
    </w:p>
    <w:p w14:paraId="73BA5952" w14:textId="77777777" w:rsidR="00CB1E75" w:rsidRDefault="00CB1E75" w:rsidP="00CB1E75">
      <w:r>
        <w:rPr>
          <w:rStyle w:val="Style13ptBold"/>
        </w:rPr>
        <w:t>Lietzan 20</w:t>
      </w:r>
      <w:r>
        <w:t xml:space="preserve"> (Lietzan, Erika. “The Evergreening Myth.” CATO.org, CATO, 2020, </w:t>
      </w:r>
      <w:hyperlink r:id="rId9" w:history="1">
        <w:r>
          <w:rPr>
            <w:rStyle w:val="Hyperlink"/>
            <w:color w:val="000000"/>
            <w:u w:val="single"/>
          </w:rPr>
          <w:t>www.cato.org/regulation/fall-2020/evergreening-myth</w:t>
        </w:r>
      </w:hyperlink>
      <w:r>
        <w:t>. [Erika Lietzan is the William H. Pittman Professor of Law and Timothy J. Heinsz Professor of Law at the University of Missouri School of Law. This is condensed from her forthcoming article in the University of Akron Law Review.])//LK [Accessed 8/23/2021]</w:t>
      </w:r>
    </w:p>
    <w:p w14:paraId="4F0190FB" w14:textId="77777777" w:rsidR="00CB1E75" w:rsidRDefault="00CB1E75" w:rsidP="00CB1E75">
      <w:pPr>
        <w:rPr>
          <w:rStyle w:val="StyleUnderline"/>
        </w:rPr>
      </w:pPr>
      <w:r>
        <w:rPr>
          <w:sz w:val="16"/>
        </w:rPr>
        <w:t xml:space="preserve">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w:t>
      </w:r>
      <w:r>
        <w:rPr>
          <w:rStyle w:val="StyleUnderline"/>
        </w:rPr>
        <w:t>the FDA approves products, not active ingredients. And second, patents protect inventions, not products.</w:t>
      </w:r>
      <w:r>
        <w:rPr>
          <w:sz w:val="16"/>
        </w:rPr>
        <w:t xml:space="preserve"> Federal law states that every “new drug” requires an approved application. But at the FDA the term “drug” has more than one meaning. It includes a medicine’s active ingredient, to be sure. But it also includes drug products. A drug product is a medicine in its finished form, meaning the form that will be sold in the market and administered to patients. And </w:t>
      </w:r>
      <w:r>
        <w:rPr>
          <w:rStyle w:val="StyleUnderline"/>
        </w:rPr>
        <w:t>the FDA approves a particular product described in a particular application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w:t>
      </w:r>
      <w:r>
        <w:rPr>
          <w:sz w:val="16"/>
        </w:rPr>
        <w:t xml:space="preserve"> Federal law allows a patent to issue for any new, useful, non‐​obvious invention, including a process, a composition of matter, and an improvement to an existing process or composition of matter. The patent usually expires 20 years after its application date. For any particular drug product approved by the FDA, the innovator might own patents on various types of inventions.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Pr>
          <w:rStyle w:val="StyleUnderline"/>
          <w:highlight w:val="cyan"/>
        </w:rPr>
        <w:t>The first myth</w:t>
      </w:r>
      <w:r>
        <w:rPr>
          <w:rStyle w:val="StyleUnderline"/>
        </w:rPr>
        <w:t xml:space="preserve"> is </w:t>
      </w:r>
      <w:r>
        <w:rPr>
          <w:rStyle w:val="StyleUnderline"/>
          <w:highlight w:val="cyan"/>
        </w:rPr>
        <w:t>that innovators extend their patents</w:t>
      </w:r>
      <w:r>
        <w:rPr>
          <w:rStyle w:val="StyleUnderline"/>
        </w:rPr>
        <w:t xml:space="preserve">. </w:t>
      </w:r>
      <w:r w:rsidRPr="009A0D62">
        <w:rPr>
          <w:rStyle w:val="StyleUnderline"/>
          <w:highlight w:val="green"/>
        </w:rPr>
        <w:t>This</w:t>
      </w:r>
      <w:r>
        <w:rPr>
          <w:rStyle w:val="StyleUnderline"/>
        </w:rPr>
        <w:t xml:space="preserve"> </w:t>
      </w:r>
      <w:r>
        <w:rPr>
          <w:rStyle w:val="StyleUnderline"/>
          <w:highlight w:val="cyan"/>
        </w:rPr>
        <w:t>is legally impossible</w:t>
      </w:r>
      <w:r>
        <w:rPr>
          <w:rStyle w:val="StyleUnderline"/>
        </w:rPr>
        <w:t>. In the United States, a patent expires 20 years after its application date.</w:t>
      </w:r>
      <w:r>
        <w:rPr>
          <w:sz w:val="16"/>
        </w:rPr>
        <w:t xml:space="preserve"> There are only two ways a patent’s expiration date can shift later in time: (1) When it issues a patent, the U.S. Patent and Trademark Office (PTO) adjusts the expiry date later to compensate for routine delays at the PTO. And (2), if the marketing application proposed a new active ingredient, then if the company asks the PTO for a patent term extension within 60 days of FDA approval, the PTO will use a statutory formula to extend one patent claiming the product to compensate partially for the lapse of patent life during premarket testing and regulatory review. There is no other mechanism by which a patent might be extended. </w:t>
      </w:r>
      <w:r>
        <w:rPr>
          <w:rStyle w:val="StyleUnderline"/>
        </w:rPr>
        <w:t xml:space="preserve">In particular, </w:t>
      </w:r>
      <w:r>
        <w:rPr>
          <w:rStyle w:val="StyleUnderline"/>
          <w:highlight w:val="cyan"/>
        </w:rPr>
        <w:t>a patent on one invention</w:t>
      </w:r>
      <w:r>
        <w:rPr>
          <w:rStyle w:val="StyleUnderline"/>
        </w:rPr>
        <w:t xml:space="preserve"> — no matter when it expires — </w:t>
      </w:r>
      <w:r>
        <w:rPr>
          <w:rStyle w:val="StyleUnderline"/>
          <w:highlight w:val="cyan"/>
        </w:rPr>
        <w:t>does not extend the patent on another</w:t>
      </w:r>
      <w:r>
        <w:rPr>
          <w:rStyle w:val="StyleUnderline"/>
        </w:rPr>
        <w:t xml:space="preserve"> invention.</w:t>
      </w:r>
      <w:r>
        <w:rPr>
          <w:sz w:val="16"/>
        </w:rPr>
        <w:t xml:space="preserve"> </w:t>
      </w:r>
      <w:r>
        <w:rPr>
          <w:rStyle w:val="StyleUnderline"/>
        </w:rPr>
        <w:t xml:space="preserve">Myth of blocked competitors / </w:t>
      </w:r>
      <w:r>
        <w:rPr>
          <w:rStyle w:val="StyleUnderline"/>
          <w:highlight w:val="cyan"/>
        </w:rPr>
        <w:t>The</w:t>
      </w:r>
      <w:r>
        <w:rPr>
          <w:rStyle w:val="StyleUnderline"/>
        </w:rPr>
        <w:t xml:space="preserve"> </w:t>
      </w:r>
      <w:r>
        <w:rPr>
          <w:rStyle w:val="StyleUnderline"/>
          <w:highlight w:val="cyan"/>
        </w:rPr>
        <w:t>second myth is that</w:t>
      </w:r>
      <w:r>
        <w:rPr>
          <w:rStyle w:val="StyleUnderline"/>
        </w:rPr>
        <w:t xml:space="preserve"> when an </w:t>
      </w:r>
      <w:r>
        <w:rPr>
          <w:rStyle w:val="StyleUnderline"/>
          <w:highlight w:val="cyan"/>
        </w:rPr>
        <w:t>innovator</w:t>
      </w:r>
      <w:r>
        <w:rPr>
          <w:rStyle w:val="StyleUnderline"/>
        </w:rPr>
        <w:t xml:space="preserve"> holds </w:t>
      </w:r>
      <w:r>
        <w:rPr>
          <w:rStyle w:val="StyleUnderline"/>
          <w:highlight w:val="cyan"/>
        </w:rPr>
        <w:t>patents</w:t>
      </w:r>
      <w:r>
        <w:rPr>
          <w:rStyle w:val="StyleUnderline"/>
        </w:rPr>
        <w:t xml:space="preserve"> that expire after its active ingredient patent, or when it introduces newer products to </w:t>
      </w:r>
      <w:r>
        <w:rPr>
          <w:rStyle w:val="StyleUnderline"/>
        </w:rPr>
        <w:lastRenderedPageBreak/>
        <w:t xml:space="preserve">market, it can </w:t>
      </w:r>
      <w:r>
        <w:rPr>
          <w:rStyle w:val="StyleUnderline"/>
          <w:highlight w:val="cyan"/>
        </w:rPr>
        <w:t>prevent</w:t>
      </w:r>
      <w:r>
        <w:rPr>
          <w:rStyle w:val="StyleUnderline"/>
        </w:rPr>
        <w:t xml:space="preserve"> its </w:t>
      </w:r>
      <w:r>
        <w:rPr>
          <w:rStyle w:val="StyleUnderline"/>
          <w:highlight w:val="cyan"/>
        </w:rPr>
        <w:t>competitors from bringing their copies to market</w:t>
      </w:r>
      <w:r>
        <w:rPr>
          <w:rStyle w:val="StyleUnderline"/>
        </w:rPr>
        <w:t xml:space="preserve">. Instead, once the initial patent and (if applicable) statutory exclusivity on the innovator’s active ingredient have expired, its </w:t>
      </w:r>
      <w:r>
        <w:rPr>
          <w:rStyle w:val="StyleUnderline"/>
          <w:highlight w:val="cyan"/>
        </w:rPr>
        <w:t>competitors have substantial freedom</w:t>
      </w:r>
      <w:r>
        <w:rPr>
          <w:rStyle w:val="StyleUnderline"/>
        </w:rPr>
        <w:t xml:space="preserve"> to operate. This freedom reflects two facts that are often overlooked. First, the innovator’s </w:t>
      </w:r>
      <w:r>
        <w:rPr>
          <w:rStyle w:val="StyleUnderline"/>
          <w:highlight w:val="cyan"/>
        </w:rPr>
        <w:t>competitor does not have to propose an exact copy</w:t>
      </w:r>
      <w:r>
        <w:rPr>
          <w:rStyle w:val="StyleUnderline"/>
        </w:rPr>
        <w:t>. Federal law permits the competitor to rely on the innovator’s research but propose competing products that are not identical. To be sure, a competitor may submit an ANDA for a product that essentially duplicates the innovator’s product — that is, a generic. Ordinarily, the com</w:t>
      </w:r>
    </w:p>
    <w:p w14:paraId="48877007" w14:textId="73C3ED2B" w:rsidR="00CB1E75" w:rsidRPr="000328DE" w:rsidRDefault="00CB1E75" w:rsidP="00CB1E75">
      <w:pPr>
        <w:pStyle w:val="Heading4"/>
        <w:rPr>
          <w:rFonts w:cs="Calibri"/>
        </w:rPr>
      </w:pPr>
      <w:r>
        <w:rPr>
          <w:rFonts w:cs="Calibri"/>
        </w:rPr>
        <w:t>Patents have</w:t>
      </w:r>
      <w:r w:rsidRPr="000328DE">
        <w:rPr>
          <w:rFonts w:cs="Calibri"/>
        </w:rPr>
        <w:t xml:space="preserve"> checks and firms are adapting – governments are increasingly critical</w:t>
      </w:r>
    </w:p>
    <w:p w14:paraId="0EE1A85E" w14:textId="77777777" w:rsidR="00CB1E75" w:rsidRPr="000328DE" w:rsidRDefault="00CB1E75" w:rsidP="00CB1E75">
      <w:pPr>
        <w:rPr>
          <w:rFonts w:cs="Calibri"/>
        </w:rPr>
      </w:pPr>
      <w:r w:rsidRPr="000328DE">
        <w:rPr>
          <w:rStyle w:val="Style13ptBold"/>
          <w:rFonts w:cs="Calibri"/>
        </w:rPr>
        <w:t xml:space="preserve">Atkinson and Moodie 13 </w:t>
      </w:r>
      <w:r w:rsidRPr="000328DE">
        <w:rPr>
          <w:rFonts w:cs="Calibri"/>
        </w:rPr>
        <w:t>(Jonathan DM Atkinson &amp; Rachel S Moodie, Harrison Goddard Foote Patent &amp; Trademark Attorneys, May 2013, 10.4155/ppa.13.24) simha</w:t>
      </w:r>
    </w:p>
    <w:p w14:paraId="0204E03D" w14:textId="77777777" w:rsidR="00CB1E75" w:rsidRPr="000328DE" w:rsidRDefault="00CB1E75" w:rsidP="00CB1E75">
      <w:pPr>
        <w:rPr>
          <w:rFonts w:cs="Calibri"/>
          <w:u w:val="single"/>
        </w:rPr>
      </w:pPr>
      <w:r w:rsidRPr="000328DE">
        <w:rPr>
          <w:rFonts w:cs="Calibri"/>
          <w:u w:val="single"/>
        </w:rPr>
        <w:t xml:space="preserve">Opportunities to challenge evergreening patents in Europe </w:t>
      </w:r>
    </w:p>
    <w:p w14:paraId="101B3F95" w14:textId="77777777" w:rsidR="00CB1E75" w:rsidRPr="000328DE" w:rsidRDefault="00CB1E75" w:rsidP="00CB1E75">
      <w:pPr>
        <w:rPr>
          <w:rFonts w:cs="Calibri"/>
          <w:sz w:val="16"/>
        </w:rPr>
      </w:pPr>
      <w:r w:rsidRPr="000328DE">
        <w:rPr>
          <w:rFonts w:cs="Calibri"/>
          <w:sz w:val="16"/>
        </w:rPr>
        <w:t xml:space="preserve">Both the EPO and the national courts of the European member states provide several options for third parties to challenge patents and patent applications. </w:t>
      </w:r>
      <w:r w:rsidRPr="000328DE">
        <w:rPr>
          <w:rFonts w:cs="Calibri"/>
          <w:u w:val="single"/>
        </w:rPr>
        <w:t xml:space="preserve">Prior to a grant, </w:t>
      </w:r>
      <w:r w:rsidRPr="000328DE">
        <w:rPr>
          <w:rFonts w:cs="Calibri"/>
          <w:highlight w:val="yellow"/>
          <w:u w:val="single"/>
        </w:rPr>
        <w:t>any person may file third-party observations on</w:t>
      </w:r>
      <w:r w:rsidRPr="000328DE">
        <w:rPr>
          <w:rFonts w:cs="Calibri"/>
          <w:u w:val="single"/>
        </w:rPr>
        <w:t xml:space="preserve"> the </w:t>
      </w:r>
      <w:r w:rsidRPr="000328DE">
        <w:rPr>
          <w:rFonts w:cs="Calibri"/>
          <w:highlight w:val="yellow"/>
          <w:u w:val="single"/>
        </w:rPr>
        <w:t>patentability</w:t>
      </w:r>
      <w:r w:rsidRPr="000328DE">
        <w:rPr>
          <w:rFonts w:cs="Calibri"/>
          <w:u w:val="single"/>
        </w:rPr>
        <w:t xml:space="preserve"> of the invention claimed</w:t>
      </w:r>
      <w:r w:rsidRPr="000328DE">
        <w:rPr>
          <w:rFonts w:cs="Calibri"/>
          <w:sz w:val="16"/>
        </w:rPr>
        <w:t xml:space="preserve">. Furthermore, these observations can be filed at any stage of the proceedings and on more than one occasion if necessary. This can be done either in the name of the interested party or anonymously. In either case, the third party filing the observations does not become a party to the proceedings. This means that the third party will not be given an opportunity to respond to any comments made by the patent applicant in response to their observations. The EPO also does not correspond with the third party or notify the third party when it issues any communication nor does it notify the third party of the applicant’s response. There is no time limit or official fee for filing thirdparty observations; however, the observations will only be considered if they are filed before the patent is granted. The EPO is not obliged to consider the observations though in practice relevant observations are usually considered and acted upon. However, monitoring the official file at the EPO and judiciously choosing the moment to file carefully structured observations represents a powerful and very cost-effective way to influence, and ideally prevent, the grant of a patent application. After grant of a patent, irrespective of whether or not any third-party observations had been filed during the pendency of the application, </w:t>
      </w:r>
      <w:r w:rsidRPr="000328DE">
        <w:rPr>
          <w:rFonts w:cs="Calibri"/>
          <w:highlight w:val="yellow"/>
          <w:u w:val="single"/>
        </w:rPr>
        <w:t>it is possible to file an opposition to the grant of a patent</w:t>
      </w:r>
      <w:r w:rsidRPr="000328DE">
        <w:rPr>
          <w:rFonts w:cs="Calibri"/>
          <w:sz w:val="16"/>
        </w:rPr>
        <w:t xml:space="preserve">. In contrast to third-party observations, the EPO is required to consider an opposition (provided that it meets certain formal requirements) and the opponent formally becomes a party to the proceedings. One advantage of filing an opposition rather than submitting third-party observations is that the patent proprietor has less flexibility in the amendments that they can make to their patent claims after the patent has granted. Furthermore, since the Opponent becomes a party to proceedings they can then participate in the prosecution of the opposition and in the final hearing at the EPO in Munich, Germany, at which the case is decided. This allows an opponent to put forward their arguments and evidence against the patent in person. Opposition proceedings are slightly more expensive than filing third-party observations but are again a very powerful and cost-effective way of revoking entirely or limiting the scope of a granted patent. Both third-party observations and opposition proceedings are centralized procedures; this means that the entire European patent can be invalidated in all of the countries in which the patent or patent application is effective. Both procedures are very economical in comparison with the cost of litigation proceedings in the event that the patent is enforced against a third party in a particular country. An important benefit associated with filing third-party observations and filing an opposition is that they can be used to attack the European patent as a whole, which saves time and cost that is otherwise associated with attacking multiple national patents through the national courts of European member states. A third strategy is for a generics company to develop their own modifications to the known pharmaceutical and to file patent applications to these developments. For example, a generics company might beat the originator to the finish line in terms of developing a particular improved formulation or a more efficient synthetic route. This strategy is being increasingly used and is now quite widespread in the industry. Of course, the generics company would not be able to commercialize these developments without a licence to the originator patent. However, the value in this strategy arises from blocking the originator from obtaining additional patent life for such a development, plus the potential to charge royalties to the originator in the event that the originator wishes to use the improved development. If the development is valuable enough, the </w:t>
      </w:r>
      <w:r w:rsidRPr="000328DE">
        <w:rPr>
          <w:rFonts w:cs="Calibri"/>
          <w:highlight w:val="yellow"/>
          <w:u w:val="single"/>
        </w:rPr>
        <w:t>generics company</w:t>
      </w:r>
      <w:r w:rsidRPr="000328DE">
        <w:rPr>
          <w:rFonts w:cs="Calibri"/>
          <w:u w:val="single"/>
        </w:rPr>
        <w:t xml:space="preserve"> may be able to </w:t>
      </w:r>
      <w:r w:rsidRPr="000328DE">
        <w:rPr>
          <w:rFonts w:cs="Calibri"/>
          <w:highlight w:val="yellow"/>
          <w:u w:val="single"/>
        </w:rPr>
        <w:t>negotiate</w:t>
      </w:r>
      <w:r w:rsidRPr="000328DE">
        <w:rPr>
          <w:rFonts w:cs="Calibri"/>
          <w:u w:val="single"/>
        </w:rPr>
        <w:t xml:space="preserve"> a </w:t>
      </w:r>
      <w:r w:rsidRPr="000328DE">
        <w:rPr>
          <w:rFonts w:cs="Calibri"/>
          <w:highlight w:val="yellow"/>
          <w:u w:val="single"/>
        </w:rPr>
        <w:t>cross-licensing deal with the Originator</w:t>
      </w:r>
      <w:r w:rsidRPr="000328DE">
        <w:rPr>
          <w:rFonts w:cs="Calibri"/>
          <w:u w:val="single"/>
        </w:rPr>
        <w:t xml:space="preserve"> whereby the generics company </w:t>
      </w:r>
      <w:r w:rsidRPr="000328DE">
        <w:rPr>
          <w:rFonts w:cs="Calibri"/>
          <w:highlight w:val="yellow"/>
          <w:u w:val="single"/>
        </w:rPr>
        <w:t>can commercialize</w:t>
      </w:r>
      <w:r w:rsidRPr="000328DE">
        <w:rPr>
          <w:rFonts w:cs="Calibri"/>
          <w:u w:val="single"/>
        </w:rPr>
        <w:t xml:space="preserve"> their </w:t>
      </w:r>
      <w:r w:rsidRPr="000328DE">
        <w:rPr>
          <w:rFonts w:cs="Calibri"/>
          <w:highlight w:val="yellow"/>
          <w:u w:val="single"/>
        </w:rPr>
        <w:t>development without infringing</w:t>
      </w:r>
      <w:r w:rsidRPr="000328DE">
        <w:rPr>
          <w:rFonts w:cs="Calibri"/>
          <w:u w:val="single"/>
        </w:rPr>
        <w:t xml:space="preserve"> the originator patent and the Originator can commercialize the development without infringing the patent directed to the new development.</w:t>
      </w:r>
      <w:r w:rsidRPr="000328DE">
        <w:rPr>
          <w:rFonts w:cs="Calibri"/>
          <w:sz w:val="16"/>
        </w:rPr>
        <w:t xml:space="preserve"> The lines between Generics companies and Originator companies are becoming increasingly blurred. Generics companies now often carry original research and many Originators are embarking on generic projects to substitute the revenue lost to the patent cliff; for example, Sandoz, which is the generic pharmaceutical division of Novartis [207]. Furthermore, numerous pharmaceutical firms, upon the expiry of their patent, licence a ‘pseudo-generic company’ to compete directly against other generics firms. This strategy deters entry into smaller drug markets since competition with the pseudo-generic can deter other generic companies from investing in entering the market [208].</w:t>
      </w:r>
    </w:p>
    <w:p w14:paraId="0062EC2F" w14:textId="77777777" w:rsidR="00CB1E75" w:rsidRPr="000328DE" w:rsidRDefault="00CB1E75" w:rsidP="00CB1E75">
      <w:pPr>
        <w:rPr>
          <w:rFonts w:cs="Calibri"/>
          <w:u w:val="single"/>
        </w:rPr>
      </w:pPr>
      <w:r w:rsidRPr="000328DE">
        <w:rPr>
          <w:rFonts w:cs="Calibri"/>
          <w:u w:val="single"/>
        </w:rPr>
        <w:t>Future perspective</w:t>
      </w:r>
    </w:p>
    <w:p w14:paraId="6E0B8244" w14:textId="77777777" w:rsidR="00CB1E75" w:rsidRDefault="00CB1E75" w:rsidP="00CB1E75">
      <w:pPr>
        <w:rPr>
          <w:rFonts w:cs="Calibri"/>
          <w:u w:val="single"/>
        </w:rPr>
      </w:pPr>
      <w:r w:rsidRPr="000328DE">
        <w:rPr>
          <w:rFonts w:cs="Calibri"/>
          <w:sz w:val="16"/>
        </w:rPr>
        <w:lastRenderedPageBreak/>
        <w:t xml:space="preserve">There is an important balance to be struck between protecting the legitimate innovations of pharmaceutical companies in order to foster developments for the benefit of the patient population as a whole and, at the same time, removing unfair obstacles for generic companies who aim to provide medicines at cost-effective prices. A system that balances these two objectives must provide temporary monopolies for funding breakthrough drugs whilst also eventually allowing those drugs to be relaunched as cost-effective generics. </w:t>
      </w:r>
      <w:r w:rsidRPr="000328DE">
        <w:rPr>
          <w:rFonts w:cs="Calibri"/>
          <w:u w:val="single"/>
        </w:rPr>
        <w:t xml:space="preserve">In general, the </w:t>
      </w:r>
      <w:r w:rsidRPr="000328DE">
        <w:rPr>
          <w:rFonts w:cs="Calibri"/>
          <w:highlight w:val="yellow"/>
          <w:u w:val="single"/>
        </w:rPr>
        <w:t>patent</w:t>
      </w:r>
      <w:r w:rsidRPr="000328DE">
        <w:rPr>
          <w:rFonts w:cs="Calibri"/>
          <w:u w:val="single"/>
        </w:rPr>
        <w:t xml:space="preserve"> and regulatory </w:t>
      </w:r>
      <w:r w:rsidRPr="000328DE">
        <w:rPr>
          <w:rFonts w:cs="Calibri"/>
          <w:highlight w:val="yellow"/>
          <w:u w:val="single"/>
        </w:rPr>
        <w:t>systems accomplish</w:t>
      </w:r>
      <w:r w:rsidRPr="000328DE">
        <w:rPr>
          <w:rFonts w:cs="Calibri"/>
          <w:u w:val="single"/>
        </w:rPr>
        <w:t xml:space="preserve"> this </w:t>
      </w:r>
      <w:r w:rsidRPr="000328DE">
        <w:rPr>
          <w:rFonts w:cs="Calibri"/>
          <w:highlight w:val="yellow"/>
          <w:u w:val="single"/>
        </w:rPr>
        <w:t>with</w:t>
      </w:r>
      <w:r w:rsidRPr="000328DE">
        <w:rPr>
          <w:rFonts w:cs="Calibri"/>
          <w:u w:val="single"/>
        </w:rPr>
        <w:t xml:space="preserve"> a fair degree of </w:t>
      </w:r>
      <w:r w:rsidRPr="000328DE">
        <w:rPr>
          <w:rFonts w:cs="Calibri"/>
          <w:highlight w:val="yellow"/>
          <w:u w:val="single"/>
        </w:rPr>
        <w:t>success and</w:t>
      </w:r>
      <w:r w:rsidRPr="000328DE">
        <w:rPr>
          <w:rFonts w:cs="Calibri"/>
          <w:u w:val="single"/>
        </w:rPr>
        <w:t xml:space="preserve"> it is </w:t>
      </w:r>
      <w:r w:rsidRPr="000328DE">
        <w:rPr>
          <w:rFonts w:cs="Calibri"/>
          <w:highlight w:val="yellow"/>
          <w:u w:val="single"/>
        </w:rPr>
        <w:t>only in limited</w:t>
      </w:r>
      <w:r w:rsidRPr="000328DE">
        <w:rPr>
          <w:rFonts w:cs="Calibri"/>
          <w:u w:val="single"/>
        </w:rPr>
        <w:t xml:space="preserve"> cases, such as those case studies discussed above </w:t>
      </w:r>
      <w:r w:rsidRPr="000328DE">
        <w:rPr>
          <w:rFonts w:cs="Calibri"/>
          <w:highlight w:val="yellow"/>
          <w:u w:val="single"/>
        </w:rPr>
        <w:t>where</w:t>
      </w:r>
      <w:r w:rsidRPr="000328DE">
        <w:rPr>
          <w:rFonts w:cs="Calibri"/>
          <w:u w:val="single"/>
        </w:rPr>
        <w:t xml:space="preserve"> issues of unfair extensions of </w:t>
      </w:r>
      <w:r w:rsidRPr="000328DE">
        <w:rPr>
          <w:rFonts w:cs="Calibri"/>
          <w:highlight w:val="yellow"/>
          <w:u w:val="single"/>
        </w:rPr>
        <w:t>monopolies arise</w:t>
      </w:r>
      <w:r w:rsidRPr="000328DE">
        <w:rPr>
          <w:rFonts w:cs="Calibri"/>
          <w:u w:val="single"/>
        </w:rPr>
        <w:t xml:space="preserve">. It is also clear that the </w:t>
      </w:r>
      <w:r w:rsidRPr="000328DE">
        <w:rPr>
          <w:rFonts w:cs="Calibri"/>
          <w:highlight w:val="yellow"/>
          <w:u w:val="single"/>
        </w:rPr>
        <w:t>authorities</w:t>
      </w:r>
      <w:r w:rsidRPr="000328DE">
        <w:rPr>
          <w:rFonts w:cs="Calibri"/>
          <w:u w:val="single"/>
        </w:rPr>
        <w:t xml:space="preserve"> are </w:t>
      </w:r>
      <w:r w:rsidRPr="000328DE">
        <w:rPr>
          <w:rFonts w:cs="Calibri"/>
          <w:highlight w:val="yellow"/>
          <w:u w:val="single"/>
        </w:rPr>
        <w:t>not afraid of acting</w:t>
      </w:r>
      <w:r w:rsidRPr="000328DE">
        <w:rPr>
          <w:rFonts w:cs="Calibri"/>
          <w:sz w:val="16"/>
        </w:rPr>
        <w:t xml:space="preserve"> in cases in which they consider an abuse has arisen even if the letter of the law has been strictly complied with. The lesson for users of the system is simply that it is not sufficient merely to comply with the requirements of the law, but it is also necessary to consider their intended activities in the wider context of the market as a whole to determine whether or not they are ethical and reasonable. </w:t>
      </w:r>
      <w:r w:rsidRPr="000328DE">
        <w:rPr>
          <w:rFonts w:cs="Calibri"/>
          <w:b/>
          <w:bCs/>
          <w:highlight w:val="yellow"/>
          <w:u w:val="single"/>
        </w:rPr>
        <w:t>Over the next 5–10 years</w:t>
      </w:r>
      <w:r w:rsidRPr="000328DE">
        <w:rPr>
          <w:rFonts w:cs="Calibri"/>
          <w:b/>
          <w:bCs/>
          <w:u w:val="single"/>
        </w:rPr>
        <w:t xml:space="preserve"> we </w:t>
      </w:r>
      <w:r w:rsidRPr="000328DE">
        <w:rPr>
          <w:rFonts w:cs="Calibri"/>
          <w:b/>
          <w:bCs/>
          <w:highlight w:val="yellow"/>
          <w:u w:val="single"/>
        </w:rPr>
        <w:t>expect</w:t>
      </w:r>
      <w:r w:rsidRPr="000328DE">
        <w:rPr>
          <w:rFonts w:cs="Calibri"/>
          <w:b/>
          <w:bCs/>
          <w:u w:val="single"/>
        </w:rPr>
        <w:t xml:space="preserve"> to see an </w:t>
      </w:r>
      <w:r w:rsidRPr="000328DE">
        <w:rPr>
          <w:rFonts w:cs="Calibri"/>
          <w:b/>
          <w:bCs/>
          <w:highlight w:val="yellow"/>
          <w:u w:val="single"/>
        </w:rPr>
        <w:t>increasingly critical eye</w:t>
      </w:r>
      <w:r w:rsidRPr="000328DE">
        <w:rPr>
          <w:rFonts w:cs="Calibri"/>
          <w:u w:val="single"/>
        </w:rPr>
        <w:t xml:space="preserve"> being cast over the granting of such patents, not just </w:t>
      </w:r>
      <w:r w:rsidRPr="000328DE">
        <w:rPr>
          <w:rFonts w:cs="Calibri"/>
          <w:b/>
          <w:bCs/>
          <w:highlight w:val="yellow"/>
          <w:u w:val="single"/>
        </w:rPr>
        <w:t>by</w:t>
      </w:r>
      <w:r w:rsidRPr="000328DE">
        <w:rPr>
          <w:rFonts w:cs="Calibri"/>
          <w:b/>
          <w:bCs/>
          <w:u w:val="single"/>
        </w:rPr>
        <w:t xml:space="preserve"> the national </w:t>
      </w:r>
      <w:r w:rsidRPr="000328DE">
        <w:rPr>
          <w:rFonts w:cs="Calibri"/>
          <w:b/>
          <w:bCs/>
          <w:highlight w:val="yellow"/>
          <w:u w:val="single"/>
        </w:rPr>
        <w:t>courts</w:t>
      </w:r>
      <w:r w:rsidRPr="000328DE">
        <w:rPr>
          <w:rFonts w:cs="Calibri"/>
          <w:b/>
          <w:bCs/>
          <w:u w:val="single"/>
        </w:rPr>
        <w:t xml:space="preserve">, </w:t>
      </w:r>
      <w:r w:rsidRPr="000328DE">
        <w:rPr>
          <w:rFonts w:cs="Calibri"/>
          <w:b/>
          <w:bCs/>
          <w:highlight w:val="yellow"/>
          <w:u w:val="single"/>
        </w:rPr>
        <w:t>but also</w:t>
      </w:r>
      <w:r w:rsidRPr="000328DE">
        <w:rPr>
          <w:rFonts w:cs="Calibri"/>
          <w:b/>
          <w:bCs/>
          <w:u w:val="single"/>
        </w:rPr>
        <w:t xml:space="preserve"> by the patent </w:t>
      </w:r>
      <w:r w:rsidRPr="000328DE">
        <w:rPr>
          <w:rFonts w:cs="Calibri"/>
          <w:b/>
          <w:bCs/>
          <w:highlight w:val="yellow"/>
          <w:u w:val="single"/>
        </w:rPr>
        <w:t>granting authorities</w:t>
      </w:r>
      <w:r w:rsidRPr="000328DE">
        <w:rPr>
          <w:rFonts w:cs="Calibri"/>
          <w:u w:val="single"/>
        </w:rPr>
        <w:t xml:space="preserve"> themselves.</w:t>
      </w:r>
    </w:p>
    <w:p w14:paraId="0CE5C199" w14:textId="77777777" w:rsidR="004A6360" w:rsidRPr="00D966DA" w:rsidRDefault="004A6360" w:rsidP="004A6360">
      <w:pPr>
        <w:pStyle w:val="Heading3"/>
        <w:rPr>
          <w:rFonts w:cs="Calibri"/>
        </w:rPr>
      </w:pPr>
      <w:r w:rsidRPr="000328DE">
        <w:rPr>
          <w:rFonts w:cs="Calibri"/>
        </w:rPr>
        <w:lastRenderedPageBreak/>
        <w:t xml:space="preserve">AT: </w:t>
      </w:r>
      <w:r>
        <w:rPr>
          <w:rFonts w:cs="Calibri"/>
        </w:rPr>
        <w:t>Solvency</w:t>
      </w:r>
    </w:p>
    <w:p w14:paraId="55B7D093" w14:textId="77777777" w:rsidR="00CB1E75" w:rsidRDefault="00CB1E75" w:rsidP="00CB1E75">
      <w:pPr>
        <w:pStyle w:val="Heading4"/>
      </w:pPr>
      <w:r>
        <w:t xml:space="preserve">There’s a reason the aff’s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regardlfess.</w:t>
      </w:r>
    </w:p>
    <w:p w14:paraId="07C96F86" w14:textId="77777777" w:rsidR="00CB1E75" w:rsidRPr="0027384F" w:rsidRDefault="00CB1E75" w:rsidP="00CB1E75">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55C80C2B" w14:textId="77777777" w:rsidR="00CB1E75" w:rsidRPr="0027384F" w:rsidRDefault="00CB1E75" w:rsidP="00CB1E75">
      <w:pPr>
        <w:rPr>
          <w:rStyle w:val="Emphasis"/>
        </w:rPr>
      </w:pPr>
      <w:r w:rsidRPr="0027384F">
        <w:rPr>
          <w:rStyle w:val="Emphasis"/>
        </w:rPr>
        <w:t>“Evergreening” – an Incoherent Concept</w:t>
      </w:r>
    </w:p>
    <w:p w14:paraId="7687B911" w14:textId="77777777" w:rsidR="00CB1E75" w:rsidRPr="00641745" w:rsidRDefault="00CB1E75" w:rsidP="00CB1E75">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4FD3AD26" w14:textId="77777777" w:rsidR="00CB1E75" w:rsidRPr="00C81E3E" w:rsidRDefault="00CB1E75" w:rsidP="00CB1E75">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06A65AE8" w14:textId="77777777" w:rsidR="00CB1E75" w:rsidRDefault="00CB1E75" w:rsidP="00CB1E75">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36FA306D" w14:textId="77777777" w:rsidR="00CB1E75" w:rsidRPr="0027384F" w:rsidRDefault="00CB1E75" w:rsidP="00CB1E75">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50, 2016)DR 21</w:t>
      </w:r>
    </w:p>
    <w:p w14:paraId="37209DA4" w14:textId="77777777" w:rsidR="00CB1E75" w:rsidRPr="00C81E3E" w:rsidRDefault="00CB1E75" w:rsidP="00CB1E75">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794C6076" w14:textId="77777777" w:rsidR="00CB1E75" w:rsidRDefault="00CB1E75" w:rsidP="00CB1E75">
      <w:pPr>
        <w:pStyle w:val="Heading4"/>
      </w:pPr>
      <w:r>
        <w:lastRenderedPageBreak/>
        <w:t xml:space="preserve">It's illegal to extend a patent on the same drug—only new </w:t>
      </w:r>
      <w:r>
        <w:rPr>
          <w:u w:val="single"/>
        </w:rPr>
        <w:t xml:space="preserve">compounds </w:t>
      </w:r>
      <w:r>
        <w:t>can be patented</w:t>
      </w:r>
    </w:p>
    <w:p w14:paraId="021D7E71" w14:textId="77777777" w:rsidR="00CB1E75" w:rsidRPr="00BF199A" w:rsidRDefault="00CB1E75" w:rsidP="00CB1E75">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408853FF" w14:textId="77777777" w:rsidR="00CB1E75" w:rsidRPr="00C81E3E" w:rsidRDefault="00CB1E75" w:rsidP="00CB1E75">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490B3827" w14:textId="77777777" w:rsidR="00CB1E75" w:rsidRPr="00C81E3E" w:rsidRDefault="00CB1E75" w:rsidP="00CB1E75">
      <w:pPr>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4E760AD5" w14:textId="78F43724" w:rsidR="00CB1E75" w:rsidRDefault="00CB1E75" w:rsidP="00CB1E75">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4BF46321" w14:textId="798BB6FC" w:rsidR="00FE169B" w:rsidRDefault="00FE169B" w:rsidP="00FE169B">
      <w:pPr>
        <w:rPr>
          <w:u w:val="single"/>
        </w:rPr>
      </w:pPr>
    </w:p>
    <w:p w14:paraId="7FF7E51E" w14:textId="7B3EF67F" w:rsidR="00FE169B" w:rsidRPr="00C81E3E" w:rsidRDefault="00FE169B" w:rsidP="00FE169B">
      <w:pPr>
        <w:pStyle w:val="Heading4"/>
        <w:rPr>
          <w:sz w:val="14"/>
        </w:rPr>
      </w:pPr>
      <w:r>
        <w:t>Their anticommons point make no sense, just because someone’s name is on a patent doesn’t mean they use it to their will. Companies are the ones that actually hold these patents and control what happens to the goods. This point has absolutely no link to the rest of the aff.</w:t>
      </w:r>
      <w:r w:rsidR="00BC4064">
        <w:t xml:space="preserve"> Also prefer our recent evidence, their stuff is from 1998, a lot has changed since then</w:t>
      </w:r>
    </w:p>
    <w:p w14:paraId="466237A0" w14:textId="77777777" w:rsidR="00CA6487" w:rsidRPr="000328DE" w:rsidRDefault="00CA6487" w:rsidP="00CA6487">
      <w:pPr>
        <w:rPr>
          <w:rFonts w:cs="Calibri"/>
          <w:u w:val="single"/>
        </w:rPr>
      </w:pPr>
    </w:p>
    <w:p w14:paraId="500C26C9" w14:textId="77777777" w:rsidR="004A6360" w:rsidRDefault="004A6360" w:rsidP="004A6360">
      <w:pPr>
        <w:pStyle w:val="Heading3"/>
        <w:rPr>
          <w:rFonts w:cs="Calibri"/>
        </w:rPr>
      </w:pPr>
      <w:r w:rsidRPr="000328DE">
        <w:rPr>
          <w:rFonts w:cs="Calibri"/>
        </w:rPr>
        <w:lastRenderedPageBreak/>
        <w:t>AT: Innovation – Turn</w:t>
      </w:r>
    </w:p>
    <w:p w14:paraId="180EF07B" w14:textId="77777777" w:rsidR="004A6360" w:rsidRDefault="004A6360" w:rsidP="004A6360">
      <w:pPr>
        <w:pStyle w:val="Heading4"/>
      </w:pPr>
      <w:r>
        <w:t>One and done model kills innovation—chilling effect</w:t>
      </w:r>
    </w:p>
    <w:p w14:paraId="102C5EC0" w14:textId="77777777" w:rsidR="004A6360" w:rsidRPr="00134D45" w:rsidRDefault="004A6360" w:rsidP="004A6360">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195-220.)DR 21</w:t>
      </w:r>
    </w:p>
    <w:p w14:paraId="113BAAD8" w14:textId="77777777" w:rsidR="004A6360" w:rsidRPr="00D966DA" w:rsidRDefault="004A6360" w:rsidP="004A6360">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“one-and-dones.”</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r w:rsidRPr="0093531D">
        <w:rPr>
          <w:rStyle w:val="Emphasis"/>
          <w:highlight w:val="green"/>
        </w:rPr>
        <w:t xml:space="preserve">erode[]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3915D1B3" w14:textId="77777777" w:rsidR="004A6360" w:rsidRPr="000328DE" w:rsidRDefault="004A6360" w:rsidP="004A6360">
      <w:pPr>
        <w:pStyle w:val="Heading4"/>
        <w:rPr>
          <w:rFonts w:cs="Calibri"/>
        </w:rPr>
      </w:pPr>
      <w:r w:rsidRPr="000328DE">
        <w:rPr>
          <w:rFonts w:cs="Calibri"/>
        </w:rPr>
        <w:t>Follow on innovation is key to drug development and perceptual safety</w:t>
      </w:r>
    </w:p>
    <w:p w14:paraId="151A8078" w14:textId="77777777" w:rsidR="004A6360" w:rsidRPr="000328DE" w:rsidRDefault="004A6360" w:rsidP="004A6360">
      <w:pPr>
        <w:rPr>
          <w:rFonts w:cs="Calibri"/>
        </w:rPr>
      </w:pPr>
      <w:r w:rsidRPr="000328DE">
        <w:rPr>
          <w:rFonts w:cs="Calibri"/>
        </w:rPr>
        <w:t xml:space="preserve">Chris </w:t>
      </w:r>
      <w:r w:rsidRPr="000328DE">
        <w:rPr>
          <w:rFonts w:cs="Calibri"/>
          <w:b/>
          <w:bCs/>
          <w:sz w:val="26"/>
          <w:szCs w:val="26"/>
        </w:rPr>
        <w:t>Holman 20</w:t>
      </w:r>
      <w:r w:rsidRPr="000328DE">
        <w:rPr>
          <w:rFonts w:cs="Calibri"/>
        </w:rPr>
        <w:t xml:space="preserve"> joined C-IP2 as a Senior Scholar in 2014, and he became the Senior Fellow for Life Sciences at C-IP2 in August 2020. He is a Professor at the University of Missouri-Kansas City School of Law, where his primary research focus lies at the intersection of intellectual property and biotechnology, 2-7-2020, "Why Pharmaceutical Follow-On Innovation Should Be Eligible For Patent Protection," Geneva Network, </w:t>
      </w:r>
      <w:hyperlink r:id="rId11" w:history="1">
        <w:r w:rsidRPr="000328DE">
          <w:rPr>
            <w:rStyle w:val="Hyperlink"/>
            <w:rFonts w:cs="Calibri"/>
          </w:rPr>
          <w:t>https://geneva-network.com/research/why-pharmaceutical-follow-on-innovation-should-be-eligible-for-patent-protection/</w:t>
        </w:r>
      </w:hyperlink>
      <w:r w:rsidRPr="000328DE">
        <w:rPr>
          <w:rFonts w:cs="Calibri"/>
        </w:rPr>
        <w:t xml:space="preserve">   ]//AAli</w:t>
      </w:r>
    </w:p>
    <w:p w14:paraId="34BF372A" w14:textId="77777777" w:rsidR="004A6360" w:rsidRPr="000328DE" w:rsidRDefault="004A6360" w:rsidP="004A6360">
      <w:pPr>
        <w:pStyle w:val="ListParagraph"/>
        <w:numPr>
          <w:ilvl w:val="0"/>
          <w:numId w:val="16"/>
        </w:numPr>
        <w:rPr>
          <w:rFonts w:cs="Calibri"/>
        </w:rPr>
      </w:pPr>
      <w:r w:rsidRPr="000328DE">
        <w:rPr>
          <w:rFonts w:cs="Calibri"/>
        </w:rPr>
        <w:t>AZT started out as cancer drug but broke through for aids</w:t>
      </w:r>
    </w:p>
    <w:p w14:paraId="26B4093F" w14:textId="77777777" w:rsidR="004A6360" w:rsidRPr="000328DE" w:rsidRDefault="004A6360" w:rsidP="004A6360">
      <w:pPr>
        <w:pStyle w:val="ListParagraph"/>
        <w:numPr>
          <w:ilvl w:val="0"/>
          <w:numId w:val="16"/>
        </w:numPr>
        <w:rPr>
          <w:rFonts w:cs="Calibri"/>
        </w:rPr>
      </w:pPr>
      <w:r w:rsidRPr="000328DE">
        <w:rPr>
          <w:rFonts w:cs="Calibri"/>
        </w:rPr>
        <w:t xml:space="preserve">Lumigan cause redeye – people stopped taking it </w:t>
      </w:r>
    </w:p>
    <w:p w14:paraId="63D37832" w14:textId="77777777" w:rsidR="004A6360" w:rsidRDefault="004A6360" w:rsidP="004A6360">
      <w:pPr>
        <w:rPr>
          <w:rFonts w:cs="Calibri"/>
          <w:sz w:val="11"/>
          <w:szCs w:val="20"/>
        </w:rPr>
      </w:pPr>
      <w:r w:rsidRPr="000328DE">
        <w:rPr>
          <w:rFonts w:cs="Calibri"/>
          <w:sz w:val="16"/>
        </w:rPr>
        <w:t xml:space="preserve">Despite the important role of intellectual property rights in incentivizing innovation, the patenting of pharmaceutical innovation is frequently accused of impeding access to medicine. </w:t>
      </w:r>
      <w:r w:rsidRPr="000328DE">
        <w:rPr>
          <w:rStyle w:val="StyleUnderline"/>
          <w:rFonts w:cs="Calibri"/>
          <w:highlight w:val="yellow"/>
        </w:rPr>
        <w:t>Criticism of</w:t>
      </w:r>
      <w:r w:rsidRPr="000328DE">
        <w:rPr>
          <w:rFonts w:cs="Calibri"/>
          <w:sz w:val="16"/>
        </w:rPr>
        <w:t xml:space="preserve"> the prevailing patent regime </w:t>
      </w:r>
      <w:r w:rsidRPr="000328DE">
        <w:rPr>
          <w:rStyle w:val="StyleUnderline"/>
          <w:rFonts w:cs="Calibri"/>
        </w:rPr>
        <w:t>has focused in particular on patents directed towards follow-on innovation</w:t>
      </w:r>
      <w:r w:rsidRPr="000328DE">
        <w:rPr>
          <w:rFonts w:cs="Calibri"/>
          <w:sz w:val="16"/>
        </w:rPr>
        <w:t xml:space="preserve">, i.e., innovation that seeks to improve upon existing pharmaceuticals and their use in treating patients. Patents on follow-on innovation are often </w:t>
      </w:r>
      <w:r w:rsidRPr="000328DE">
        <w:rPr>
          <w:rStyle w:val="StyleUnderline"/>
          <w:rFonts w:cs="Calibri"/>
        </w:rPr>
        <w:t>derided as “</w:t>
      </w:r>
      <w:r w:rsidRPr="000328DE">
        <w:rPr>
          <w:rStyle w:val="StyleUnderline"/>
          <w:rFonts w:cs="Calibri"/>
          <w:highlight w:val="yellow"/>
        </w:rPr>
        <w:t>secondary” patents</w:t>
      </w:r>
      <w:r w:rsidRPr="000328DE">
        <w:rPr>
          <w:rFonts w:cs="Calibri"/>
          <w:sz w:val="16"/>
        </w:rPr>
        <w:t xml:space="preserve">, with the implication that the underlying inventions are somehow lesser in nature than the subject matter claimed in “primary” patents, i.e., the drug active ingredient per se. While implicitly acknowledging the legitimacy of primary patents, critics of so-called secondary patents </w:t>
      </w:r>
      <w:r w:rsidRPr="000328DE">
        <w:rPr>
          <w:rStyle w:val="StyleUnderline"/>
          <w:rFonts w:cs="Calibri"/>
        </w:rPr>
        <w:t>contend that patents on follow-on innovation allow drug innovators to “evergreen” their products</w:t>
      </w:r>
      <w:r w:rsidRPr="000328DE">
        <w:rPr>
          <w:rFonts w:cs="Calibri"/>
          <w:sz w:val="16"/>
        </w:rPr>
        <w:t xml:space="preserve">, i.e., to extend the period of patent exclusivity beyond the expiration of any original patent on the drug active ingredient, and in doing so contribute to the high cost of drugs, thereby limiting the ability of patients to access the drugs upon which they have come to rely. In 2015, the United Nations Development Programme (UNDP) issued a document entitled Guidelines for Pharmaceutical Patent Examination: Examining Pharmaceutical Patents from a Public Health Perspective (the “Guidelines”), which, in an effort to promote access to medicines, recommends that courts and patent offices implement newly heightened patentability requirements for follow-on pharmaceutical innovation that would be uniquely stringent and largely unprecedented. 1 In 2017, I challenged many of the assertions made in the Guidelines in an article entitled In Defense of Secondary </w:t>
      </w:r>
      <w:r w:rsidRPr="000328DE">
        <w:rPr>
          <w:rFonts w:cs="Calibri"/>
          <w:sz w:val="16"/>
        </w:rPr>
        <w:lastRenderedPageBreak/>
        <w:t xml:space="preserve">Pharmaceutical Patents: A Response to the UN’s Guidelines for Pharmaceutical Patent Examination (“Defense of Secondary Patents”), which provides numerous examples of so-called secondary patents that have withstood validity challenges in the courts and patent offices throughout the world and which were directed towards follow-on pharmaceutical innovation clearly meriting patent protection. 2 More recently, I teamed up with legal scholars Timo Minssen and Eric Solovy in authoring Patentability Standards for Follow-on Pharmaceutical Innovation (“Patentability Standards”),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3 Why Protect Follow-On Innovation? The attack on secondary pharmaceutical patents </w:t>
      </w:r>
      <w:r w:rsidRPr="000328DE">
        <w:rPr>
          <w:rStyle w:val="StyleUnderline"/>
          <w:rFonts w:cs="Calibri"/>
          <w:highlight w:val="yellow"/>
        </w:rPr>
        <w:t>is</w:t>
      </w:r>
      <w:r w:rsidRPr="000328DE">
        <w:rPr>
          <w:rFonts w:cs="Calibri"/>
          <w:sz w:val="16"/>
        </w:rPr>
        <w:t xml:space="preserve"> based in part on the </w:t>
      </w:r>
      <w:r w:rsidRPr="000328DE">
        <w:rPr>
          <w:rStyle w:val="StyleUnderline"/>
          <w:rFonts w:cs="Calibri"/>
          <w:highlight w:val="yellow"/>
        </w:rPr>
        <w:t>flawed</w:t>
      </w:r>
      <w:r w:rsidRPr="000328DE">
        <w:rPr>
          <w:rFonts w:cs="Calibri"/>
          <w:sz w:val="16"/>
        </w:rPr>
        <w:t xml:space="preserve"> premise that follow-on innovation is of marginal value at best, and thus less deserving of protection than the primary inventive act of identifying and validating a new drug active ingredient. In fact, </w:t>
      </w:r>
      <w:r w:rsidRPr="000328DE">
        <w:rPr>
          <w:rStyle w:val="Emphasis"/>
          <w:rFonts w:cs="Calibri"/>
          <w:highlight w:val="yellow"/>
        </w:rPr>
        <w:t>follow-on innovation</w:t>
      </w:r>
      <w:r w:rsidRPr="000328DE">
        <w:rPr>
          <w:rStyle w:val="Emphasis"/>
          <w:rFonts w:cs="Calibri"/>
        </w:rPr>
        <w:t xml:space="preserve"> can play a </w:t>
      </w:r>
      <w:r w:rsidRPr="000328DE">
        <w:rPr>
          <w:rStyle w:val="Emphasis"/>
          <w:rFonts w:cs="Calibri"/>
          <w:highlight w:val="yellow"/>
        </w:rPr>
        <w:t>critical</w:t>
      </w:r>
      <w:r w:rsidRPr="000328DE">
        <w:rPr>
          <w:rStyle w:val="Emphasis"/>
          <w:rFonts w:cs="Calibri"/>
        </w:rPr>
        <w:t xml:space="preserve"> role </w:t>
      </w:r>
      <w:r w:rsidRPr="000328DE">
        <w:rPr>
          <w:rStyle w:val="Emphasis"/>
          <w:rFonts w:cs="Calibri"/>
          <w:highlight w:val="yellow"/>
        </w:rPr>
        <w:t>in transforming a</w:t>
      </w:r>
      <w:r w:rsidRPr="000328DE">
        <w:rPr>
          <w:rStyle w:val="Emphasis"/>
          <w:rFonts w:cs="Calibri"/>
        </w:rPr>
        <w:t xml:space="preserve">n interesting </w:t>
      </w:r>
      <w:r w:rsidRPr="000328DE">
        <w:rPr>
          <w:rStyle w:val="Emphasis"/>
          <w:rFonts w:cs="Calibri"/>
          <w:highlight w:val="yellow"/>
        </w:rPr>
        <w:t>drug candidate into a</w:t>
      </w:r>
      <w:r w:rsidRPr="000328DE">
        <w:rPr>
          <w:rStyle w:val="Emphasis"/>
          <w:rFonts w:cs="Calibri"/>
        </w:rPr>
        <w:t xml:space="preserve"> safe and </w:t>
      </w:r>
      <w:r w:rsidRPr="000328DE">
        <w:rPr>
          <w:rStyle w:val="Emphasis"/>
          <w:rFonts w:cs="Calibri"/>
          <w:highlight w:val="yellow"/>
        </w:rPr>
        <w:t>effective treatment</w:t>
      </w:r>
      <w:r w:rsidRPr="000328DE">
        <w:rPr>
          <w:rStyle w:val="Emphasis"/>
          <w:rFonts w:cs="Calibri"/>
        </w:rPr>
        <w:t xml:space="preserve"> option for patients</w:t>
      </w:r>
      <w:r w:rsidRPr="000328DE">
        <w:rPr>
          <w:rFonts w:cs="Calibri"/>
          <w:sz w:val="16"/>
        </w:rPr>
        <w:t xml:space="preserve">. A good example can be seen in the case of </w:t>
      </w:r>
      <w:r w:rsidRPr="000328DE">
        <w:rPr>
          <w:rStyle w:val="Emphasis"/>
          <w:rFonts w:cs="Calibri"/>
          <w:highlight w:val="yellow"/>
        </w:rPr>
        <w:t>AZT</w:t>
      </w:r>
      <w:r w:rsidRPr="000328DE">
        <w:rPr>
          <w:rFonts w:cs="Calibri"/>
          <w:sz w:val="16"/>
        </w:rPr>
        <w:t xml:space="preserve"> (zidovudine), a drug ironically described in the Guidelines as </w:t>
      </w:r>
      <w:r w:rsidRPr="000328DE">
        <w:rPr>
          <w:rStyle w:val="Emphasis"/>
          <w:rFonts w:cs="Calibri"/>
          <w:highlight w:val="yellow"/>
        </w:rPr>
        <w:t>the “first breakthrough in AIDS therapy</w:t>
      </w:r>
      <w:r w:rsidRPr="000328DE">
        <w:rPr>
          <w:rFonts w:cs="Calibri"/>
          <w:sz w:val="16"/>
        </w:rPr>
        <w:t xml:space="preserve">.” AZT </w:t>
      </w:r>
      <w:r w:rsidRPr="000328DE">
        <w:rPr>
          <w:rStyle w:val="StyleUnderline"/>
          <w:rFonts w:cs="Calibri"/>
          <w:highlight w:val="yellow"/>
        </w:rPr>
        <w:t>began</w:t>
      </w:r>
      <w:r w:rsidRPr="000328DE">
        <w:rPr>
          <w:rStyle w:val="StyleUnderline"/>
          <w:rFonts w:cs="Calibri"/>
        </w:rPr>
        <w:t xml:space="preserve"> its life a</w:t>
      </w:r>
      <w:r w:rsidRPr="000328DE">
        <w:rPr>
          <w:rStyle w:val="StyleUnderline"/>
          <w:rFonts w:cs="Calibri"/>
          <w:highlight w:val="yellow"/>
        </w:rPr>
        <w:t>s a failed attempt at a cancer drug</w:t>
      </w:r>
      <w:r w:rsidRPr="000328DE">
        <w:rPr>
          <w:rStyle w:val="StyleUnderline"/>
          <w:rFonts w:cs="Calibri"/>
        </w:rPr>
        <w:t xml:space="preserve">, and it was only years later that its potential application in the fight against AIDS was realized. Follow-on research resulted in a </w:t>
      </w:r>
      <w:r w:rsidRPr="000328DE">
        <w:rPr>
          <w:rStyle w:val="StyleUnderline"/>
          <w:rFonts w:cs="Calibri"/>
          <w:highlight w:val="yellow"/>
        </w:rPr>
        <w:t>method-of-use patent</w:t>
      </w:r>
      <w:r w:rsidRPr="000328DE">
        <w:rPr>
          <w:rStyle w:val="StyleUnderline"/>
          <w:rFonts w:cs="Calibri"/>
        </w:rPr>
        <w:t xml:space="preserve"> directed towards the use of AZT in the treatment of AIDS, </w:t>
      </w:r>
      <w:r w:rsidRPr="000328DE">
        <w:rPr>
          <w:rFonts w:cs="Calibri"/>
          <w:sz w:val="16"/>
        </w:rPr>
        <w:t xml:space="preserve">and </w:t>
      </w:r>
      <w:r w:rsidRPr="000328DE">
        <w:rPr>
          <w:rStyle w:val="StyleUnderline"/>
          <w:rFonts w:cs="Calibri"/>
        </w:rPr>
        <w:t xml:space="preserve">it was this patent that </w:t>
      </w:r>
      <w:r w:rsidRPr="000328DE">
        <w:rPr>
          <w:rStyle w:val="Emphasis"/>
          <w:rFonts w:cs="Calibri"/>
          <w:highlight w:val="yellow"/>
        </w:rPr>
        <w:t>incentivized</w:t>
      </w:r>
      <w:r w:rsidRPr="000328DE">
        <w:rPr>
          <w:rStyle w:val="StyleUnderline"/>
          <w:rFonts w:cs="Calibri"/>
        </w:rPr>
        <w:t xml:space="preserve"> the </w:t>
      </w:r>
      <w:r w:rsidRPr="000328DE">
        <w:rPr>
          <w:rStyle w:val="StyleUnderline"/>
          <w:rFonts w:cs="Calibri"/>
          <w:highlight w:val="yellow"/>
        </w:rPr>
        <w:t>investment</w:t>
      </w:r>
      <w:r w:rsidRPr="000328DE">
        <w:rPr>
          <w:rStyle w:val="StyleUnderline"/>
          <w:rFonts w:cs="Calibri"/>
        </w:rPr>
        <w:t xml:space="preserve"> necessary </w:t>
      </w:r>
      <w:r w:rsidRPr="000328DE">
        <w:rPr>
          <w:rStyle w:val="StyleUnderline"/>
          <w:rFonts w:cs="Calibri"/>
          <w:highlight w:val="yellow"/>
        </w:rPr>
        <w:t>to bridge the gap</w:t>
      </w:r>
      <w:r w:rsidRPr="000328DE">
        <w:rPr>
          <w:rStyle w:val="StyleUnderline"/>
          <w:rFonts w:cs="Calibri"/>
        </w:rPr>
        <w:t xml:space="preserve"> between a promising drug candidate and a safe, effective, and FDA-approved pharmaceutical</w:t>
      </w:r>
      <w:r w:rsidRPr="000328DE">
        <w:rPr>
          <w:rFonts w:cs="Calibri"/>
          <w:sz w:val="16"/>
        </w:rPr>
        <w:t xml:space="preserve">. Significantly, </w:t>
      </w:r>
      <w:r w:rsidRPr="000328DE">
        <w:rPr>
          <w:rStyle w:val="StyleUnderline"/>
          <w:rFonts w:cs="Calibri"/>
        </w:rPr>
        <w:t xml:space="preserve">because of the long lag time between the first public disclosure of AZT and the discovery of its use in the treatment of AIDS, patent protection for the molecule per se was unavailable. </w:t>
      </w:r>
      <w:r w:rsidRPr="000328DE">
        <w:rPr>
          <w:rStyle w:val="StyleUnderline"/>
          <w:rFonts w:cs="Calibri"/>
          <w:highlight w:val="yellow"/>
        </w:rPr>
        <w:t xml:space="preserve">In a world where follow-on innovation is unpatentable, there would </w:t>
      </w:r>
      <w:r w:rsidRPr="000328DE">
        <w:rPr>
          <w:rStyle w:val="StyleUnderline"/>
          <w:rFonts w:cs="Calibri"/>
        </w:rPr>
        <w:t xml:space="preserve">have </w:t>
      </w:r>
      <w:r w:rsidRPr="000328DE">
        <w:rPr>
          <w:rStyle w:val="StyleUnderline"/>
          <w:rFonts w:cs="Calibri"/>
          <w:highlight w:val="yellow"/>
        </w:rPr>
        <w:t>be</w:t>
      </w:r>
      <w:r w:rsidRPr="000328DE">
        <w:rPr>
          <w:rStyle w:val="StyleUnderline"/>
          <w:rFonts w:cs="Calibri"/>
        </w:rPr>
        <w:t xml:space="preserve">en </w:t>
      </w:r>
      <w:r w:rsidRPr="000328DE">
        <w:rPr>
          <w:rStyle w:val="StyleUnderline"/>
          <w:rFonts w:cs="Calibri"/>
          <w:highlight w:val="yellow"/>
        </w:rPr>
        <w:t xml:space="preserve">no </w:t>
      </w:r>
      <w:r w:rsidRPr="000328DE">
        <w:rPr>
          <w:rStyle w:val="StyleUnderline"/>
          <w:rFonts w:cs="Calibri"/>
        </w:rPr>
        <w:t xml:space="preserve">patent </w:t>
      </w:r>
      <w:r w:rsidRPr="000328DE">
        <w:rPr>
          <w:rStyle w:val="StyleUnderline"/>
          <w:rFonts w:cs="Calibri"/>
          <w:highlight w:val="yellow"/>
        </w:rPr>
        <w:t xml:space="preserve">incentive to invest in </w:t>
      </w:r>
      <w:r w:rsidRPr="000328DE">
        <w:rPr>
          <w:rStyle w:val="StyleUnderline"/>
          <w:rFonts w:cs="Calibri"/>
        </w:rPr>
        <w:t xml:space="preserve">the </w:t>
      </w:r>
      <w:r w:rsidRPr="000328DE">
        <w:rPr>
          <w:rStyle w:val="StyleUnderline"/>
          <w:rFonts w:cs="Calibri"/>
          <w:highlight w:val="yellow"/>
        </w:rPr>
        <w:t xml:space="preserve">development </w:t>
      </w:r>
      <w:r w:rsidRPr="000328DE">
        <w:rPr>
          <w:rStyle w:val="StyleUnderline"/>
          <w:rFonts w:cs="Calibri"/>
        </w:rPr>
        <w:t xml:space="preserve">of the drug, and without that incentive </w:t>
      </w:r>
      <w:r w:rsidRPr="000328DE">
        <w:rPr>
          <w:rStyle w:val="StyleUnderline"/>
          <w:rFonts w:cs="Calibri"/>
          <w:highlight w:val="yellow"/>
        </w:rPr>
        <w:t xml:space="preserve">AZT might have languished </w:t>
      </w:r>
      <w:r w:rsidRPr="000328DE">
        <w:rPr>
          <w:rStyle w:val="StyleUnderline"/>
          <w:rFonts w:cs="Calibri"/>
        </w:rPr>
        <w:t xml:space="preserve">on the shelf </w:t>
      </w:r>
      <w:r w:rsidRPr="000328DE">
        <w:rPr>
          <w:rStyle w:val="StyleUnderline"/>
          <w:rFonts w:cs="Calibri"/>
          <w:highlight w:val="yellow"/>
        </w:rPr>
        <w:t xml:space="preserve">as </w:t>
      </w:r>
      <w:r w:rsidRPr="000328DE">
        <w:rPr>
          <w:rStyle w:val="StyleUnderline"/>
          <w:rFonts w:cs="Calibri"/>
        </w:rPr>
        <w:t xml:space="preserve">simply </w:t>
      </w:r>
      <w:r w:rsidRPr="000328DE">
        <w:rPr>
          <w:rStyle w:val="StyleUnderline"/>
          <w:rFonts w:cs="Calibri"/>
          <w:highlight w:val="yellow"/>
        </w:rPr>
        <w:t>one more failed drug candidate</w:t>
      </w:r>
      <w:r w:rsidRPr="000328DE">
        <w:rPr>
          <w:rStyle w:val="StyleUnderline"/>
          <w:rFonts w:cs="Calibri"/>
        </w:rPr>
        <w:t xml:space="preserve">. </w:t>
      </w:r>
      <w:r w:rsidRPr="000328DE">
        <w:rPr>
          <w:rFonts w:cs="Calibri"/>
          <w:sz w:val="16"/>
        </w:rPr>
        <w:t xml:space="preserve">Other examples of </w:t>
      </w:r>
      <w:r w:rsidRPr="000328DE">
        <w:rPr>
          <w:rStyle w:val="StyleUnderline"/>
          <w:rFonts w:cs="Calibri"/>
        </w:rPr>
        <w:t xml:space="preserve">important drugs that likely never would have been made available to patients without the availability of a “secondary” patent include </w:t>
      </w:r>
      <w:r w:rsidRPr="000328DE">
        <w:rPr>
          <w:rStyle w:val="StyleUnderline"/>
          <w:rFonts w:cs="Calibri"/>
          <w:highlight w:val="yellow"/>
        </w:rPr>
        <w:t>Evista</w:t>
      </w:r>
      <w:r w:rsidRPr="000328DE">
        <w:rPr>
          <w:rFonts w:cs="Calibri"/>
          <w:sz w:val="16"/>
        </w:rPr>
        <w:t xml:space="preserve"> (raloxifene, used in the treatment of osteoporosis and to reduce the risk of invasive breast cancer), </w:t>
      </w:r>
      <w:r w:rsidRPr="000328DE">
        <w:rPr>
          <w:rStyle w:val="StyleUnderline"/>
          <w:rFonts w:cs="Calibri"/>
          <w:highlight w:val="yellow"/>
        </w:rPr>
        <w:t>Zyprexa</w:t>
      </w:r>
      <w:r w:rsidRPr="000328DE">
        <w:rPr>
          <w:rFonts w:cs="Calibri"/>
          <w:sz w:val="16"/>
        </w:rPr>
        <w:t xml:space="preserve"> (olanzapine, used in the treatment of schizophrenia), and an orally-administrable formulation of the antibiotic cefuroxime. </w:t>
      </w:r>
      <w:r w:rsidRPr="000328DE">
        <w:rPr>
          <w:rStyle w:val="StyleUnderline"/>
          <w:rFonts w:cs="Calibri"/>
          <w:highlight w:val="yellow"/>
        </w:rPr>
        <w:t>Pharma</w:t>
      </w:r>
      <w:r w:rsidRPr="000328DE">
        <w:rPr>
          <w:rStyle w:val="StyleUnderline"/>
          <w:rFonts w:cs="Calibri"/>
        </w:rPr>
        <w:t xml:space="preserve">ceutical </w:t>
      </w:r>
      <w:r w:rsidRPr="000328DE">
        <w:rPr>
          <w:rStyle w:val="StyleUnderline"/>
          <w:rFonts w:cs="Calibri"/>
          <w:highlight w:val="yellow"/>
        </w:rPr>
        <w:t>development is prolonged and unpredictable</w:t>
      </w:r>
      <w:r w:rsidRPr="000328DE">
        <w:rPr>
          <w:rFonts w:cs="Calibri"/>
          <w:sz w:val="16"/>
        </w:rPr>
        <w:t xml:space="preserve">, and frequently a </w:t>
      </w:r>
      <w:r w:rsidRPr="000328DE">
        <w:rPr>
          <w:rStyle w:val="StyleUnderline"/>
          <w:rFonts w:cs="Calibri"/>
        </w:rPr>
        <w:t>safe and effective drug occurs only as a result of follow-on innovation occurring long after the initial synthesis and characterization of a pharmaceutically interesting chemical compound</w:t>
      </w:r>
      <w:r w:rsidRPr="000328DE">
        <w:rPr>
          <w:rFonts w:cs="Calibri"/>
          <w:sz w:val="16"/>
        </w:rPr>
        <w:t xml:space="preserve">. The </w:t>
      </w:r>
      <w:r w:rsidRPr="000328DE">
        <w:rPr>
          <w:rStyle w:val="StyleUnderline"/>
          <w:rFonts w:cs="Calibri"/>
        </w:rPr>
        <w:t xml:space="preserve">inventions protected by secondary patents can be just as critical to the development of drugs as a patent on the active ingredient itself. </w:t>
      </w:r>
      <w:r w:rsidRPr="000328DE">
        <w:rPr>
          <w:rFonts w:cs="Calibri"/>
          <w:sz w:val="16"/>
        </w:rPr>
        <w:t xml:space="preserve">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w:t>
      </w:r>
      <w:r w:rsidRPr="000328DE">
        <w:rPr>
          <w:rStyle w:val="StyleUnderline"/>
          <w:rFonts w:cs="Calibri"/>
          <w:highlight w:val="yellow"/>
        </w:rPr>
        <w:t>follow-on products</w:t>
      </w:r>
      <w:r w:rsidRPr="000328DE">
        <w:rPr>
          <w:rFonts w:cs="Calibri"/>
          <w:sz w:val="16"/>
        </w:rPr>
        <w:t xml:space="preserve"> that </w:t>
      </w:r>
      <w:r w:rsidRPr="000328DE">
        <w:rPr>
          <w:rStyle w:val="StyleUnderline"/>
          <w:rFonts w:cs="Calibri"/>
          <w:highlight w:val="yellow"/>
        </w:rPr>
        <w:t>represent significant improvements in</w:t>
      </w:r>
      <w:r w:rsidRPr="000328DE">
        <w:rPr>
          <w:rFonts w:cs="Calibri"/>
          <w:sz w:val="16"/>
        </w:rPr>
        <w:t xml:space="preserve"> the </w:t>
      </w:r>
      <w:r w:rsidRPr="000328DE">
        <w:rPr>
          <w:rStyle w:val="StyleUnderline"/>
          <w:rFonts w:cs="Calibri"/>
          <w:highlight w:val="yellow"/>
        </w:rPr>
        <w:t>safety</w:t>
      </w:r>
      <w:r w:rsidRPr="000328DE">
        <w:rPr>
          <w:rFonts w:cs="Calibri"/>
          <w:sz w:val="16"/>
        </w:rPr>
        <w:t xml:space="preserve">-efficacy profile. For example, the original formulation of </w:t>
      </w:r>
      <w:r w:rsidRPr="000328DE">
        <w:rPr>
          <w:rStyle w:val="StyleUnderline"/>
          <w:rFonts w:cs="Calibri"/>
          <w:highlight w:val="yellow"/>
        </w:rPr>
        <w:t>Lumigan</w:t>
      </w:r>
      <w:r w:rsidRPr="000328DE">
        <w:rPr>
          <w:rFonts w:cs="Calibri"/>
          <w:sz w:val="16"/>
        </w:rPr>
        <w:t xml:space="preserve"> (used to treat glaucoma) had an unfortunate tendency to </w:t>
      </w:r>
      <w:r w:rsidRPr="000328DE">
        <w:rPr>
          <w:rStyle w:val="StyleUnderline"/>
          <w:rFonts w:cs="Calibri"/>
          <w:highlight w:val="yellow"/>
        </w:rPr>
        <w:t>cause severe</w:t>
      </w:r>
      <w:r w:rsidRPr="000328DE">
        <w:rPr>
          <w:rFonts w:cs="Calibri"/>
          <w:sz w:val="16"/>
        </w:rPr>
        <w:t xml:space="preserve"> hyperemia (i.e., </w:t>
      </w:r>
      <w:r w:rsidRPr="000328DE">
        <w:rPr>
          <w:rStyle w:val="StyleUnderline"/>
          <w:rFonts w:cs="Calibri"/>
          <w:highlight w:val="yellow"/>
        </w:rPr>
        <w:t>redeye</w:t>
      </w:r>
      <w:r w:rsidRPr="000328DE">
        <w:rPr>
          <w:rFonts w:cs="Calibri"/>
          <w:sz w:val="16"/>
        </w:rPr>
        <w:t xml:space="preserve">), and this adverse event often </w:t>
      </w:r>
      <w:r w:rsidRPr="000328DE">
        <w:rPr>
          <w:rStyle w:val="StyleUnderline"/>
          <w:rFonts w:cs="Calibri"/>
          <w:highlight w:val="yellow"/>
        </w:rPr>
        <w:t>lead patients to stop using the drug</w:t>
      </w:r>
      <w:r w:rsidRPr="000328DE">
        <w:rPr>
          <w:rFonts w:cs="Calibri"/>
          <w:sz w:val="16"/>
        </w:rPr>
        <w:t xml:space="preserve">, at times </w:t>
      </w:r>
      <w:r w:rsidRPr="000328DE">
        <w:rPr>
          <w:rStyle w:val="StyleUnderline"/>
          <w:rFonts w:cs="Calibri"/>
          <w:highlight w:val="yellow"/>
        </w:rPr>
        <w:t>resulting in blindness</w:t>
      </w:r>
      <w:r w:rsidRPr="000328DE">
        <w:rPr>
          <w:rFonts w:cs="Calibri"/>
          <w:sz w:val="16"/>
        </w:rPr>
        <w:t xml:space="preserve">. Subsequent research led to a </w:t>
      </w:r>
      <w:r w:rsidRPr="000328DE">
        <w:rPr>
          <w:rStyle w:val="StyleUnderline"/>
          <w:rFonts w:cs="Calibri"/>
          <w:highlight w:val="yellow"/>
        </w:rPr>
        <w:t>new formulation</w:t>
      </w:r>
      <w:r w:rsidRPr="000328DE">
        <w:rPr>
          <w:rFonts w:cs="Calibri"/>
          <w:sz w:val="16"/>
        </w:rPr>
        <w:t xml:space="preserve"> which largely </w:t>
      </w:r>
      <w:r w:rsidRPr="000328DE">
        <w:rPr>
          <w:rStyle w:val="StyleUnderline"/>
          <w:rFonts w:cs="Calibri"/>
          <w:highlight w:val="yellow"/>
        </w:rPr>
        <w:t>alleviated the problem</w:t>
      </w:r>
      <w:r w:rsidRPr="000328DE">
        <w:rPr>
          <w:rFonts w:cs="Calibri"/>
          <w:sz w:val="16"/>
        </w:rPr>
        <w:t xml:space="preserve"> of hyperemia, an example of the type of follow-on innovation that significantly benefits patients but that which would be discouraged by a patent regime that does not reward follow-on innovation. </w:t>
      </w:r>
      <w:r w:rsidRPr="000328DE">
        <w:rPr>
          <w:rStyle w:val="StyleUnderline"/>
          <w:rFonts w:cs="Calibri"/>
        </w:rPr>
        <w:t>Follow-on pharmaceutical innovation can come in the form of an extended-release formulation that permits the drug to be administered at less frequent intervals than the original formulation</w:t>
      </w:r>
      <w:r w:rsidRPr="000328DE">
        <w:rPr>
          <w:rFonts w:cs="Calibri"/>
          <w:sz w:val="16"/>
        </w:rPr>
        <w:t xml:space="preserve">.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w:t>
      </w:r>
      <w:r w:rsidRPr="000328DE">
        <w:rPr>
          <w:rStyle w:val="Emphasis"/>
          <w:rFonts w:cs="Calibri"/>
          <w:highlight w:val="yellow"/>
        </w:rPr>
        <w:t>a patent on a</w:t>
      </w:r>
      <w:r w:rsidRPr="000328DE">
        <w:rPr>
          <w:rStyle w:val="Emphasis"/>
          <w:rFonts w:cs="Calibri"/>
        </w:rPr>
        <w:t xml:space="preserve">n </w:t>
      </w:r>
      <w:r w:rsidRPr="000328DE">
        <w:rPr>
          <w:rStyle w:val="Emphasis"/>
          <w:rFonts w:cs="Calibri"/>
          <w:highlight w:val="yellow"/>
        </w:rPr>
        <w:t>improved formula</w:t>
      </w:r>
      <w:r w:rsidRPr="000328DE">
        <w:rPr>
          <w:rStyle w:val="Emphasis"/>
          <w:rFonts w:cs="Calibri"/>
        </w:rPr>
        <w:t xml:space="preserve">tion, for example, </w:t>
      </w:r>
      <w:r w:rsidRPr="000328DE">
        <w:rPr>
          <w:rStyle w:val="Emphasis"/>
          <w:rFonts w:cs="Calibri"/>
          <w:highlight w:val="yellow"/>
        </w:rPr>
        <w:t xml:space="preserve">is limited to </w:t>
      </w:r>
      <w:r w:rsidRPr="000328DE">
        <w:rPr>
          <w:rStyle w:val="Emphasis"/>
          <w:rFonts w:cs="Calibri"/>
        </w:rPr>
        <w:t xml:space="preserve">that </w:t>
      </w:r>
      <w:r w:rsidRPr="000328DE">
        <w:rPr>
          <w:rStyle w:val="Emphasis"/>
          <w:rFonts w:cs="Calibri"/>
          <w:highlight w:val="yellow"/>
        </w:rPr>
        <w:t xml:space="preserve">improvement and does not extend </w:t>
      </w:r>
      <w:r w:rsidRPr="000328DE">
        <w:rPr>
          <w:rStyle w:val="Emphasis"/>
          <w:rFonts w:cs="Calibri"/>
        </w:rPr>
        <w:t xml:space="preserve">patent </w:t>
      </w:r>
      <w:r w:rsidRPr="000328DE">
        <w:rPr>
          <w:rStyle w:val="Emphasis"/>
          <w:rFonts w:cs="Calibri"/>
          <w:highlight w:val="yellow"/>
        </w:rPr>
        <w:t xml:space="preserve">protection for the original </w:t>
      </w:r>
      <w:r w:rsidRPr="000328DE">
        <w:rPr>
          <w:rStyle w:val="Emphasis"/>
          <w:rFonts w:cs="Calibri"/>
        </w:rPr>
        <w:t xml:space="preserve">formulation. </w:t>
      </w:r>
      <w:r w:rsidRPr="000328DE">
        <w:rPr>
          <w:rFonts w:cs="Calibri"/>
          <w:sz w:val="16"/>
        </w:rPr>
        <w:t xml:space="preserve">Once </w:t>
      </w:r>
      <w:r w:rsidRPr="000328DE">
        <w:rPr>
          <w:rFonts w:cs="Calibri"/>
          <w:sz w:val="16"/>
        </w:rPr>
        <w:lastRenderedPageBreak/>
        <w:t xml:space="preserve">the patents covering the original formulation have expired, </w:t>
      </w:r>
      <w:r w:rsidRPr="000328DE">
        <w:rPr>
          <w:rStyle w:val="StyleUnderline"/>
          <w:rFonts w:cs="Calibri"/>
        </w:rPr>
        <w:t>generic companies are free to market a generic version of the original product</w:t>
      </w:r>
      <w:r w:rsidRPr="000328DE">
        <w:rPr>
          <w:rFonts w:cs="Calibri"/>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0328DE">
        <w:rPr>
          <w:rStyle w:val="StyleUnderline"/>
          <w:rFonts w:cs="Calibri"/>
        </w:rPr>
        <w:t>if a drug company is found to have engaged in some anticompetitive activity to block generic competition in the market for the original product once it has gone off patent, then antitrust and competition laws should be invoked to address that problem</w:t>
      </w:r>
      <w:r w:rsidRPr="000328DE">
        <w:rPr>
          <w:rFonts w:cs="Calibri"/>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w:t>
      </w:r>
      <w:r w:rsidRPr="000328DE">
        <w:rPr>
          <w:rStyle w:val="StyleUnderline"/>
          <w:rFonts w:cs="Calibri"/>
        </w:rPr>
        <w:t>could constitute noncompliance with certain international treaties, including in particular the Agreement on Trade-Related Aspects of Intellectual Property Rights (“TRIPS Agreement”),</w:t>
      </w:r>
      <w:r w:rsidRPr="000328DE">
        <w:rPr>
          <w:rFonts w:cs="Calibri"/>
          <w:sz w:val="16"/>
        </w:rPr>
        <w:t xml:space="preserve">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 Best Practices for Evaluating the Patentability of Follow-On Pharmaceutical Inventions Patentable Subject Matter In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w:t>
      </w:r>
      <w:r w:rsidRPr="000328DE">
        <w:rPr>
          <w:rStyle w:val="Emphasis"/>
          <w:rFonts w:cs="Calibri"/>
        </w:rPr>
        <w:t>inventions arising out of follow-on pharmaceutical innovation</w:t>
      </w:r>
      <w:r w:rsidRPr="000328DE">
        <w:rPr>
          <w:rFonts w:cs="Calibri"/>
          <w:sz w:val="16"/>
        </w:rPr>
        <w:t xml:space="preserve">, and in particular the categories of “secondary” invention identified in the Guidelines, </w:t>
      </w:r>
      <w:r w:rsidRPr="000328DE">
        <w:rPr>
          <w:rStyle w:val="StyleUnderline"/>
          <w:rFonts w:cs="Calibri"/>
        </w:rPr>
        <w:t>should be deemed patentable subject matter so long as the various substantive requirements of patentability, including novelty, non-obviousness, and practical utility are satisfied</w:t>
      </w:r>
      <w:r w:rsidRPr="000328DE">
        <w:rPr>
          <w:rFonts w:cs="Calibri"/>
          <w:sz w:val="16"/>
        </w:rPr>
        <w:t xml:space="preserve">. Although </w:t>
      </w:r>
      <w:r w:rsidRPr="000328DE">
        <w:rPr>
          <w:rFonts w:cs="Calibri"/>
          <w:sz w:val="11"/>
          <w:szCs w:val="20"/>
        </w:rPr>
        <w:t xml:space="preserve">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naturally-occurring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in order to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each and every molecule encompassed by that disclosure. The rationale behind this approach, which is well-established in jurisdictions such as the US and Europe, is that while a generic disclosure can easily be defined so as to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
    <w:p w14:paraId="00153163" w14:textId="13820DF6" w:rsidR="00E457B0" w:rsidRDefault="00E457B0" w:rsidP="00E457B0">
      <w:pPr>
        <w:pStyle w:val="Heading4"/>
      </w:pPr>
      <w:bookmarkStart w:id="0" w:name="_Hlk82675487"/>
      <w:r>
        <w:t>This low innovation turns their superbugs point because innovation is key to solving</w:t>
      </w:r>
    </w:p>
    <w:p w14:paraId="481442A9" w14:textId="77777777" w:rsidR="00E457B0" w:rsidRDefault="00E457B0" w:rsidP="00E457B0">
      <w:r>
        <w:rPr>
          <w:b/>
          <w:bCs/>
          <w:sz w:val="24"/>
          <w:szCs w:val="28"/>
        </w:rPr>
        <w:t>Gallagher 16</w:t>
      </w:r>
      <w:r>
        <w:rPr>
          <w:sz w:val="24"/>
          <w:szCs w:val="28"/>
        </w:rPr>
        <w:t xml:space="preserve"> </w:t>
      </w:r>
      <w:r>
        <w:rPr>
          <w:sz w:val="18"/>
          <w:szCs w:val="20"/>
        </w:rPr>
        <w:t xml:space="preserve">[Chris Gallagher is now focused primarily on federal policies in Washington, DC. Chris has been involved in nearly every substantial New Hampshire economic regulatory initiative over the last 25 years. He has served as general counsel for the New Hampshire Bankers Association and has represented New Hampshire utilities, hospitals, insurers, aggregate manufacturers and numerous other entities. This experience provides him with a uniquely respected voice on Capitol Hill, enabling him to communicate effectively with members whose federal decision-making must reflect and respect the complexities of their home-state constituents.  A frequent speaker and commentator in local and national media on policy issues, regarding financial services, privacy, business and government, Chris has testified on financial services issues before U.S. House and Senate Committees and has been a panelist in Capitol Hill briefings on intellectual property issues. [7-14-2016, "The superbugs are here, but where are we?," IPWatchdog, </w:t>
      </w:r>
      <w:hyperlink r:id="rId12" w:history="1">
        <w:r>
          <w:rPr>
            <w:rStyle w:val="Hyperlink"/>
            <w:color w:val="000000"/>
            <w:sz w:val="18"/>
            <w:szCs w:val="20"/>
            <w:u w:val="single"/>
          </w:rPr>
          <w:t>https://www.ipwatchdog.com/2016/07/14/superbugs/id=70874/</w:t>
        </w:r>
      </w:hyperlink>
      <w:r>
        <w:rPr>
          <w:sz w:val="18"/>
          <w:szCs w:val="20"/>
        </w:rPr>
        <w:t xml:space="preserve"> ]AAli</w:t>
      </w:r>
    </w:p>
    <w:p w14:paraId="4C4E20DE" w14:textId="77777777" w:rsidR="00E457B0" w:rsidRDefault="00E457B0" w:rsidP="00E457B0">
      <w:pPr>
        <w:pStyle w:val="ListParagraph"/>
        <w:numPr>
          <w:ilvl w:val="0"/>
          <w:numId w:val="12"/>
        </w:numPr>
      </w:pPr>
      <w:r>
        <w:t>citing NIH study</w:t>
      </w:r>
    </w:p>
    <w:p w14:paraId="6C4FB319" w14:textId="77777777" w:rsidR="00E457B0" w:rsidRDefault="00E457B0" w:rsidP="00E457B0">
      <w:pPr>
        <w:rPr>
          <w:sz w:val="14"/>
          <w:szCs w:val="20"/>
        </w:rPr>
      </w:pPr>
      <w:r>
        <w:rPr>
          <w:sz w:val="14"/>
          <w:szCs w:val="20"/>
        </w:rPr>
        <w:lastRenderedPageBreak/>
        <w:t xml:space="preserve">In short, </w:t>
      </w:r>
      <w:r>
        <w:rPr>
          <w:rStyle w:val="StyleUnderline"/>
        </w:rPr>
        <w:t>human failure to survive the spread of superbugs</w:t>
      </w:r>
      <w:r>
        <w:rPr>
          <w:sz w:val="14"/>
          <w:szCs w:val="20"/>
        </w:rPr>
        <w:t xml:space="preserve"> may be politically </w:t>
      </w:r>
      <w:r>
        <w:rPr>
          <w:rStyle w:val="StyleUnderline"/>
        </w:rPr>
        <w:t>self-inflicted</w:t>
      </w:r>
      <w:r>
        <w:rPr>
          <w:sz w:val="14"/>
          <w:szCs w:val="20"/>
        </w:rPr>
        <w:t xml:space="preserve">! In simplest terms, two overarching realities at work. First, the superbugs are here. Their expanding hordes are not just festering in some far-off foreign country. They flourish here at home. The super-bug¹s equivalent of Darwin’s species-supportive coral reef is as near as your neighborhood health care center and wherever else our formerly-effective antibiotics were made most available and mindlessly mis-used. We are incubating and accelerating their spread. So whether or not this process causes the world¹s next pandemic, it may well become our country’s next health crisis. Second, the </w:t>
      </w:r>
      <w:r>
        <w:rPr>
          <w:rStyle w:val="Emphasis"/>
          <w:highlight w:val="yellow"/>
        </w:rPr>
        <w:t>anti-patent advocates</w:t>
      </w:r>
      <w:r>
        <w:rPr>
          <w:sz w:val="14"/>
          <w:szCs w:val="20"/>
        </w:rPr>
        <w:t xml:space="preserve"> and worldwide health care hand-wringers both </w:t>
      </w:r>
      <w:r>
        <w:rPr>
          <w:rStyle w:val="StyleUnderline"/>
        </w:rPr>
        <w:t xml:space="preserve">are effectively </w:t>
      </w:r>
      <w:r>
        <w:rPr>
          <w:rStyle w:val="Emphasis"/>
          <w:highlight w:val="yellow"/>
        </w:rPr>
        <w:t>pursuing IP degradation</w:t>
      </w:r>
      <w:r>
        <w:rPr>
          <w:rStyle w:val="StyleUnderline"/>
        </w:rPr>
        <w:t xml:space="preserve"> and other biopharma price controls that </w:t>
      </w:r>
      <w:r>
        <w:rPr>
          <w:rStyle w:val="Emphasis"/>
          <w:highlight w:val="yellow"/>
        </w:rPr>
        <w:t>will</w:t>
      </w:r>
      <w:r>
        <w:rPr>
          <w:rStyle w:val="Emphasis"/>
        </w:rPr>
        <w:t xml:space="preserve"> </w:t>
      </w:r>
      <w:r>
        <w:rPr>
          <w:rStyle w:val="Emphasis"/>
          <w:highlight w:val="yellow"/>
        </w:rPr>
        <w:t xml:space="preserve">kill </w:t>
      </w:r>
      <w:r>
        <w:rPr>
          <w:rStyle w:val="Emphasis"/>
        </w:rPr>
        <w:t xml:space="preserve">our </w:t>
      </w:r>
      <w:r>
        <w:rPr>
          <w:rStyle w:val="Emphasis"/>
          <w:highlight w:val="yellow"/>
        </w:rPr>
        <w:t xml:space="preserve">life science innovation ecosystem’s capacity to effectively respond to </w:t>
      </w:r>
      <w:r>
        <w:rPr>
          <w:rStyle w:val="StyleUnderline"/>
        </w:rPr>
        <w:t>the</w:t>
      </w:r>
      <w:r>
        <w:rPr>
          <w:rStyle w:val="Emphasis"/>
        </w:rPr>
        <w:t xml:space="preserve"> </w:t>
      </w:r>
      <w:r>
        <w:rPr>
          <w:rStyle w:val="Emphasis"/>
          <w:highlight w:val="yellow"/>
        </w:rPr>
        <w:t>superbugs</w:t>
      </w:r>
      <w:r>
        <w:rPr>
          <w:sz w:val="14"/>
          <w:szCs w:val="20"/>
        </w:rPr>
        <w:t xml:space="preserve">. </w:t>
      </w:r>
      <w:r>
        <w:rPr>
          <w:rStyle w:val="StyleUnderline"/>
        </w:rPr>
        <w:t xml:space="preserve">The </w:t>
      </w:r>
      <w:r>
        <w:rPr>
          <w:rStyle w:val="Emphasis"/>
          <w:highlight w:val="yellow"/>
        </w:rPr>
        <w:t>system can</w:t>
      </w:r>
      <w:r>
        <w:rPr>
          <w:rStyle w:val="Emphasis"/>
        </w:rPr>
        <w:t>no</w:t>
      </w:r>
      <w:r>
        <w:rPr>
          <w:rStyle w:val="Emphasis"/>
          <w:highlight w:val="yellow"/>
        </w:rPr>
        <w:t>t work without private investment</w:t>
      </w:r>
      <w:r>
        <w:rPr>
          <w:rStyle w:val="StyleUnderline"/>
        </w:rPr>
        <w:t xml:space="preserve">. We now are nowhere near ready to disrupt, much less degrade superbugs’ elusive shapeshifting. Worse, we are witnessing more destruction of the means to obtain effective countermeasures. </w:t>
      </w:r>
      <w:r>
        <w:rPr>
          <w:rStyle w:val="Emphasis"/>
          <w:highlight w:val="yellow"/>
        </w:rPr>
        <w:t xml:space="preserve">Instead of encouraging </w:t>
      </w:r>
      <w:r>
        <w:rPr>
          <w:rStyle w:val="StyleUnderline"/>
        </w:rPr>
        <w:t>the deployment of</w:t>
      </w:r>
      <w:r>
        <w:rPr>
          <w:rStyle w:val="Emphasis"/>
        </w:rPr>
        <w:t xml:space="preserve"> </w:t>
      </w:r>
      <w:r>
        <w:rPr>
          <w:rStyle w:val="Emphasis"/>
          <w:highlight w:val="yellow"/>
        </w:rPr>
        <w:t>financial incentives</w:t>
      </w:r>
      <w:r>
        <w:rPr>
          <w:rStyle w:val="StyleUnderline"/>
        </w:rPr>
        <w:t xml:space="preserve"> needed to support the herculean efforts of Dr Fauci, </w:t>
      </w:r>
      <w:r>
        <w:rPr>
          <w:rStyle w:val="Emphasis"/>
          <w:highlight w:val="yellow"/>
        </w:rPr>
        <w:t>we are doing</w:t>
      </w:r>
      <w:r>
        <w:rPr>
          <w:rStyle w:val="StyleUnderline"/>
        </w:rPr>
        <w:t xml:space="preserve"> just </w:t>
      </w:r>
      <w:r>
        <w:rPr>
          <w:rStyle w:val="Emphasis"/>
          <w:highlight w:val="yellow"/>
        </w:rPr>
        <w:t>the opposite</w:t>
      </w:r>
      <w:r>
        <w:rPr>
          <w:sz w:val="14"/>
          <w:szCs w:val="20"/>
        </w:rPr>
        <w:t xml:space="preserve">. Read the short </w:t>
      </w:r>
      <w:r>
        <w:rPr>
          <w:rStyle w:val="Emphasis"/>
          <w:highlight w:val="yellow"/>
        </w:rPr>
        <w:t>NIH report</w:t>
      </w:r>
      <w:r>
        <w:rPr>
          <w:sz w:val="14"/>
          <w:szCs w:val="20"/>
        </w:rPr>
        <w:t xml:space="preserve">, or at least the excerpts below. They describe the situation NOW. The </w:t>
      </w:r>
      <w:r>
        <w:rPr>
          <w:rStyle w:val="Emphasis"/>
          <w:highlight w:val="yellow"/>
        </w:rPr>
        <w:t>development of new antibiotics</w:t>
      </w:r>
      <w:r>
        <w:rPr>
          <w:rStyle w:val="StyleUnderline"/>
        </w:rPr>
        <w:t xml:space="preserve"> by the pharmaceutical industry</w:t>
      </w:r>
      <w:r>
        <w:rPr>
          <w:sz w:val="14"/>
          <w:szCs w:val="20"/>
        </w:rPr>
        <w:t xml:space="preserve">, a strategy that had been effective at combating resistant bacteria in the past, </w:t>
      </w:r>
      <w:r>
        <w:rPr>
          <w:rStyle w:val="StyleUnderline"/>
        </w:rPr>
        <w:t xml:space="preserve">had essentially </w:t>
      </w:r>
      <w:r>
        <w:rPr>
          <w:rStyle w:val="Emphasis"/>
          <w:highlight w:val="yellow"/>
        </w:rPr>
        <w:t>stalled</w:t>
      </w:r>
      <w:r>
        <w:rPr>
          <w:rStyle w:val="StyleUnderline"/>
          <w:highlight w:val="yellow"/>
        </w:rPr>
        <w:t xml:space="preserve"> due to</w:t>
      </w:r>
      <w:r>
        <w:rPr>
          <w:rStyle w:val="StyleUnderline"/>
        </w:rPr>
        <w:t xml:space="preserve"> economic and </w:t>
      </w:r>
      <w:r>
        <w:rPr>
          <w:rStyle w:val="StyleUnderline"/>
          <w:highlight w:val="yellow"/>
        </w:rPr>
        <w:t>regulatory obstacles</w:t>
      </w:r>
      <w:r>
        <w:rPr>
          <w:sz w:val="14"/>
          <w:szCs w:val="20"/>
        </w:rPr>
        <w:t xml:space="preserve">. </w:t>
      </w:r>
      <w:r>
        <w:rPr>
          <w:sz w:val="14"/>
        </w:rPr>
        <w:t>Of the 18 largest pharmaceutical companies, 15 abandoned the antibiotic field</w:t>
      </w:r>
      <w:r>
        <w:rPr>
          <w:rStyle w:val="StyleUnderline"/>
        </w:rPr>
        <w:t>. Mergers between pharmaceutical companies have also substantially reduced the number and diversity of research teams.</w:t>
      </w:r>
      <w:r>
        <w:rPr>
          <w:sz w:val="14"/>
          <w:szCs w:val="20"/>
        </w:rPr>
        <w:t xml:space="preserve"> Antibiotic research conducted in academia has been scaled back as a result of funding cuts due to the economic crisis. (Emphasis my own) </w:t>
      </w:r>
      <w:r>
        <w:rPr>
          <w:rStyle w:val="StyleUnderline"/>
        </w:rPr>
        <w:t>Antibiotic development</w:t>
      </w:r>
      <w:r>
        <w:rPr>
          <w:sz w:val="14"/>
          <w:szCs w:val="20"/>
        </w:rPr>
        <w:t xml:space="preserve"> is no longer considered to be an economically wise investment for the pharmaceutical industry.14 </w:t>
      </w:r>
      <w:r>
        <w:rPr>
          <w:rStyle w:val="StyleUnderline"/>
          <w:highlight w:val="yellow"/>
        </w:rPr>
        <w:t>Because antibiotics are used for relatively short periods</w:t>
      </w:r>
      <w:r>
        <w:rPr>
          <w:rStyle w:val="StyleUnderline"/>
        </w:rPr>
        <w:t xml:space="preserve"> and are often curative</w:t>
      </w:r>
      <w:r>
        <w:rPr>
          <w:rStyle w:val="StyleUnderline"/>
          <w:highlight w:val="yellow"/>
        </w:rPr>
        <w:t>, antibiotics are not as profitable as drugs that treat chronic conditions</w:t>
      </w:r>
      <w:r>
        <w:rPr>
          <w:rStyle w:val="StyleUnderline"/>
        </w:rPr>
        <w:t>, such as diabetes, psychiatric disorders, asthma, or gastroesophageal reflux</w:t>
      </w:r>
      <w:r>
        <w:rPr>
          <w:sz w:val="14"/>
          <w:szCs w:val="20"/>
        </w:rPr>
        <w:t>. A cost</w:t>
      </w:r>
      <w:r>
        <w:rPr>
          <w:sz w:val="14"/>
          <w:szCs w:val="20"/>
        </w:rPr>
        <w:softHyphen/>
        <w:t xml:space="preserve"> benefit analysis by the Office of Health Economics in London calculated that the net present value (NPV) of a new antibiotic is only about $50 million, compared to approximately $1 billion for a drug used to treat a neuromuscular disease. Because medicines for chronic conditions are more profitable, pharmaceutical companies prefer to invest in them. Another factor that causes antibiotic development to lack economic appeal is the relatively low cost of antibiotics. Newer antibiotics are generally priced at a maximum of $1,000 to $3,000 per course compared with cancer chemotherapy that costs tens of thousands of dollars. </w:t>
      </w:r>
      <w:r>
        <w:rPr>
          <w:rStyle w:val="StyleUnderline"/>
        </w:rPr>
        <w:t xml:space="preserve">The </w:t>
      </w:r>
      <w:r>
        <w:rPr>
          <w:rStyle w:val="StyleUnderline"/>
          <w:highlight w:val="yellow"/>
        </w:rPr>
        <w:t xml:space="preserve">availability, ease of use, and </w:t>
      </w:r>
      <w:r>
        <w:rPr>
          <w:rStyle w:val="StyleUnderline"/>
        </w:rPr>
        <w:t xml:space="preserve">generally </w:t>
      </w:r>
      <w:r>
        <w:rPr>
          <w:rStyle w:val="StyleUnderline"/>
          <w:highlight w:val="yellow"/>
        </w:rPr>
        <w:t xml:space="preserve">low cost of antibiotics has </w:t>
      </w:r>
      <w:r>
        <w:rPr>
          <w:rStyle w:val="StyleUnderline"/>
        </w:rPr>
        <w:t xml:space="preserve">also </w:t>
      </w:r>
      <w:r>
        <w:rPr>
          <w:rStyle w:val="StyleUnderline"/>
          <w:highlight w:val="yellow"/>
        </w:rPr>
        <w:t xml:space="preserve">led to a perception of low value </w:t>
      </w:r>
      <w:r>
        <w:rPr>
          <w:rStyle w:val="StyleUnderline"/>
        </w:rPr>
        <w:t>among payers and the public</w:t>
      </w:r>
      <w:r>
        <w:rPr>
          <w:sz w:val="14"/>
          <w:szCs w:val="20"/>
        </w:rPr>
        <w:t xml:space="preserve">. NIH concludes as follows: Rapidly emerging resistant bacteria threaten the extraordinary health benefits that have been achieved with antibiotics.14 This crisis is global, reflecting the worldwide overuse of these drugs and the lack of development of new antibiotic agents by pharmaceutical companies to address the challenge.14 </w:t>
      </w:r>
      <w:r>
        <w:rPr>
          <w:rStyle w:val="Emphasis"/>
          <w:highlight w:val="yellow"/>
        </w:rPr>
        <w:t>Antibiotic-resistant infections place a substantial</w:t>
      </w:r>
      <w:r>
        <w:rPr>
          <w:rStyle w:val="StyleUnderline"/>
        </w:rPr>
        <w:t xml:space="preserve"> health and economic </w:t>
      </w:r>
      <w:r>
        <w:rPr>
          <w:rStyle w:val="Emphasis"/>
          <w:highlight w:val="yellow"/>
        </w:rPr>
        <w:t xml:space="preserve">burden on </w:t>
      </w:r>
      <w:r>
        <w:rPr>
          <w:rStyle w:val="StyleUnderline"/>
        </w:rPr>
        <w:t>the U.S.</w:t>
      </w:r>
      <w:r>
        <w:rPr>
          <w:rStyle w:val="Emphasis"/>
        </w:rPr>
        <w:t xml:space="preserve"> </w:t>
      </w:r>
      <w:r>
        <w:rPr>
          <w:rStyle w:val="Emphasis"/>
          <w:highlight w:val="yellow"/>
        </w:rPr>
        <w:t>health care system</w:t>
      </w:r>
      <w:r>
        <w:rPr>
          <w:rStyle w:val="StyleUnderline"/>
        </w:rPr>
        <w:t xml:space="preserve"> and population</w:t>
      </w:r>
      <w:r>
        <w:rPr>
          <w:sz w:val="14"/>
          <w:szCs w:val="20"/>
        </w:rPr>
        <w:t xml:space="preserve">.1 Coordinated efforts to implement new policies, renew research efforts, and pursue steps to manage the crisis are greatly needed. Imagine </w:t>
      </w:r>
      <w:r>
        <w:rPr>
          <w:rStyle w:val="StyleUnderline"/>
        </w:rPr>
        <w:t>what will happen if the anti patent</w:t>
      </w:r>
      <w:r>
        <w:rPr>
          <w:sz w:val="14"/>
          <w:szCs w:val="20"/>
        </w:rPr>
        <w:t xml:space="preserve">, price controlling </w:t>
      </w:r>
      <w:r>
        <w:rPr>
          <w:rStyle w:val="StyleUnderline"/>
        </w:rPr>
        <w:t>have their way with Congress</w:t>
      </w:r>
      <w:r>
        <w:rPr>
          <w:sz w:val="14"/>
          <w:szCs w:val="20"/>
        </w:rPr>
        <w:t xml:space="preserve"> and a new Administration. In short, the superbugs are scary. Our life science ecosystem that so effectively responded to once unmet biomedical needs is not able or ready to disarm them. As NIH notes above, </w:t>
      </w:r>
      <w:r>
        <w:rPr>
          <w:rStyle w:val="StyleUnderline"/>
        </w:rPr>
        <w:t xml:space="preserve">the usual </w:t>
      </w:r>
      <w:r>
        <w:rPr>
          <w:rStyle w:val="Emphasis"/>
          <w:highlight w:val="yellow"/>
        </w:rPr>
        <w:t>risk-reward incentives are badly out of balance</w:t>
      </w:r>
      <w:r>
        <w:rPr>
          <w:sz w:val="14"/>
          <w:szCs w:val="20"/>
        </w:rPr>
        <w:t>. Predictable ROI is insufficient to attract investment, which means it is time for government, academia, biopharma, and special healthcare interest groups to close ranks and fall in behind NAIAD’s Dr Fauci</w:t>
      </w:r>
      <w:r>
        <w:rPr>
          <w:rStyle w:val="StyleUnderline"/>
        </w:rPr>
        <w:t>. Finger-pointing slogans by self-appointed saviors of the world’s down-trodden will not end this evolutionary crisis</w:t>
      </w:r>
      <w:r>
        <w:rPr>
          <w:sz w:val="14"/>
          <w:szCs w:val="20"/>
        </w:rPr>
        <w:t xml:space="preserve">. </w:t>
      </w:r>
      <w:r>
        <w:rPr>
          <w:rStyle w:val="StyleUnderline"/>
        </w:rPr>
        <w:t>Caving in to big tech’s anti-patent crusade or politically imposed price controls will surely make matters worse</w:t>
      </w:r>
      <w:r>
        <w:rPr>
          <w:sz w:val="14"/>
          <w:szCs w:val="20"/>
        </w:rPr>
        <w:t xml:space="preserve">. Relying on biopharma to fight these fights alone will not resolve the problem. The superbugs aren’t coming — they are here! We need nothing less than a collaborative life science coalition to simultaneously fight this multi fronted evolutionary battle in the courts, our research labs , our medical centers and especially on Capitol Hill. Drug developers compete in a world-wide market. </w:t>
      </w:r>
      <w:r w:rsidRPr="00C220B4">
        <w:rPr>
          <w:rStyle w:val="StyleUnderline"/>
        </w:rPr>
        <w:t xml:space="preserve">Perceived </w:t>
      </w:r>
      <w:r w:rsidRPr="00C220B4">
        <w:rPr>
          <w:rStyle w:val="Emphasis"/>
        </w:rPr>
        <w:t>return on investment</w:t>
      </w:r>
      <w:r w:rsidRPr="00C220B4">
        <w:rPr>
          <w:rStyle w:val="StyleUnderline"/>
        </w:rPr>
        <w:t xml:space="preserve"> (</w:t>
      </w:r>
      <w:r>
        <w:rPr>
          <w:rStyle w:val="StyleUnderline"/>
        </w:rPr>
        <w:t xml:space="preserve">ROI) </w:t>
      </w:r>
      <w:r w:rsidRPr="00C220B4">
        <w:rPr>
          <w:rStyle w:val="Emphasis"/>
        </w:rPr>
        <w:t>is the linchpin for life science commercialization</w:t>
      </w:r>
      <w:r w:rsidRPr="00C220B4">
        <w:rPr>
          <w:sz w:val="14"/>
          <w:szCs w:val="20"/>
        </w:rPr>
        <w:t>. So in the private</w:t>
      </w:r>
      <w:r>
        <w:rPr>
          <w:sz w:val="14"/>
          <w:szCs w:val="20"/>
        </w:rPr>
        <w:t xml:space="preserve"> sector, where traditional ROI incentives no longer work </w:t>
      </w:r>
      <w:r>
        <w:rPr>
          <w:rStyle w:val="Emphasis"/>
          <w:highlight w:val="yellow"/>
        </w:rPr>
        <w:t>patents</w:t>
      </w:r>
      <w:r>
        <w:rPr>
          <w:sz w:val="14"/>
          <w:szCs w:val="20"/>
        </w:rPr>
        <w:t xml:space="preserve"> either </w:t>
      </w:r>
      <w:r>
        <w:rPr>
          <w:rStyle w:val="Emphasis"/>
          <w:highlight w:val="yellow"/>
        </w:rPr>
        <w:t>must be strengthened</w:t>
      </w:r>
      <w:r>
        <w:rPr>
          <w:sz w:val="14"/>
          <w:szCs w:val="20"/>
        </w:rPr>
        <w:t xml:space="preserve"> or ROI targets must be adjusted down. The only certainty in todays uncertain IP world is the </w:t>
      </w:r>
      <w:r>
        <w:rPr>
          <w:rStyle w:val="StyleUnderline"/>
        </w:rPr>
        <w:t xml:space="preserve">politically </w:t>
      </w:r>
      <w:r>
        <w:rPr>
          <w:rStyle w:val="Emphasis"/>
          <w:highlight w:val="yellow"/>
        </w:rPr>
        <w:t>weakening our innovation ecosystem with patent degradation</w:t>
      </w:r>
      <w:r>
        <w:rPr>
          <w:rStyle w:val="StyleUnderline"/>
        </w:rPr>
        <w:t xml:space="preserve"> and price controls </w:t>
      </w:r>
      <w:r>
        <w:rPr>
          <w:rStyle w:val="Emphasis"/>
          <w:highlight w:val="yellow"/>
        </w:rPr>
        <w:t>is plainly counterproductive</w:t>
      </w:r>
      <w:r>
        <w:rPr>
          <w:sz w:val="14"/>
          <w:szCs w:val="20"/>
        </w:rPr>
        <w:t xml:space="preserve">. In the global marketplace, it doesn’t matter whether foreseeable future market demand is shrunk, or predictable ROI is masked by the intrusive uncertainties of Bayh-Dole price-based March-in, Colombian compulsory licensing, Indonesian “process-product” word games, India and China’s mercantilism or Canada’s Promise Doctrine. If early stage investment in the war against the superbugs fails to enable adequate predictable ROI, commercialization and development simply will not happen. </w:t>
      </w:r>
    </w:p>
    <w:bookmarkEnd w:id="0"/>
    <w:p w14:paraId="4896A6BD" w14:textId="77777777" w:rsidR="00E457B0" w:rsidRPr="009A0D62" w:rsidRDefault="00E457B0" w:rsidP="00E457B0"/>
    <w:p w14:paraId="42B70CDA" w14:textId="77777777" w:rsidR="004A6360" w:rsidRDefault="004A6360" w:rsidP="004A6360">
      <w:pPr>
        <w:pStyle w:val="Heading3"/>
        <w:rPr>
          <w:rFonts w:cs="Calibri"/>
        </w:rPr>
      </w:pPr>
      <w:r w:rsidRPr="000328DE">
        <w:rPr>
          <w:rFonts w:cs="Calibri"/>
        </w:rPr>
        <w:lastRenderedPageBreak/>
        <w:t xml:space="preserve">AT: </w:t>
      </w:r>
      <w:r>
        <w:rPr>
          <w:rFonts w:cs="Calibri"/>
        </w:rPr>
        <w:t>Pandemics</w:t>
      </w:r>
    </w:p>
    <w:p w14:paraId="574BA032" w14:textId="77777777" w:rsidR="004A6360" w:rsidRPr="00990CCB" w:rsidRDefault="004A6360" w:rsidP="004A6360">
      <w:pPr>
        <w:pStyle w:val="Heading4"/>
        <w:rPr>
          <w:u w:val="single"/>
        </w:rPr>
      </w:pPr>
      <w:bookmarkStart w:id="1" w:name="_Hlk493003461"/>
      <w:bookmarkStart w:id="2" w:name="_Hlk496941566"/>
      <w:r>
        <w:t xml:space="preserve">Their impact </w:t>
      </w:r>
      <w:r w:rsidRPr="00990CCB">
        <w:rPr>
          <w:u w:val="single"/>
        </w:rPr>
        <w:t>starts at 4%</w:t>
      </w:r>
    </w:p>
    <w:p w14:paraId="0B4D89B1" w14:textId="77777777" w:rsidR="004A6360" w:rsidRPr="000B5D05" w:rsidRDefault="004A6360" w:rsidP="004A6360">
      <w:r w:rsidRPr="00990CCB">
        <w:rPr>
          <w:rStyle w:val="Style13ptBold"/>
        </w:rPr>
        <w:t>Cotton-Barratt 17</w:t>
      </w:r>
      <w:r>
        <w:t xml:space="preserve"> [</w:t>
      </w:r>
      <w:r w:rsidRPr="000B5D05">
        <w:t>Owen Cotton-</w:t>
      </w:r>
      <w:r w:rsidRPr="00990CCB">
        <w:t>Barratt, PhD in Pure Mathematics, Oxford, Lecturer in Mathematics at Oxford, Research Associate at the Future of Humanity Institute, 2/3/2017, Existential Risk: Diplomacy and Governance, https://www.fhi.ox.ac.uk/wp-content/uploads/Existential-Risks-2017-01-23.pdf]</w:t>
      </w:r>
    </w:p>
    <w:p w14:paraId="38A7F184" w14:textId="77777777" w:rsidR="004A6360" w:rsidRPr="000B5D05" w:rsidRDefault="004A6360" w:rsidP="004A6360">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F532F6">
        <w:rPr>
          <w:rStyle w:val="StyleUnderline"/>
          <w:highlight w:val="cyan"/>
        </w:rPr>
        <w:t>pandemics are</w:t>
      </w:r>
      <w:r w:rsidRPr="000B5D05">
        <w:rPr>
          <w:rStyle w:val="StyleUnderline"/>
        </w:rPr>
        <w:t xml:space="preserve"> </w:t>
      </w:r>
      <w:r w:rsidRPr="000B5D05">
        <w:rPr>
          <w:rStyle w:val="Emphasis"/>
        </w:rPr>
        <w:t xml:space="preserve">very </w:t>
      </w:r>
      <w:r w:rsidRPr="00F532F6">
        <w:rPr>
          <w:rStyle w:val="Emphasis"/>
          <w:highlight w:val="cyan"/>
        </w:rPr>
        <w:t xml:space="preserve">unlikely to cause </w:t>
      </w:r>
      <w:r w:rsidRPr="000B5D05">
        <w:rPr>
          <w:rStyle w:val="Emphasis"/>
        </w:rPr>
        <w:t xml:space="preserve">human </w:t>
      </w:r>
      <w:r w:rsidRPr="00F532F6">
        <w:rPr>
          <w:rStyle w:val="Emphasis"/>
          <w:highlight w:val="cyan"/>
        </w:rPr>
        <w:t>extinction</w:t>
      </w:r>
      <w:r w:rsidRPr="00F532F6">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F532F6">
        <w:rPr>
          <w:rStyle w:val="StyleUnderline"/>
          <w:highlight w:val="cyan"/>
        </w:rPr>
        <w:t>of</w:t>
      </w:r>
      <w:r w:rsidRPr="000B5D05">
        <w:rPr>
          <w:rStyle w:val="StyleUnderline"/>
        </w:rPr>
        <w:t xml:space="preserve"> the </w:t>
      </w:r>
      <w:r w:rsidRPr="00F532F6">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F532F6">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F532F6">
        <w:rPr>
          <w:rStyle w:val="Emphasis"/>
          <w:highlight w:val="cyan"/>
        </w:rPr>
        <w:t>4%</w:t>
      </w:r>
      <w:r w:rsidRPr="000B5D05">
        <w:rPr>
          <w:rStyle w:val="StyleUnderline"/>
        </w:rPr>
        <w:t xml:space="preserve"> (31 species) </w:t>
      </w:r>
      <w:r w:rsidRPr="00F532F6">
        <w:rPr>
          <w:rStyle w:val="StyleUnderline"/>
          <w:highlight w:val="cyan"/>
        </w:rPr>
        <w:t xml:space="preserve">were </w:t>
      </w:r>
      <w:r w:rsidRPr="00D452C9">
        <w:rPr>
          <w:rStyle w:val="StyleUnderline"/>
        </w:rPr>
        <w:t xml:space="preserve">ascribed </w:t>
      </w:r>
      <w:r w:rsidRPr="00F532F6">
        <w:rPr>
          <w:rStyle w:val="StyleUnderline"/>
          <w:highlight w:val="cyan"/>
        </w:rPr>
        <w:t xml:space="preserve">to </w:t>
      </w:r>
      <w:r w:rsidRPr="00D452C9">
        <w:rPr>
          <w:rStyle w:val="StyleUnderline"/>
        </w:rPr>
        <w:t xml:space="preserve">infectious </w:t>
      </w:r>
      <w:r w:rsidRPr="00F532F6">
        <w:rPr>
          <w:rStyle w:val="StyleUnderline"/>
          <w:highlight w:val="cyan"/>
        </w:rPr>
        <w:t>disease</w:t>
      </w:r>
      <w:r w:rsidRPr="00F532F6">
        <w:rPr>
          <w:sz w:val="16"/>
          <w:highlight w:val="cyan"/>
        </w:rPr>
        <w:t>.</w:t>
      </w:r>
      <w:r w:rsidRPr="000B5D05">
        <w:rPr>
          <w:sz w:val="16"/>
        </w:rPr>
        <w:t xml:space="preserve">38 </w:t>
      </w:r>
      <w:r w:rsidRPr="00F532F6">
        <w:rPr>
          <w:rStyle w:val="StyleUnderline"/>
          <w:highlight w:val="cyan"/>
        </w:rPr>
        <w:t>None</w:t>
      </w:r>
      <w:r w:rsidRPr="000B5D05">
        <w:rPr>
          <w:rStyle w:val="StyleUnderline"/>
        </w:rPr>
        <w:t xml:space="preserve"> of the mammals and amphibians on this list </w:t>
      </w:r>
      <w:r w:rsidRPr="00F532F6">
        <w:rPr>
          <w:rStyle w:val="StyleUnderline"/>
          <w:highlight w:val="cyan"/>
        </w:rPr>
        <w:t>were globally dispersed,</w:t>
      </w:r>
      <w:r w:rsidRPr="000B5D05">
        <w:rPr>
          <w:rStyle w:val="StyleUnderline"/>
        </w:rPr>
        <w:t xml:space="preserve"> and </w:t>
      </w:r>
      <w:r w:rsidRPr="00F532F6">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F532F6">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F532F6">
        <w:rPr>
          <w:rStyle w:val="StyleUnderline"/>
          <w:highlight w:val="cyan"/>
        </w:rPr>
        <w:t>our</w:t>
      </w:r>
      <w:r w:rsidRPr="000B5D05">
        <w:rPr>
          <w:rStyle w:val="StyleUnderline"/>
        </w:rPr>
        <w:t xml:space="preserve"> own </w:t>
      </w:r>
      <w:r w:rsidRPr="00F532F6">
        <w:rPr>
          <w:rStyle w:val="StyleUnderline"/>
          <w:highlight w:val="cyan"/>
        </w:rPr>
        <w:t>species</w:t>
      </w:r>
      <w:r w:rsidRPr="000B5D05">
        <w:rPr>
          <w:rStyle w:val="StyleUnderline"/>
        </w:rPr>
        <w:t xml:space="preserve">, which </w:t>
      </w:r>
      <w:r w:rsidRPr="00F532F6">
        <w:rPr>
          <w:rStyle w:val="StyleUnderline"/>
          <w:highlight w:val="cyan"/>
        </w:rPr>
        <w:t xml:space="preserve">is </w:t>
      </w:r>
      <w:r w:rsidRPr="00D452C9">
        <w:rPr>
          <w:rStyle w:val="Emphasis"/>
        </w:rPr>
        <w:t xml:space="preserve">very </w:t>
      </w:r>
      <w:r w:rsidRPr="00F532F6">
        <w:rPr>
          <w:rStyle w:val="Emphasis"/>
          <w:highlight w:val="cyan"/>
        </w:rPr>
        <w:t>numerous</w:t>
      </w:r>
      <w:r w:rsidRPr="00F532F6">
        <w:rPr>
          <w:rStyle w:val="StyleUnderline"/>
          <w:highlight w:val="cyan"/>
        </w:rPr>
        <w:t xml:space="preserve">, </w:t>
      </w:r>
      <w:r w:rsidRPr="00F532F6">
        <w:rPr>
          <w:rStyle w:val="Emphasis"/>
          <w:highlight w:val="cyan"/>
        </w:rPr>
        <w:t>globally dispersed</w:t>
      </w:r>
      <w:r w:rsidRPr="00F532F6">
        <w:rPr>
          <w:rStyle w:val="StyleUnderline"/>
          <w:highlight w:val="cyan"/>
        </w:rPr>
        <w:t xml:space="preserve">, and capable of a </w:t>
      </w:r>
      <w:r w:rsidRPr="00F532F6">
        <w:rPr>
          <w:rStyle w:val="Emphasis"/>
          <w:highlight w:val="cyan"/>
        </w:rPr>
        <w:t>rational response</w:t>
      </w:r>
      <w:r w:rsidRPr="000B5D05">
        <w:rPr>
          <w:rStyle w:val="Emphasis"/>
        </w:rPr>
        <w:t xml:space="preserve"> to problems</w:t>
      </w:r>
      <w:r w:rsidRPr="000B5D05">
        <w:rPr>
          <w:rStyle w:val="StyleUnderline"/>
        </w:rPr>
        <w:t xml:space="preserve">, is </w:t>
      </w:r>
      <w:r w:rsidRPr="00F532F6">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1DE920DC" w14:textId="22F26B35" w:rsidR="004A6360" w:rsidRDefault="004A6360" w:rsidP="004A6360">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F532F6">
        <w:rPr>
          <w:rStyle w:val="StyleUnderline"/>
          <w:highlight w:val="cyan"/>
        </w:rPr>
        <w:t xml:space="preserve">pathogens </w:t>
      </w:r>
      <w:r w:rsidRPr="00D452C9">
        <w:rPr>
          <w:rStyle w:val="StyleUnderline"/>
        </w:rPr>
        <w:t xml:space="preserve">can </w:t>
      </w:r>
      <w:r w:rsidRPr="00F532F6">
        <w:rPr>
          <w:rStyle w:val="StyleUnderline"/>
          <w:highlight w:val="cyan"/>
        </w:rPr>
        <w:t>kill</w:t>
      </w:r>
      <w:r w:rsidRPr="000B5D05">
        <w:rPr>
          <w:rStyle w:val="StyleUnderline"/>
        </w:rPr>
        <w:t xml:space="preserve"> their </w:t>
      </w:r>
      <w:r w:rsidRPr="00F532F6">
        <w:rPr>
          <w:rStyle w:val="StyleUnderline"/>
          <w:highlight w:val="cyan"/>
        </w:rPr>
        <w:t>hosts before they</w:t>
      </w:r>
      <w:r w:rsidRPr="000B5D05">
        <w:rPr>
          <w:rStyle w:val="StyleUnderline"/>
        </w:rPr>
        <w:t xml:space="preserve"> have a chance to </w:t>
      </w:r>
      <w:r w:rsidRPr="00F532F6">
        <w:rPr>
          <w:rStyle w:val="StyleUnderline"/>
          <w:highlight w:val="cyan"/>
        </w:rPr>
        <w:t>spread</w:t>
      </w:r>
      <w:r w:rsidRPr="000B5D05">
        <w:rPr>
          <w:sz w:val="16"/>
        </w:rPr>
        <w:t xml:space="preserve">, so </w:t>
      </w:r>
      <w:r w:rsidRPr="00F532F6">
        <w:rPr>
          <w:rStyle w:val="StyleUnderline"/>
          <w:highlight w:val="cyan"/>
        </w:rPr>
        <w:t xml:space="preserve">there is a </w:t>
      </w:r>
      <w:r w:rsidRPr="00F532F6">
        <w:rPr>
          <w:rStyle w:val="Emphasis"/>
          <w:highlight w:val="cyan"/>
        </w:rPr>
        <w:t xml:space="preserve">selective pressure for </w:t>
      </w:r>
      <w:r w:rsidRPr="00D452C9">
        <w:rPr>
          <w:rStyle w:val="Emphasis"/>
        </w:rPr>
        <w:t xml:space="preserve">pathogens </w:t>
      </w:r>
      <w:r w:rsidRPr="00F532F6">
        <w:rPr>
          <w:rStyle w:val="Emphasis"/>
          <w:highlight w:val="cyan"/>
        </w:rPr>
        <w:t>not to be</w:t>
      </w:r>
      <w:r w:rsidRPr="000B5D05">
        <w:rPr>
          <w:rStyle w:val="Emphasis"/>
        </w:rPr>
        <w:t xml:space="preserve"> highly </w:t>
      </w:r>
      <w:r w:rsidRPr="00F532F6">
        <w:rPr>
          <w:rStyle w:val="Emphasis"/>
          <w:highlight w:val="cyan"/>
        </w:rPr>
        <w:t>lethal</w:t>
      </w:r>
      <w:r w:rsidRPr="000B5D05">
        <w:rPr>
          <w:sz w:val="16"/>
        </w:rPr>
        <w:t>. Therefore, pathogens are likely to co-evolve with their hosts rather than kill all possible hosts.39</w:t>
      </w:r>
      <w:bookmarkEnd w:id="1"/>
      <w:bookmarkEnd w:id="2"/>
    </w:p>
    <w:p w14:paraId="4BD992B0" w14:textId="77777777" w:rsidR="00E457B0" w:rsidRPr="00130A7B" w:rsidRDefault="00E457B0" w:rsidP="00E457B0">
      <w:pPr>
        <w:pStyle w:val="Heading4"/>
        <w:rPr>
          <w:rFonts w:cs="Calibri"/>
        </w:rPr>
      </w:pPr>
      <w:r w:rsidRPr="00130A7B">
        <w:rPr>
          <w:rFonts w:cs="Calibri"/>
        </w:rPr>
        <w:t xml:space="preserve">Islands cause burnout even in the </w:t>
      </w:r>
      <w:r w:rsidRPr="00130A7B">
        <w:rPr>
          <w:rFonts w:cs="Calibri"/>
          <w:u w:val="single"/>
        </w:rPr>
        <w:t>worst-case scenario</w:t>
      </w:r>
    </w:p>
    <w:p w14:paraId="74DD48A5" w14:textId="77777777" w:rsidR="00E457B0" w:rsidRPr="00130A7B" w:rsidRDefault="00E457B0" w:rsidP="00E457B0">
      <w:pPr>
        <w:shd w:val="clear" w:color="auto" w:fill="FFFFFF"/>
        <w:spacing w:line="235" w:lineRule="atLeast"/>
        <w:rPr>
          <w:color w:val="000000"/>
          <w:sz w:val="16"/>
          <w:szCs w:val="16"/>
        </w:rPr>
      </w:pPr>
      <w:r w:rsidRPr="00130A7B">
        <w:rPr>
          <w:color w:val="000000"/>
          <w:sz w:val="16"/>
          <w:szCs w:val="16"/>
        </w:rPr>
        <w:t xml:space="preserve">Andie Sophia </w:t>
      </w:r>
      <w:r w:rsidRPr="00130A7B">
        <w:rPr>
          <w:b/>
          <w:bCs/>
          <w:color w:val="000000"/>
          <w:sz w:val="24"/>
        </w:rPr>
        <w:t>Fontaine</w:t>
      </w:r>
      <w:r w:rsidRPr="00130A7B">
        <w:rPr>
          <w:color w:val="000000"/>
          <w:sz w:val="16"/>
          <w:szCs w:val="16"/>
        </w:rPr>
        <w:t>, Writer for Grapvine, 10-3-20</w:t>
      </w:r>
      <w:r w:rsidRPr="00130A7B">
        <w:rPr>
          <w:b/>
          <w:bCs/>
          <w:color w:val="000000"/>
          <w:sz w:val="24"/>
        </w:rPr>
        <w:t>19</w:t>
      </w:r>
      <w:r w:rsidRPr="00130A7B">
        <w:rPr>
          <w:color w:val="000000"/>
          <w:sz w:val="16"/>
          <w:szCs w:val="16"/>
        </w:rPr>
        <w:t xml:space="preserve">, "From Iceland — Iceland May "Save Humanity From Extinction" In Event Of A Global Pandemic, Researchers Say," Reykjavik Grapevine, </w:t>
      </w:r>
      <w:hyperlink r:id="rId13" w:history="1">
        <w:r w:rsidRPr="00130A7B">
          <w:rPr>
            <w:rStyle w:val="Hyperlink"/>
            <w:sz w:val="16"/>
            <w:szCs w:val="16"/>
          </w:rPr>
          <w:t>https://grapevine.is/news/2019/10/03/iceland-may-save-humanity-from-extinction-in-event-of-a-global-pandemic-researchers-say/</w:t>
        </w:r>
      </w:hyperlink>
      <w:r w:rsidRPr="00130A7B">
        <w:rPr>
          <w:color w:val="000000"/>
          <w:sz w:val="16"/>
          <w:szCs w:val="16"/>
        </w:rPr>
        <w:t xml:space="preserve">  ]//AAli</w:t>
      </w:r>
    </w:p>
    <w:p w14:paraId="6838D28E" w14:textId="77777777" w:rsidR="00E457B0" w:rsidRPr="00130A7B" w:rsidRDefault="00E457B0" w:rsidP="00E457B0">
      <w:pPr>
        <w:shd w:val="clear" w:color="auto" w:fill="FFFFFF"/>
        <w:spacing w:line="235" w:lineRule="atLeast"/>
        <w:rPr>
          <w:color w:val="000000"/>
          <w:sz w:val="16"/>
          <w:szCs w:val="16"/>
        </w:rPr>
      </w:pPr>
      <w:r w:rsidRPr="00196129">
        <w:rPr>
          <w:rStyle w:val="Emphasis"/>
          <w:highlight w:val="yellow"/>
        </w:rPr>
        <w:t>Iceland is among</w:t>
      </w:r>
      <w:r w:rsidRPr="00130A7B">
        <w:rPr>
          <w:rStyle w:val="StyleUnderline"/>
        </w:rPr>
        <w:t>st the few “</w:t>
      </w:r>
      <w:r w:rsidRPr="00196129">
        <w:rPr>
          <w:rStyle w:val="Emphasis"/>
          <w:highlight w:val="yellow"/>
        </w:rPr>
        <w:t>island refuges</w:t>
      </w:r>
      <w:r w:rsidRPr="00130A7B">
        <w:rPr>
          <w:rStyle w:val="StyleUnderline"/>
        </w:rPr>
        <w:t xml:space="preserve">” that </w:t>
      </w:r>
      <w:r w:rsidRPr="00196129">
        <w:rPr>
          <w:rStyle w:val="Emphasis"/>
          <w:highlight w:val="yellow"/>
        </w:rPr>
        <w:t>could save the human race from complete extinction</w:t>
      </w:r>
      <w:r w:rsidRPr="00130A7B">
        <w:rPr>
          <w:color w:val="000000"/>
          <w:sz w:val="16"/>
          <w:szCs w:val="16"/>
        </w:rPr>
        <w:t xml:space="preserve"> in event of a global pandemic, researchers from the University of Otago, Wellington and Adapt Research have concluded. The researchers were asked to rank </w:t>
      </w:r>
      <w:r w:rsidRPr="00196129">
        <w:rPr>
          <w:rStyle w:val="Emphasis"/>
          <w:highlight w:val="yellow"/>
        </w:rPr>
        <w:t>20 island nations</w:t>
      </w:r>
      <w:r w:rsidRPr="00130A7B">
        <w:rPr>
          <w:rStyle w:val="StyleUnderline"/>
        </w:rPr>
        <w:t xml:space="preserve"> that could </w:t>
      </w:r>
      <w:r w:rsidRPr="00196129">
        <w:rPr>
          <w:rStyle w:val="Emphasis"/>
          <w:highlight w:val="yellow"/>
        </w:rPr>
        <w:t>act as starting points for rebuilding humanity</w:t>
      </w:r>
      <w:r w:rsidRPr="00130A7B">
        <w:rPr>
          <w:rStyle w:val="StyleUnderline"/>
        </w:rPr>
        <w:t xml:space="preserve"> from the ashes of a mass extinction event.</w:t>
      </w:r>
      <w:r w:rsidRPr="00130A7B">
        <w:rPr>
          <w:color w:val="000000"/>
          <w:sz w:val="16"/>
          <w:szCs w:val="16"/>
        </w:rPr>
        <w:t xml:space="preserve"> One of the co-authors of the research paper, which was published in the journal Risk Analysis, believes that the risk of human extinction has never been higher, and that the threat is rising as technology advances. “Discoveries in biotechnology could see a genetically-engineered pandemic threaten the survival of our species,” co-author Professor Nick Wilson of the University of Otago said. “Though carriers of disease can easily circumvent land borders</w:t>
      </w:r>
      <w:r w:rsidRPr="00130A7B">
        <w:rPr>
          <w:rStyle w:val="StyleUnderline"/>
        </w:rPr>
        <w:t xml:space="preserve">, a </w:t>
      </w:r>
      <w:r w:rsidRPr="00196129">
        <w:rPr>
          <w:rStyle w:val="Emphasis"/>
          <w:highlight w:val="yellow"/>
        </w:rPr>
        <w:t>closed self-sufficient island could harbour an isolated, technologically-adept population</w:t>
      </w:r>
      <w:r w:rsidRPr="00130A7B">
        <w:rPr>
          <w:rStyle w:val="StyleUnderline"/>
        </w:rPr>
        <w:t xml:space="preserve"> that </w:t>
      </w:r>
      <w:r w:rsidRPr="00196129">
        <w:rPr>
          <w:rStyle w:val="Emphasis"/>
          <w:highlight w:val="yellow"/>
        </w:rPr>
        <w:t>could repopulate the earth following a disaster</w:t>
      </w:r>
      <w:r w:rsidRPr="00130A7B">
        <w:rPr>
          <w:color w:val="000000"/>
          <w:sz w:val="16"/>
          <w:szCs w:val="16"/>
        </w:rPr>
        <w:t xml:space="preserve">.” The lead author of the study, Dr. Matt Boyd, goes a step farther in asserting that humans might, accidentally or on purpose, create the catalyst of their own undoing. “The worst case scenario could see multiple genetically engineered pandemic organisms being released at once,” he said. “We need to be ready for these situations. Our study shows that </w:t>
      </w:r>
      <w:r w:rsidRPr="00196129">
        <w:rPr>
          <w:rStyle w:val="Emphasis"/>
          <w:highlight w:val="yellow"/>
        </w:rPr>
        <w:t>certain island nations</w:t>
      </w:r>
      <w:r w:rsidRPr="00130A7B">
        <w:rPr>
          <w:rStyle w:val="StyleUnderline"/>
        </w:rPr>
        <w:t xml:space="preserve"> have the characteristics needed to </w:t>
      </w:r>
      <w:r w:rsidRPr="00196129">
        <w:rPr>
          <w:rStyle w:val="Emphasis"/>
          <w:highlight w:val="yellow"/>
        </w:rPr>
        <w:t>preserve technological culture through a catastrophic event</w:t>
      </w:r>
      <w:r w:rsidRPr="00130A7B">
        <w:rPr>
          <w:rStyle w:val="StyleUnderline"/>
        </w:rPr>
        <w:t>,</w:t>
      </w:r>
      <w:r w:rsidRPr="00130A7B">
        <w:rPr>
          <w:color w:val="000000"/>
          <w:sz w:val="16"/>
          <w:szCs w:val="16"/>
        </w:rPr>
        <w:t>” adding, “It may be that a clear and pressing need arises where the only option for humanity is an island refuge.” The criteria by which the researchers assessed which island nations would be a good place for humanity to rebuild itself included elements such as the island nation’s location, population, resources and society. By these parameters, Australia came out on top on account of its “vast oversupply of energy and food”, followed by New Zealand and Iceland.</w:t>
      </w:r>
    </w:p>
    <w:p w14:paraId="66F29216" w14:textId="77777777" w:rsidR="00E457B0" w:rsidRPr="00130A7B" w:rsidRDefault="00E457B0" w:rsidP="00E457B0">
      <w:pPr>
        <w:pStyle w:val="Heading4"/>
        <w:rPr>
          <w:rFonts w:cs="Calibri"/>
        </w:rPr>
      </w:pPr>
      <w:r w:rsidRPr="00130A7B">
        <w:rPr>
          <w:rFonts w:cs="Calibri"/>
        </w:rPr>
        <w:t>The more people that die, the lower the probability they come into contact with each other – we’re winning impact defense on multiple places</w:t>
      </w:r>
    </w:p>
    <w:p w14:paraId="49079809" w14:textId="77777777" w:rsidR="00E457B0" w:rsidRDefault="00E457B0" w:rsidP="004A6360">
      <w:pPr>
        <w:rPr>
          <w:sz w:val="16"/>
        </w:rPr>
      </w:pPr>
    </w:p>
    <w:p w14:paraId="04F06B55" w14:textId="54D48C35" w:rsidR="0032492F" w:rsidRDefault="0032492F" w:rsidP="004A6360">
      <w:pPr>
        <w:pStyle w:val="Heading4"/>
      </w:pPr>
      <w:r>
        <w:t>On superbugs in particular</w:t>
      </w:r>
    </w:p>
    <w:p w14:paraId="234083B3" w14:textId="0F2B2328" w:rsidR="004A6360" w:rsidRPr="00B108D4" w:rsidRDefault="004A6360" w:rsidP="004A6360">
      <w:pPr>
        <w:pStyle w:val="Heading4"/>
      </w:pPr>
      <w:r>
        <w:t>Either they cant solve or no impact</w:t>
      </w:r>
    </w:p>
    <w:p w14:paraId="7D09255E" w14:textId="77777777" w:rsidR="004A6360" w:rsidRPr="00D64704" w:rsidRDefault="004A6360" w:rsidP="004A6360">
      <w:r w:rsidRPr="00D64704">
        <w:rPr>
          <w:rStyle w:val="Style13ptBold"/>
        </w:rPr>
        <w:t xml:space="preserve">Fikes 17 </w:t>
      </w:r>
      <w:r w:rsidRPr="00D64704">
        <w:t xml:space="preserve">– U-T San Diego's biotechnology reporter; covered the industry since 1990, internally cites study by authors from Harvard Medical School [Bradley J., 5/11/2017, “Long before the dinosaurs, </w:t>
      </w:r>
      <w:r w:rsidRPr="00D64704">
        <w:lastRenderedPageBreak/>
        <w:t xml:space="preserve">antibiotic-resistant superbugs thrived”, The San Diego Union-Tribune, </w:t>
      </w:r>
      <w:hyperlink r:id="rId14" w:history="1">
        <w:r w:rsidRPr="00D64704">
          <w:rPr>
            <w:rStyle w:val="Hyperlink"/>
          </w:rPr>
          <w:t>http://www.sandiegouniontribune.com/business/biotech/sd-me-antibiotic-resistance-20170511-story.html</w:t>
        </w:r>
      </w:hyperlink>
      <w:r w:rsidRPr="00D64704">
        <w:t>] AMarb</w:t>
      </w:r>
    </w:p>
    <w:p w14:paraId="62EB81F4" w14:textId="77777777" w:rsidR="004A6360" w:rsidRDefault="004A6360" w:rsidP="004A6360">
      <w:pPr>
        <w:rPr>
          <w:sz w:val="16"/>
        </w:rPr>
      </w:pPr>
      <w:r w:rsidRPr="00D64704">
        <w:rPr>
          <w:rStyle w:val="StyleUnderline"/>
        </w:rPr>
        <w:t xml:space="preserve">There’s a good reason why </w:t>
      </w:r>
      <w:r w:rsidRPr="00582F5E">
        <w:rPr>
          <w:rStyle w:val="Emphasis"/>
          <w:highlight w:val="yellow"/>
        </w:rPr>
        <w:t>a</w:t>
      </w:r>
      <w:r w:rsidRPr="00D64704">
        <w:rPr>
          <w:rStyle w:val="StyleUnderline"/>
        </w:rPr>
        <w:t>nti</w:t>
      </w:r>
      <w:r w:rsidRPr="00582F5E">
        <w:rPr>
          <w:rStyle w:val="Emphasis"/>
          <w:highlight w:val="yellow"/>
        </w:rPr>
        <w:t>b</w:t>
      </w:r>
      <w:r w:rsidRPr="00D64704">
        <w:rPr>
          <w:rStyle w:val="StyleUnderline"/>
        </w:rPr>
        <w:t>iotic-</w:t>
      </w:r>
      <w:r w:rsidRPr="00582F5E">
        <w:rPr>
          <w:rStyle w:val="Emphasis"/>
          <w:highlight w:val="yellow"/>
        </w:rPr>
        <w:t>r</w:t>
      </w:r>
      <w:r w:rsidRPr="00D64704">
        <w:rPr>
          <w:rStyle w:val="StyleUnderline"/>
        </w:rPr>
        <w:t xml:space="preserve">esistant </w:t>
      </w:r>
      <w:r w:rsidRPr="00582F5E">
        <w:rPr>
          <w:rStyle w:val="StyleUnderline"/>
          <w:highlight w:val="yellow"/>
        </w:rPr>
        <w:t>bacteria are</w:t>
      </w:r>
      <w:r w:rsidRPr="00D64704">
        <w:rPr>
          <w:rStyle w:val="StyleUnderline"/>
        </w:rPr>
        <w:t xml:space="preserve"> so </w:t>
      </w:r>
      <w:r w:rsidRPr="00582F5E">
        <w:rPr>
          <w:rStyle w:val="StyleUnderline"/>
          <w:highlight w:val="yellow"/>
        </w:rPr>
        <w:t xml:space="preserve">tough, and it has </w:t>
      </w:r>
      <w:r w:rsidRPr="00582F5E">
        <w:rPr>
          <w:rStyle w:val="Emphasis"/>
          <w:highlight w:val="yellow"/>
        </w:rPr>
        <w:t>less to do with humans</w:t>
      </w:r>
      <w:r w:rsidRPr="00582F5E">
        <w:rPr>
          <w:rStyle w:val="StyleUnderline"/>
          <w:highlight w:val="yellow"/>
        </w:rPr>
        <w:t xml:space="preserve"> than</w:t>
      </w:r>
      <w:r w:rsidRPr="00D64704">
        <w:rPr>
          <w:sz w:val="16"/>
        </w:rPr>
        <w:t xml:space="preserve"> previously </w:t>
      </w:r>
      <w:r w:rsidRPr="00582F5E">
        <w:rPr>
          <w:rStyle w:val="StyleUnderline"/>
          <w:highlight w:val="yellow"/>
        </w:rPr>
        <w:t>thought</w:t>
      </w:r>
      <w:r w:rsidRPr="00D64704">
        <w:rPr>
          <w:sz w:val="16"/>
        </w:rPr>
        <w:t xml:space="preserve">, according to a new study. A </w:t>
      </w:r>
      <w:r w:rsidRPr="00D64704">
        <w:rPr>
          <w:rStyle w:val="StyleUnderline"/>
        </w:rPr>
        <w:t xml:space="preserve">class of </w:t>
      </w:r>
      <w:r w:rsidRPr="00582F5E">
        <w:rPr>
          <w:rStyle w:val="StyleUnderline"/>
          <w:highlight w:val="yellow"/>
        </w:rPr>
        <w:t>bacteria containing</w:t>
      </w:r>
      <w:r w:rsidRPr="00D64704">
        <w:rPr>
          <w:sz w:val="16"/>
        </w:rPr>
        <w:t xml:space="preserve"> particularly troublesome </w:t>
      </w:r>
      <w:r w:rsidRPr="00582F5E">
        <w:rPr>
          <w:rStyle w:val="Emphasis"/>
          <w:highlight w:val="yellow"/>
        </w:rPr>
        <w:t>superbugs</w:t>
      </w:r>
      <w:r w:rsidRPr="00D64704">
        <w:rPr>
          <w:sz w:val="16"/>
        </w:rPr>
        <w:t xml:space="preserve"> that today plague hospitals </w:t>
      </w:r>
      <w:r w:rsidRPr="00582F5E">
        <w:rPr>
          <w:rStyle w:val="StyleUnderline"/>
          <w:highlight w:val="yellow"/>
        </w:rPr>
        <w:t>dates back</w:t>
      </w:r>
      <w:r w:rsidRPr="00D64704">
        <w:rPr>
          <w:sz w:val="16"/>
        </w:rPr>
        <w:t xml:space="preserve"> at least 425 to </w:t>
      </w:r>
      <w:r w:rsidRPr="00582F5E">
        <w:rPr>
          <w:rStyle w:val="Emphasis"/>
          <w:highlight w:val="yellow"/>
        </w:rPr>
        <w:t>450 million years,</w:t>
      </w:r>
      <w:r w:rsidRPr="00D64704">
        <w:rPr>
          <w:rStyle w:val="StyleUnderline"/>
        </w:rPr>
        <w:t xml:space="preserve"> </w:t>
      </w:r>
      <w:r w:rsidRPr="00D64704">
        <w:rPr>
          <w:sz w:val="16"/>
        </w:rPr>
        <w:t xml:space="preserve">according to a team of Massachusetts researchers. Called enterococci, </w:t>
      </w:r>
      <w:r w:rsidRPr="00D64704">
        <w:rPr>
          <w:rStyle w:val="StyleUnderline"/>
        </w:rPr>
        <w:t xml:space="preserve">these hardy </w:t>
      </w:r>
      <w:r w:rsidRPr="00582F5E">
        <w:rPr>
          <w:rStyle w:val="StyleUnderline"/>
          <w:highlight w:val="yellow"/>
        </w:rPr>
        <w:t xml:space="preserve">bacteria have </w:t>
      </w:r>
      <w:r w:rsidRPr="00582F5E">
        <w:rPr>
          <w:rStyle w:val="Emphasis"/>
          <w:highlight w:val="yellow"/>
        </w:rPr>
        <w:t>endured several</w:t>
      </w:r>
      <w:r w:rsidRPr="00D64704">
        <w:rPr>
          <w:rStyle w:val="Emphasis"/>
        </w:rPr>
        <w:t xml:space="preserve"> mass </w:t>
      </w:r>
      <w:r w:rsidRPr="00582F5E">
        <w:rPr>
          <w:rStyle w:val="Emphasis"/>
          <w:highlight w:val="yellow"/>
        </w:rPr>
        <w:t>extinctions</w:t>
      </w:r>
      <w:r w:rsidRPr="00D64704">
        <w:rPr>
          <w:sz w:val="16"/>
        </w:rPr>
        <w:t xml:space="preserve">, including the Permian catastrophe of about 252 million years ago that destroyed nearly all species, including the trilobites. </w:t>
      </w:r>
      <w:r w:rsidRPr="00D64704">
        <w:rPr>
          <w:rStyle w:val="StyleUnderline"/>
        </w:rPr>
        <w:t>They survived the extinction of non-avian dinosaurs</w:t>
      </w:r>
      <w:r w:rsidRPr="00D64704">
        <w:rPr>
          <w:sz w:val="16"/>
        </w:rPr>
        <w:t xml:space="preserve"> at the end of the Cretaceous without missing a beat. Using genetic techniques to track the diversification of enterococci, the researchers found that </w:t>
      </w:r>
      <w:r w:rsidRPr="00D64704">
        <w:rPr>
          <w:rStyle w:val="StyleUnderline"/>
        </w:rPr>
        <w:t xml:space="preserve">this group dates back to the time when animals first left the water for land. </w:t>
      </w:r>
      <w:r w:rsidRPr="00D64704">
        <w:rPr>
          <w:sz w:val="16"/>
        </w:rPr>
        <w:t xml:space="preserve">Moreover, their divergence also matched the emergence of new animal species, especially after the Permian extinction. The implication for those fighting superbugs is that </w:t>
      </w:r>
      <w:r w:rsidRPr="00582F5E">
        <w:rPr>
          <w:rStyle w:val="StyleUnderline"/>
          <w:highlight w:val="yellow"/>
        </w:rPr>
        <w:t>a</w:t>
      </w:r>
      <w:r w:rsidRPr="00D64704">
        <w:rPr>
          <w:rStyle w:val="StyleUnderline"/>
        </w:rPr>
        <w:t>nti</w:t>
      </w:r>
      <w:r w:rsidRPr="00582F5E">
        <w:rPr>
          <w:rStyle w:val="StyleUnderline"/>
          <w:highlight w:val="yellow"/>
        </w:rPr>
        <w:t>b</w:t>
      </w:r>
      <w:r w:rsidRPr="00D64704">
        <w:rPr>
          <w:rStyle w:val="StyleUnderline"/>
        </w:rPr>
        <w:t xml:space="preserve">iotic </w:t>
      </w:r>
      <w:r w:rsidRPr="00582F5E">
        <w:rPr>
          <w:rStyle w:val="StyleUnderline"/>
          <w:highlight w:val="yellow"/>
        </w:rPr>
        <w:t>r</w:t>
      </w:r>
      <w:r w:rsidRPr="00D64704">
        <w:rPr>
          <w:rStyle w:val="StyleUnderline"/>
        </w:rPr>
        <w:t xml:space="preserve">esistance </w:t>
      </w:r>
      <w:r w:rsidRPr="00582F5E">
        <w:rPr>
          <w:rStyle w:val="StyleUnderline"/>
          <w:highlight w:val="yellow"/>
        </w:rPr>
        <w:t xml:space="preserve">is part of a </w:t>
      </w:r>
      <w:r w:rsidRPr="00582F5E">
        <w:rPr>
          <w:rStyle w:val="Emphasis"/>
          <w:highlight w:val="yellow"/>
        </w:rPr>
        <w:t>survival toolkit</w:t>
      </w:r>
      <w:r w:rsidRPr="00D64704">
        <w:rPr>
          <w:rStyle w:val="StyleUnderline"/>
        </w:rPr>
        <w:t xml:space="preserve"> that has been </w:t>
      </w:r>
      <w:r w:rsidRPr="00582F5E">
        <w:rPr>
          <w:rStyle w:val="StyleUnderline"/>
          <w:highlight w:val="yellow"/>
        </w:rPr>
        <w:t>baked into their DNA</w:t>
      </w:r>
      <w:r w:rsidRPr="00D64704">
        <w:rPr>
          <w:rStyle w:val="StyleUnderline"/>
        </w:rPr>
        <w:t xml:space="preserve"> for hundreds of millions of years. </w:t>
      </w:r>
      <w:r w:rsidRPr="00582F5E">
        <w:rPr>
          <w:rStyle w:val="Emphasis"/>
          <w:highlight w:val="yellow"/>
        </w:rPr>
        <w:t>Overcoming everything</w:t>
      </w:r>
      <w:r w:rsidRPr="00D64704">
        <w:rPr>
          <w:rStyle w:val="Emphasis"/>
        </w:rPr>
        <w:t xml:space="preserve"> Mother </w:t>
      </w:r>
      <w:r w:rsidRPr="00582F5E">
        <w:rPr>
          <w:rStyle w:val="Emphasis"/>
          <w:highlight w:val="yellow"/>
        </w:rPr>
        <w:t>Nature could throw at them</w:t>
      </w:r>
      <w:r w:rsidRPr="00582F5E">
        <w:rPr>
          <w:rStyle w:val="StyleUnderline"/>
          <w:highlight w:val="yellow"/>
        </w:rPr>
        <w:t xml:space="preserve">, these ancient bacteria are </w:t>
      </w:r>
      <w:r w:rsidRPr="00582F5E">
        <w:rPr>
          <w:rStyle w:val="Emphasis"/>
          <w:highlight w:val="yellow"/>
        </w:rPr>
        <w:t>well-equipped</w:t>
      </w:r>
      <w:r w:rsidRPr="00582F5E">
        <w:rPr>
          <w:rStyle w:val="StyleUnderline"/>
          <w:highlight w:val="yellow"/>
        </w:rPr>
        <w:t xml:space="preserve"> to handle</w:t>
      </w:r>
      <w:r w:rsidRPr="00D64704">
        <w:rPr>
          <w:rStyle w:val="StyleUnderline"/>
        </w:rPr>
        <w:t xml:space="preserve"> antibiotics and other </w:t>
      </w:r>
      <w:r w:rsidRPr="00582F5E">
        <w:rPr>
          <w:rStyle w:val="StyleUnderline"/>
          <w:highlight w:val="yellow"/>
        </w:rPr>
        <w:t>means of controlling them that humans can devise</w:t>
      </w:r>
      <w:r w:rsidRPr="00D64704">
        <w:rPr>
          <w:rStyle w:val="StyleUnderline"/>
        </w:rPr>
        <w:t>. “Enterococci</w:t>
      </w:r>
      <w:r w:rsidRPr="00D64704">
        <w:rPr>
          <w:sz w:val="16"/>
        </w:rPr>
        <w:t xml:space="preserve"> are distinguished from their ancestors and appear to have been selected for, by virtue of having </w:t>
      </w:r>
      <w:r w:rsidRPr="00D64704">
        <w:rPr>
          <w:rStyle w:val="StyleUnderline"/>
        </w:rPr>
        <w:t>developed a hardened cell wall and the ability to cope with environmental stress —</w:t>
      </w:r>
      <w:r w:rsidRPr="00582F5E">
        <w:rPr>
          <w:rStyle w:val="StyleUnderline"/>
          <w:highlight w:val="yellow"/>
        </w:rPr>
        <w:t xml:space="preserve">traits that now render them </w:t>
      </w:r>
      <w:r w:rsidRPr="00582F5E">
        <w:rPr>
          <w:rStyle w:val="Emphasis"/>
          <w:highlight w:val="yellow"/>
        </w:rPr>
        <w:t>resistant</w:t>
      </w:r>
      <w:r w:rsidRPr="00D64704">
        <w:rPr>
          <w:rStyle w:val="StyleUnderline"/>
        </w:rPr>
        <w:t xml:space="preserve"> to denaturing solvents, disinfectants, and intrinsically, </w:t>
      </w:r>
      <w:r w:rsidRPr="00582F5E">
        <w:rPr>
          <w:rStyle w:val="StyleUnderline"/>
          <w:highlight w:val="yellow"/>
        </w:rPr>
        <w:t>to many antibiotics,</w:t>
      </w:r>
      <w:r w:rsidRPr="00D64704">
        <w:rPr>
          <w:rStyle w:val="StyleUnderline"/>
        </w:rPr>
        <w:t>”</w:t>
      </w:r>
      <w:r w:rsidRPr="00D64704">
        <w:rPr>
          <w:sz w:val="16"/>
        </w:rPr>
        <w:t xml:space="preserve"> the study concluded. “These are exactly the traits that enable them to persist in the modern hospital environment. Thus, the emergence of enterococci as leading hospital pathogens appears to have been foreordained by events of at least 425 mya.”</w:t>
      </w:r>
    </w:p>
    <w:p w14:paraId="7FE562C0" w14:textId="77777777" w:rsidR="004A6360" w:rsidRDefault="004A6360" w:rsidP="004A6360"/>
    <w:p w14:paraId="1E0A5C49" w14:textId="70114312" w:rsidR="004A6360" w:rsidRDefault="004A6360" w:rsidP="004A6360">
      <w:pPr>
        <w:pStyle w:val="Heading4"/>
      </w:pPr>
      <w:r>
        <w:t>It’s just some rando who passingly calls it existential – the rest of the article is an ad for the author’s app. Existential risks are a high burden and require someone with real credentials</w:t>
      </w:r>
    </w:p>
    <w:p w14:paraId="6147089E" w14:textId="7BD532DB" w:rsidR="004A6360" w:rsidRDefault="004A6360" w:rsidP="004A6360"/>
    <w:p w14:paraId="457B0CB8" w14:textId="77777777" w:rsidR="0032492F" w:rsidRDefault="0032492F" w:rsidP="0032492F">
      <w:pPr>
        <w:pStyle w:val="Heading4"/>
        <w:rPr>
          <w:rFonts w:cs="Calibri"/>
        </w:rPr>
      </w:pPr>
      <w:r>
        <w:rPr>
          <w:rFonts w:cs="Calibri"/>
        </w:rPr>
        <w:t xml:space="preserve">1] </w:t>
      </w:r>
      <w:r w:rsidRPr="00130A7B">
        <w:rPr>
          <w:rFonts w:cs="Calibri"/>
        </w:rPr>
        <w:t>Even if they’re right that superbugs are worse than normal pandemics, they can’t overcome biology – fatality trades off with transmission, islands cause burnout, pandemic response exists, and humans are still resilient even if superbugs are worse</w:t>
      </w:r>
    </w:p>
    <w:p w14:paraId="1CA3BD12" w14:textId="77777777" w:rsidR="0032492F" w:rsidRPr="0055593D" w:rsidRDefault="0032492F" w:rsidP="0032492F"/>
    <w:p w14:paraId="1807E578" w14:textId="77777777" w:rsidR="0032492F" w:rsidRPr="003B7758" w:rsidRDefault="0032492F" w:rsidP="0032492F">
      <w:pPr>
        <w:pStyle w:val="Heading4"/>
      </w:pPr>
      <w:r>
        <w:t xml:space="preserve">2] </w:t>
      </w:r>
      <w:r w:rsidRPr="003B7758">
        <w:t>Risk of transmission is overstated—conventional checks solve</w:t>
      </w:r>
    </w:p>
    <w:p w14:paraId="01FAF5BA" w14:textId="77777777" w:rsidR="0032492F" w:rsidRPr="003B7758" w:rsidRDefault="0032492F" w:rsidP="0032492F">
      <w:r w:rsidRPr="003B7758">
        <w:rPr>
          <w:rStyle w:val="Style13ptBold"/>
        </w:rPr>
        <w:t>Smith</w:t>
      </w:r>
      <w:r>
        <w:rPr>
          <w:rStyle w:val="Style13ptBold"/>
        </w:rPr>
        <w:t xml:space="preserve"> 17</w:t>
      </w:r>
      <w:r w:rsidRPr="003B7758">
        <w:t xml:space="preserve">—former R&amp;D director at MicroPhage and SomaLogic (Drew, “Can A Superbug Cause A Global Pandemic?,” </w:t>
      </w:r>
      <w:hyperlink r:id="rId15" w:anchor="3cb04e2c59aa" w:history="1">
        <w:r w:rsidRPr="003B7758">
          <w:rPr>
            <w:rStyle w:val="Hyperlink"/>
          </w:rPr>
          <w:t>https://www.forbes.com/sites/quora/2017/02/10/can-a-superbug-cause-a-global-pandemic/#3cb04e2c59aa</w:t>
        </w:r>
      </w:hyperlink>
      <w:r w:rsidRPr="003B7758">
        <w:t>, dml)</w:t>
      </w:r>
    </w:p>
    <w:p w14:paraId="13B19ED7" w14:textId="77777777" w:rsidR="0032492F" w:rsidRPr="003B7758" w:rsidRDefault="0032492F" w:rsidP="0032492F">
      <w:pPr>
        <w:rPr>
          <w:rStyle w:val="StyleUnderline"/>
        </w:rPr>
      </w:pPr>
      <w:r w:rsidRPr="003B7758">
        <w:t xml:space="preserve">Death rates from bacterial infections dropped over 90% from historic levels before the introduction of penicillin. </w:t>
      </w:r>
      <w:r w:rsidRPr="00196129">
        <w:rPr>
          <w:rStyle w:val="StyleUnderline"/>
          <w:highlight w:val="yellow"/>
        </w:rPr>
        <w:t xml:space="preserve">Sanitation and vaccines are </w:t>
      </w:r>
      <w:r w:rsidRPr="00BB27D6">
        <w:rPr>
          <w:rStyle w:val="Emphasis"/>
        </w:rPr>
        <w:t xml:space="preserve">far more </w:t>
      </w:r>
      <w:r w:rsidRPr="00196129">
        <w:rPr>
          <w:rStyle w:val="Emphasis"/>
          <w:highlight w:val="yellow"/>
        </w:rPr>
        <w:t>effective methods</w:t>
      </w:r>
      <w:r w:rsidRPr="003B7758">
        <w:rPr>
          <w:rStyle w:val="StyleUnderline"/>
        </w:rPr>
        <w:t xml:space="preserve"> to control bacterial infections </w:t>
      </w:r>
      <w:r w:rsidRPr="00196129">
        <w:rPr>
          <w:rStyle w:val="StyleUnderline"/>
          <w:highlight w:val="yellow"/>
        </w:rPr>
        <w:t>than antibiotics</w:t>
      </w:r>
      <w:r w:rsidRPr="003B7758">
        <w:t xml:space="preserve"> ever were or </w:t>
      </w:r>
      <w:r w:rsidRPr="003B7758">
        <w:rPr>
          <w:rStyle w:val="StyleUnderline"/>
        </w:rPr>
        <w:t xml:space="preserve">ever will be. </w:t>
      </w:r>
      <w:r w:rsidRPr="00BB27D6">
        <w:rPr>
          <w:rStyle w:val="Emphasis"/>
        </w:rPr>
        <w:t xml:space="preserve">Boring old </w:t>
      </w:r>
      <w:r w:rsidRPr="00196129">
        <w:rPr>
          <w:rStyle w:val="Emphasis"/>
          <w:highlight w:val="yellow"/>
        </w:rPr>
        <w:t>soap</w:t>
      </w:r>
      <w:r w:rsidRPr="00196129">
        <w:rPr>
          <w:rStyle w:val="StyleUnderline"/>
          <w:highlight w:val="yellow"/>
        </w:rPr>
        <w:t xml:space="preserve"> and </w:t>
      </w:r>
      <w:r w:rsidRPr="00196129">
        <w:rPr>
          <w:rStyle w:val="Emphasis"/>
          <w:highlight w:val="yellow"/>
        </w:rPr>
        <w:t>water</w:t>
      </w:r>
      <w:r w:rsidRPr="003B7758">
        <w:rPr>
          <w:rStyle w:val="StyleUnderline"/>
        </w:rPr>
        <w:t xml:space="preserve">, </w:t>
      </w:r>
      <w:r w:rsidRPr="00196129">
        <w:rPr>
          <w:rStyle w:val="Emphasis"/>
          <w:highlight w:val="yellow"/>
        </w:rPr>
        <w:t>filtration</w:t>
      </w:r>
      <w:r w:rsidRPr="00196129">
        <w:rPr>
          <w:rStyle w:val="StyleUnderline"/>
          <w:highlight w:val="yellow"/>
        </w:rPr>
        <w:t xml:space="preserve">, </w:t>
      </w:r>
      <w:r w:rsidRPr="00196129">
        <w:rPr>
          <w:rStyle w:val="Emphasis"/>
          <w:highlight w:val="yellow"/>
        </w:rPr>
        <w:t>bleach</w:t>
      </w:r>
      <w:r w:rsidRPr="00196129">
        <w:rPr>
          <w:rStyle w:val="StyleUnderline"/>
          <w:highlight w:val="yellow"/>
        </w:rPr>
        <w:t xml:space="preserve">, and </w:t>
      </w:r>
      <w:r w:rsidRPr="00196129">
        <w:rPr>
          <w:rStyle w:val="Emphasis"/>
          <w:highlight w:val="yellow"/>
        </w:rPr>
        <w:t>alcohol</w:t>
      </w:r>
      <w:r w:rsidRPr="003B7758">
        <w:rPr>
          <w:rStyle w:val="StyleUnderline"/>
        </w:rPr>
        <w:t xml:space="preserve"> </w:t>
      </w:r>
      <w:r w:rsidRPr="00196129">
        <w:rPr>
          <w:rStyle w:val="StyleUnderline"/>
          <w:highlight w:val="yellow"/>
        </w:rPr>
        <w:t xml:space="preserve">kill superbugs </w:t>
      </w:r>
      <w:r w:rsidRPr="00BB27D6">
        <w:rPr>
          <w:rStyle w:val="Emphasis"/>
        </w:rPr>
        <w:t>just fine</w:t>
      </w:r>
      <w:r w:rsidRPr="00196129">
        <w:rPr>
          <w:rStyle w:val="StyleUnderline"/>
          <w:highlight w:val="yellow"/>
        </w:rPr>
        <w:t xml:space="preserve">. </w:t>
      </w:r>
      <w:r w:rsidRPr="00196129">
        <w:rPr>
          <w:rStyle w:val="Emphasis"/>
          <w:highlight w:val="yellow"/>
        </w:rPr>
        <w:t>None</w:t>
      </w:r>
      <w:r w:rsidRPr="003B7758">
        <w:rPr>
          <w:rStyle w:val="StyleUnderline"/>
        </w:rPr>
        <w:t xml:space="preserve"> of these things </w:t>
      </w:r>
      <w:r w:rsidRPr="00196129">
        <w:rPr>
          <w:rStyle w:val="StyleUnderline"/>
          <w:highlight w:val="yellow"/>
        </w:rPr>
        <w:t xml:space="preserve">are in </w:t>
      </w:r>
      <w:r w:rsidRPr="00196129">
        <w:rPr>
          <w:rStyle w:val="Emphasis"/>
          <w:highlight w:val="yellow"/>
        </w:rPr>
        <w:t>short supply</w:t>
      </w:r>
      <w:r w:rsidRPr="003B7758">
        <w:rPr>
          <w:rStyle w:val="StyleUnderline"/>
        </w:rPr>
        <w:t>.</w:t>
      </w:r>
    </w:p>
    <w:p w14:paraId="20274F6A" w14:textId="77777777" w:rsidR="0032492F" w:rsidRPr="003B7758" w:rsidRDefault="0032492F" w:rsidP="0032492F">
      <w:r w:rsidRPr="003B7758">
        <w:rPr>
          <w:rStyle w:val="StyleUnderline"/>
        </w:rPr>
        <w:t>The acquisition of multiple drug resistances generally</w:t>
      </w:r>
      <w:r w:rsidRPr="003B7758">
        <w:t xml:space="preserve"> (but not always) </w:t>
      </w:r>
      <w:r w:rsidRPr="003B7758">
        <w:rPr>
          <w:rStyle w:val="StyleUnderline"/>
        </w:rPr>
        <w:t xml:space="preserve">causes bacteria to become a </w:t>
      </w:r>
      <w:r w:rsidRPr="003B7758">
        <w:rPr>
          <w:rStyle w:val="Emphasis"/>
        </w:rPr>
        <w:t>bit less fit</w:t>
      </w:r>
      <w:r w:rsidRPr="003B7758">
        <w:rPr>
          <w:rStyle w:val="StyleUnderline"/>
        </w:rPr>
        <w:t xml:space="preserve"> and </w:t>
      </w:r>
      <w:r w:rsidRPr="003B7758">
        <w:rPr>
          <w:rStyle w:val="Emphasis"/>
        </w:rPr>
        <w:t>unable</w:t>
      </w:r>
      <w:r w:rsidRPr="003B7758">
        <w:rPr>
          <w:rStyle w:val="StyleUnderline"/>
        </w:rPr>
        <w:t xml:space="preserve"> to infect otherwise healthy adults</w:t>
      </w:r>
      <w:r w:rsidRPr="003B7758">
        <w:t>. The victim of this particular superbug was in her seventies and had been in and out of hospitals for over a year. This is a fairly typical profile for victims of multi-drug resistant bacteria.</w:t>
      </w:r>
    </w:p>
    <w:p w14:paraId="1F1E4D8E" w14:textId="77777777" w:rsidR="0032492F" w:rsidRPr="003B7758" w:rsidRDefault="0032492F" w:rsidP="0032492F">
      <w:r w:rsidRPr="00196129">
        <w:rPr>
          <w:rStyle w:val="StyleUnderline"/>
          <w:highlight w:val="yellow"/>
        </w:rPr>
        <w:lastRenderedPageBreak/>
        <w:t xml:space="preserve">The </w:t>
      </w:r>
      <w:r w:rsidRPr="00196129">
        <w:rPr>
          <w:rStyle w:val="Emphasis"/>
          <w:highlight w:val="yellow"/>
        </w:rPr>
        <w:t>worst-case scenario</w:t>
      </w:r>
      <w:r w:rsidRPr="003B7758">
        <w:rPr>
          <w:rStyle w:val="StyleUnderline"/>
        </w:rPr>
        <w:t>, if we continue to abuse and overuse antibiotics</w:t>
      </w:r>
      <w:r w:rsidRPr="003B7758">
        <w:t xml:space="preserve"> in feedlots and hospitals</w:t>
      </w:r>
      <w:r w:rsidRPr="00196129">
        <w:rPr>
          <w:highlight w:val="yellow"/>
        </w:rPr>
        <w:t xml:space="preserve">, </w:t>
      </w:r>
      <w:r w:rsidRPr="00196129">
        <w:rPr>
          <w:rStyle w:val="StyleUnderline"/>
          <w:highlight w:val="yellow"/>
        </w:rPr>
        <w:t>is</w:t>
      </w:r>
      <w:r w:rsidRPr="003B7758">
        <w:rPr>
          <w:rStyle w:val="StyleUnderline"/>
        </w:rPr>
        <w:t xml:space="preserve"> that </w:t>
      </w:r>
      <w:r w:rsidRPr="00196129">
        <w:rPr>
          <w:rStyle w:val="StyleUnderline"/>
          <w:highlight w:val="yellow"/>
        </w:rPr>
        <w:t>these bugs</w:t>
      </w:r>
      <w:r w:rsidRPr="003B7758">
        <w:rPr>
          <w:rStyle w:val="StyleUnderline"/>
        </w:rPr>
        <w:t xml:space="preserve"> will </w:t>
      </w:r>
      <w:r w:rsidRPr="00196129">
        <w:rPr>
          <w:rStyle w:val="StyleUnderline"/>
          <w:highlight w:val="yellow"/>
        </w:rPr>
        <w:t xml:space="preserve">pick up </w:t>
      </w:r>
      <w:r w:rsidRPr="00BB27D6">
        <w:rPr>
          <w:rStyle w:val="Emphasis"/>
        </w:rPr>
        <w:t xml:space="preserve">compensatory </w:t>
      </w:r>
      <w:r w:rsidRPr="00196129">
        <w:rPr>
          <w:rStyle w:val="Emphasis"/>
          <w:highlight w:val="yellow"/>
        </w:rPr>
        <w:t>mutations</w:t>
      </w:r>
      <w:r w:rsidRPr="00196129">
        <w:rPr>
          <w:rStyle w:val="StyleUnderline"/>
          <w:highlight w:val="yellow"/>
        </w:rPr>
        <w:t xml:space="preserve"> </w:t>
      </w:r>
      <w:r w:rsidRPr="00BB27D6">
        <w:rPr>
          <w:rStyle w:val="StyleUnderline"/>
        </w:rPr>
        <w:t>and become more virulent</w:t>
      </w:r>
      <w:r w:rsidRPr="003B7758">
        <w:rPr>
          <w:rStyle w:val="StyleUnderline"/>
        </w:rPr>
        <w:t>. Many fairly routine procedures</w:t>
      </w:r>
      <w:r w:rsidRPr="003B7758">
        <w:t xml:space="preserve"> - chemotherapy, thoracic and orthopedic surgery - </w:t>
      </w:r>
      <w:r w:rsidRPr="003B7758">
        <w:rPr>
          <w:rStyle w:val="StyleUnderline"/>
        </w:rPr>
        <w:t>will become</w:t>
      </w:r>
      <w:r w:rsidRPr="003B7758">
        <w:t xml:space="preserve"> much more </w:t>
      </w:r>
      <w:r w:rsidRPr="003B7758">
        <w:rPr>
          <w:rStyle w:val="StyleUnderline"/>
        </w:rPr>
        <w:t>risky</w:t>
      </w:r>
      <w:r w:rsidRPr="003B7758">
        <w:t>.</w:t>
      </w:r>
    </w:p>
    <w:p w14:paraId="68921554" w14:textId="77777777" w:rsidR="0032492F" w:rsidRPr="003B7758" w:rsidRDefault="0032492F" w:rsidP="0032492F">
      <w:r w:rsidRPr="003B7758">
        <w:rPr>
          <w:rStyle w:val="StyleUnderline"/>
        </w:rPr>
        <w:t xml:space="preserve">But </w:t>
      </w:r>
      <w:r w:rsidRPr="00196129">
        <w:rPr>
          <w:rStyle w:val="StyleUnderline"/>
          <w:highlight w:val="yellow"/>
        </w:rPr>
        <w:t xml:space="preserve">the risk will still be </w:t>
      </w:r>
      <w:r w:rsidRPr="00BB27D6">
        <w:rPr>
          <w:rStyle w:val="Emphasis"/>
        </w:rPr>
        <w:t xml:space="preserve">largely </w:t>
      </w:r>
      <w:r w:rsidRPr="00196129">
        <w:rPr>
          <w:rStyle w:val="Emphasis"/>
          <w:highlight w:val="yellow"/>
        </w:rPr>
        <w:t>confined</w:t>
      </w:r>
      <w:r w:rsidRPr="00196129">
        <w:rPr>
          <w:rStyle w:val="StyleUnderline"/>
          <w:highlight w:val="yellow"/>
        </w:rPr>
        <w:t xml:space="preserve"> to </w:t>
      </w:r>
      <w:r w:rsidRPr="00196129">
        <w:rPr>
          <w:rStyle w:val="Emphasis"/>
          <w:highlight w:val="yellow"/>
        </w:rPr>
        <w:t>hospitalized patients</w:t>
      </w:r>
      <w:r w:rsidRPr="003B7758">
        <w:rPr>
          <w:rStyle w:val="StyleUnderline"/>
        </w:rPr>
        <w:t xml:space="preserve">. </w:t>
      </w:r>
      <w:r w:rsidRPr="00196129">
        <w:rPr>
          <w:rStyle w:val="StyleUnderline"/>
          <w:highlight w:val="yellow"/>
        </w:rPr>
        <w:t xml:space="preserve">MDR bacteria are </w:t>
      </w:r>
      <w:r w:rsidRPr="00196129">
        <w:rPr>
          <w:rStyle w:val="Emphasis"/>
          <w:highlight w:val="yellow"/>
        </w:rPr>
        <w:t>extremely unlikely</w:t>
      </w:r>
      <w:r w:rsidRPr="00196129">
        <w:rPr>
          <w:rStyle w:val="StyleUnderline"/>
          <w:highlight w:val="yellow"/>
        </w:rPr>
        <w:t xml:space="preserve"> to cause a </w:t>
      </w:r>
      <w:r w:rsidRPr="00196129">
        <w:rPr>
          <w:rStyle w:val="Emphasis"/>
          <w:highlight w:val="yellow"/>
        </w:rPr>
        <w:t>global pandemic</w:t>
      </w:r>
      <w:r w:rsidRPr="003B7758">
        <w:t xml:space="preserve"> on the scale of the 1919 influenza or AIDS epidemics, </w:t>
      </w:r>
      <w:r w:rsidRPr="003B7758">
        <w:rPr>
          <w:rStyle w:val="StyleUnderline"/>
        </w:rPr>
        <w:t>so long as we continue to provide clean food and water</w:t>
      </w:r>
      <w:r w:rsidRPr="003B7758">
        <w:t xml:space="preserve"> to the public.</w:t>
      </w:r>
    </w:p>
    <w:p w14:paraId="3032A392" w14:textId="77777777" w:rsidR="0032492F" w:rsidRPr="00F535E3" w:rsidRDefault="0032492F" w:rsidP="0032492F">
      <w:pPr>
        <w:pStyle w:val="Heading4"/>
      </w:pPr>
      <w:r>
        <w:t>3] SQ solves – experiments and action now mean the plan isn’t “key” – none of their uniqueness evidence is specific to antibioitics</w:t>
      </w:r>
    </w:p>
    <w:p w14:paraId="21B9F421" w14:textId="77777777" w:rsidR="0032492F" w:rsidRDefault="0032492F" w:rsidP="0032492F">
      <w:r w:rsidRPr="00F535E3">
        <w:rPr>
          <w:rStyle w:val="Style13ptBold"/>
        </w:rPr>
        <w:t>Biochemical Society 17</w:t>
      </w:r>
      <w:r>
        <w:t xml:space="preserve"> (Biochemical Society, “</w:t>
      </w:r>
      <w:r w:rsidRPr="00F535E3">
        <w:t>How to solve a problem like antibiotic resistance</w:t>
      </w:r>
      <w:r>
        <w:t xml:space="preserve">”, March 3, 2017, ScienceDaily, </w:t>
      </w:r>
      <w:r w:rsidRPr="00F535E3">
        <w:t>https://www.sciencedaily.com/releases/2017/03/170303100429.htm</w:t>
      </w:r>
      <w:r>
        <w:t>)</w:t>
      </w:r>
    </w:p>
    <w:p w14:paraId="75D75287" w14:textId="77777777" w:rsidR="0032492F" w:rsidRPr="00316199" w:rsidRDefault="0032492F" w:rsidP="0032492F">
      <w:pPr>
        <w:rPr>
          <w:sz w:val="14"/>
        </w:rPr>
      </w:pPr>
      <w:r w:rsidRPr="001D5C6D">
        <w:rPr>
          <w:rStyle w:val="StyleUnderline"/>
        </w:rPr>
        <w:t>There has been much recent talk about how to target the rising tide of antibiotic resistance across the world, one of the biggest threats to global health today.</w:t>
      </w:r>
      <w:r>
        <w:rPr>
          <w:rStyle w:val="StyleUnderline"/>
        </w:rPr>
        <w:t xml:space="preserve"> </w:t>
      </w:r>
      <w:r w:rsidRPr="00316199">
        <w:rPr>
          <w:sz w:val="14"/>
        </w:rPr>
        <w:t xml:space="preserve">While there is no doubting the size of the problem facing scientists, healthcare professionals and the pharmaceutical industry, </w:t>
      </w:r>
      <w:r w:rsidRPr="00BB27D6">
        <w:rPr>
          <w:rStyle w:val="StyleUnderline"/>
        </w:rPr>
        <w:t>there are innovative ways we can target antibiotic resistance in the short term</w:t>
      </w:r>
      <w:r w:rsidRPr="00316199">
        <w:rPr>
          <w:sz w:val="14"/>
        </w:rPr>
        <w:t xml:space="preserve">, which are discussed in three articles published in Essays in Biochemistry. With only a few antibiotics in development and a long drug development process (often 10-15 years), there is concern that what is being done to combat antibiotic resistance may be 'too little, too late'. "If bacteria continue developing resistance to multiple antibiotics at the present rate, at the same time as the antibiotic pipeline continues to dry up, there could be catastrophic costs to healthcare and society globally," said senior co-author on one of the articles, Dr Tony Velkov, an Australian National Health and Medical Research Council (NHMRC) Career Development Fellow from Monash University, Victoria, Australia. While any antimicrobial resistance is concerning, the increasing incidence of antibiotic-resistant Gram-negative bacteria has become a particular problem as strains resistant to multiple antibiotics are becoming common and no new drugs to treat these infections (eg, carbapenem-resistant Enterobacteriaceae) will be available in the near future. These Gram-negative bacteria are considered the most critical priority in the list of the 12 families of bacteria that pose the greatest threat to human health that was just released by the World Health Organization. The reasons for the high levels of antimicrobial resistance observed in these critical Gram-negative organisms are explained in another paper in the same issue written by the Guest Editor of the journal, Dr Rietie Venter, University of South Australia, Adelaide, and colleagues. According to the authors, one of the main contributing factors to the increased resistance observed in Gram-negative bacteria is the permeability barrier caused by their additional outer membrane. </w:t>
      </w:r>
      <w:r w:rsidRPr="001D5C6D">
        <w:rPr>
          <w:rStyle w:val="StyleUnderline"/>
        </w:rPr>
        <w:t xml:space="preserve">An </w:t>
      </w:r>
      <w:r w:rsidRPr="00196129">
        <w:rPr>
          <w:rStyle w:val="StyleUnderline"/>
          <w:highlight w:val="yellow"/>
        </w:rPr>
        <w:t xml:space="preserve">innovative strategy </w:t>
      </w:r>
      <w:r w:rsidRPr="005D5FFD">
        <w:rPr>
          <w:rStyle w:val="StyleUnderline"/>
        </w:rPr>
        <w:t xml:space="preserve">that </w:t>
      </w:r>
      <w:r w:rsidRPr="00196129">
        <w:rPr>
          <w:rStyle w:val="StyleUnderline"/>
          <w:highlight w:val="yellow"/>
        </w:rPr>
        <w:t xml:space="preserve">is gaining momentum </w:t>
      </w:r>
      <w:r w:rsidRPr="005D5FFD">
        <w:rPr>
          <w:rStyle w:val="StyleUnderline"/>
        </w:rPr>
        <w:t xml:space="preserve">is </w:t>
      </w:r>
      <w:r w:rsidRPr="00196129">
        <w:rPr>
          <w:rStyle w:val="StyleUnderline"/>
          <w:highlight w:val="yellow"/>
        </w:rPr>
        <w:t xml:space="preserve">the synergistic use of antibiotics with </w:t>
      </w:r>
      <w:r w:rsidRPr="005D5FFD">
        <w:rPr>
          <w:rStyle w:val="StyleUnderline"/>
        </w:rPr>
        <w:t xml:space="preserve">FDA-approved </w:t>
      </w:r>
      <w:r w:rsidRPr="00196129">
        <w:rPr>
          <w:rStyle w:val="StyleUnderline"/>
          <w:highlight w:val="yellow"/>
        </w:rPr>
        <w:t>non-antibiotics</w:t>
      </w:r>
      <w:r w:rsidRPr="00316199">
        <w:rPr>
          <w:sz w:val="14"/>
        </w:rPr>
        <w:t xml:space="preserve">. Using this novel approach, </w:t>
      </w:r>
      <w:r w:rsidRPr="001D5C6D">
        <w:rPr>
          <w:rStyle w:val="StyleUnderline"/>
        </w:rPr>
        <w:t xml:space="preserve">an FDA-approved non-antibiotic drug is </w:t>
      </w:r>
      <w:r w:rsidRPr="005D5FFD">
        <w:rPr>
          <w:rStyle w:val="StyleUnderline"/>
        </w:rPr>
        <w:t xml:space="preserve">combined with a specific antibiotic that </w:t>
      </w:r>
      <w:r w:rsidRPr="00196129">
        <w:rPr>
          <w:rStyle w:val="StyleUnderline"/>
          <w:highlight w:val="yellow"/>
        </w:rPr>
        <w:t xml:space="preserve">enables it to breach the outer membrane barrier and </w:t>
      </w:r>
      <w:r w:rsidRPr="00316199">
        <w:rPr>
          <w:rStyle w:val="StyleUnderline"/>
        </w:rPr>
        <w:t xml:space="preserve">so </w:t>
      </w:r>
      <w:r w:rsidRPr="00196129">
        <w:rPr>
          <w:rStyle w:val="StyleUnderline"/>
          <w:highlight w:val="yellow"/>
        </w:rPr>
        <w:t xml:space="preserve">restore </w:t>
      </w:r>
      <w:r w:rsidRPr="00316199">
        <w:rPr>
          <w:rStyle w:val="StyleUnderline"/>
        </w:rPr>
        <w:t xml:space="preserve">the activity of </w:t>
      </w:r>
      <w:r w:rsidRPr="00196129">
        <w:rPr>
          <w:rStyle w:val="StyleUnderline"/>
          <w:highlight w:val="yellow"/>
        </w:rPr>
        <w:t>an antibiotic</w:t>
      </w:r>
      <w:r w:rsidRPr="00316199">
        <w:rPr>
          <w:sz w:val="14"/>
        </w:rPr>
        <w:t xml:space="preserve">. The Monash University authors discuss how combining antibiotics with other non-antibiotic drugs or compounds can boost their effectiveness against Gram-negative 'superbugs'. For example, </w:t>
      </w:r>
      <w:r w:rsidRPr="001D5C6D">
        <w:rPr>
          <w:rStyle w:val="StyleUnderline"/>
        </w:rPr>
        <w:t>loperamide, an anti-diarrheal medication sold in most pharmacies, enhances the effectiveness of eight different antibiotics</w:t>
      </w:r>
      <w:r w:rsidRPr="00316199">
        <w:rPr>
          <w:sz w:val="14"/>
        </w:rPr>
        <w:t xml:space="preserve"> (all in the tetracycline class). In particular, when added to the tetracycline antibiotic minocycline, along with the Parkinson's disease drug benserazide, it significantly increased antibiotic activity against multi-drug resistant Pseudomonas aeruginosa, a causative agent in hospital-acquired infections such as ventilator-associated pneumonia. </w:t>
      </w:r>
      <w:r w:rsidRPr="00BB27D6">
        <w:rPr>
          <w:rStyle w:val="StyleUnderline"/>
        </w:rPr>
        <w:t xml:space="preserve">Polymyxins are a type of antibiotics that target Gram-negative bacterial infections and have traditionally been used as a last resort </w:t>
      </w:r>
      <w:r w:rsidRPr="005D5FFD">
        <w:rPr>
          <w:rStyle w:val="StyleUnderline"/>
        </w:rPr>
        <w:t>to treat serious infections</w:t>
      </w:r>
      <w:r w:rsidRPr="001D5C6D">
        <w:rPr>
          <w:rStyle w:val="StyleUnderline"/>
        </w:rPr>
        <w:t xml:space="preserve"> such as those caused by Gram-negative 'superbugs'</w:t>
      </w:r>
      <w:r w:rsidRPr="00316199">
        <w:rPr>
          <w:sz w:val="14"/>
        </w:rPr>
        <w:t xml:space="preserve"> Klebsiella pneumoniae, P. aeruginosa and Acinetobacter baumannii. Resistance to polymyxins is not common, but in late 2015 the first transferable resistance gene to colistin (polymyxin E) was discovered (plasmid-borne mcr-1 gene). This caused significant concerns, as once resistance to polymyxins is established, often no other treatments are available. </w:t>
      </w:r>
      <w:r w:rsidRPr="001D5C6D">
        <w:rPr>
          <w:rStyle w:val="StyleUnderline"/>
        </w:rPr>
        <w:t xml:space="preserve">A number of </w:t>
      </w:r>
      <w:r w:rsidRPr="00196129">
        <w:rPr>
          <w:rStyle w:val="StyleUnderline"/>
          <w:highlight w:val="yellow"/>
        </w:rPr>
        <w:t>researchers</w:t>
      </w:r>
      <w:r w:rsidRPr="001D5C6D">
        <w:rPr>
          <w:rStyle w:val="StyleUnderline"/>
        </w:rPr>
        <w:t xml:space="preserve">, </w:t>
      </w:r>
      <w:r w:rsidRPr="00316199">
        <w:rPr>
          <w:sz w:val="14"/>
        </w:rPr>
        <w:t>including the team based at Monash University</w:t>
      </w:r>
      <w:r w:rsidRPr="001D5C6D">
        <w:rPr>
          <w:rStyle w:val="StyleUnderline"/>
        </w:rPr>
        <w:t xml:space="preserve">, </w:t>
      </w:r>
      <w:r w:rsidRPr="00196129">
        <w:rPr>
          <w:rStyle w:val="StyleUnderline"/>
          <w:highlight w:val="yellow"/>
        </w:rPr>
        <w:t xml:space="preserve">have been testing </w:t>
      </w:r>
      <w:r w:rsidRPr="005D5FFD">
        <w:rPr>
          <w:rStyle w:val="StyleUnderline"/>
        </w:rPr>
        <w:t xml:space="preserve">different </w:t>
      </w:r>
      <w:r w:rsidRPr="00196129">
        <w:rPr>
          <w:rStyle w:val="StyleUnderline"/>
          <w:highlight w:val="yellow"/>
        </w:rPr>
        <w:t xml:space="preserve">combinations of drugs </w:t>
      </w:r>
      <w:r w:rsidRPr="005D5FFD">
        <w:rPr>
          <w:rStyle w:val="StyleUnderline"/>
        </w:rPr>
        <w:t xml:space="preserve">or compounds </w:t>
      </w:r>
      <w:r w:rsidRPr="00196129">
        <w:rPr>
          <w:rStyle w:val="StyleUnderline"/>
          <w:highlight w:val="yellow"/>
        </w:rPr>
        <w:t xml:space="preserve">with polymyxins to </w:t>
      </w:r>
      <w:r w:rsidRPr="005D5FFD">
        <w:rPr>
          <w:rStyle w:val="StyleUnderline"/>
        </w:rPr>
        <w:t xml:space="preserve">try and </w:t>
      </w:r>
      <w:r w:rsidRPr="00196129">
        <w:rPr>
          <w:rStyle w:val="StyleUnderline"/>
          <w:highlight w:val="yellow"/>
        </w:rPr>
        <w:t xml:space="preserve">improve their effectiveness against </w:t>
      </w:r>
      <w:r w:rsidRPr="005D5FFD">
        <w:rPr>
          <w:rStyle w:val="StyleUnderline"/>
        </w:rPr>
        <w:t xml:space="preserve">these bacterial </w:t>
      </w:r>
      <w:r w:rsidRPr="00196129">
        <w:rPr>
          <w:rStyle w:val="StyleUnderline"/>
          <w:highlight w:val="yellow"/>
        </w:rPr>
        <w:t>'superbugs'</w:t>
      </w:r>
      <w:r w:rsidRPr="001D5C6D">
        <w:rPr>
          <w:rStyle w:val="StyleUnderline"/>
        </w:rPr>
        <w:t>.</w:t>
      </w:r>
      <w:r w:rsidRPr="00316199">
        <w:rPr>
          <w:sz w:val="14"/>
        </w:rPr>
        <w:t xml:space="preserve"> </w:t>
      </w:r>
      <w:r w:rsidRPr="001D5C6D">
        <w:rPr>
          <w:rStyle w:val="StyleUnderline"/>
        </w:rPr>
        <w:t>"Without new antibiotics in the near future, we must explore innovative approaches to preserve the clinical utility of important last-line antibiotics such as the polymyxins."</w:t>
      </w:r>
      <w:r w:rsidRPr="00316199">
        <w:rPr>
          <w:sz w:val="14"/>
        </w:rPr>
        <w:t xml:space="preserve"> commented senior co-author on the paper, Professor Jian Li, Head of the Laboratory of Antimicrobial Systems Pharmacology from Monash University, Victoria, Australia. </w:t>
      </w:r>
      <w:r w:rsidRPr="005D5FFD">
        <w:rPr>
          <w:rStyle w:val="Emphasis"/>
        </w:rPr>
        <w:t>Some interesting findings have ensued, with</w:t>
      </w:r>
      <w:r w:rsidRPr="00196129">
        <w:rPr>
          <w:rStyle w:val="Emphasis"/>
          <w:highlight w:val="yellow"/>
        </w:rPr>
        <w:t xml:space="preserve"> a number of different combinations havi</w:t>
      </w:r>
      <w:r w:rsidRPr="005D5FFD">
        <w:rPr>
          <w:rStyle w:val="Emphasis"/>
        </w:rPr>
        <w:t>ng</w:t>
      </w:r>
      <w:r w:rsidRPr="00196129">
        <w:rPr>
          <w:rStyle w:val="Emphasis"/>
          <w:highlight w:val="yellow"/>
        </w:rPr>
        <w:t xml:space="preserve"> a beneficial effect</w:t>
      </w:r>
      <w:r w:rsidRPr="00316199">
        <w:rPr>
          <w:sz w:val="14"/>
        </w:rPr>
        <w:t xml:space="preserve">. Some notable examples that increased antibiotic activity when combined with polymyxin B include: ivacaftor and lumacaftor, two new drugs used to treat cystic fibrosis; and closantel, a drug used to treat parasitic worm infections. Another interesting combination that has shown promise against methicillin-resistant Staphylococcus aureus (MRSA), according to Schneider and co-authors, is combining the antibiotics ampicillin or oxacillin with berberine. Berberine is extracted from the roots, stems and bark of plants such as barberry. </w:t>
      </w:r>
      <w:r w:rsidRPr="001D5C6D">
        <w:rPr>
          <w:rStyle w:val="StyleUnderline"/>
        </w:rPr>
        <w:t xml:space="preserve">In another paper in the same issue of Essays in Biochemistry, Dr Mark Blaskovich, Program Coordinator, Community for Open Antimicrobial Drug Discovery and colleagues from the University of Queensland, Brisbane, </w:t>
      </w:r>
      <w:r w:rsidRPr="001D5C6D">
        <w:rPr>
          <w:rStyle w:val="StyleUnderline"/>
        </w:rPr>
        <w:lastRenderedPageBreak/>
        <w:t>Australia, describe the key ways they believe antimicrobial resistance can be targeted.</w:t>
      </w:r>
      <w:r>
        <w:rPr>
          <w:rStyle w:val="StyleUnderline"/>
        </w:rPr>
        <w:t xml:space="preserve"> </w:t>
      </w:r>
      <w:r w:rsidRPr="00316199">
        <w:rPr>
          <w:sz w:val="14"/>
        </w:rPr>
        <w:t xml:space="preserve">"In the short term, the greatest potential for reducing further development of antimicrobial resistance lies in developing a rapid test that can quickly tell whether or not you have a bacterial infection (as opposed to a viral cold or flu), and whether you really need an antibiotic," commented Blaskovich. "Even better if the test could say what type of bacteria, and what types of antibiotics it is resistant to. You could then treat an infection immediately with the appropriate antibiotic, rather than the trial and error method now used. These tests could be ready within the next 5 years, and would have a huge impact on reducing unnecessary antibiotic use, preserving our existing antibiotics and reducing the spread of antibiotic resistance." Regarding antibiotics in particular, Blaskovich and colleagues describe a number of possible strategies to pursue. The first of which is to improve existing antibiotics. For example, the authors recently created a modified version of the antibiotic vancomycin to increase its potency and reduce its toxic side effects. Another option is to rediscover 'old' antibiotics. In the 1950s and 60s many potential antibiotic drugs were described in the scientific literature, but due to so many choices being available at the time, only some were developed for human use. An example of this is octapeptins, which are newly rediscovered antibiotics that are now being developed to combat Gram-negative 'superbugs'. Repurposing drugs originally developed and approved for other uses has also had some success. In 2005, the Drugs for Neglected Diseases initiative identified fexinadole as a potential treatment for sleeping sickness and it is now undergoing a Phase III trial. This drug had been developed as an antimicrobial in the 1970s, but only reached pre-clinical development. In addition to the above, researchers are looking for new, untested sources of antimicrobial activity to try and develop new drugs. A recent success in this area was, teixobactin, a new antibiotic developed by NovoBiotic Pharmaceuticals, discovered by using an 'iChip' to culture and isolate soil bacteria in situ. A final option, mentioned by Blaskovich and colleagues, is crowdsourcing new antibiotics. Using this approach, the Community for Open Antimicrobial Drug Discovery, is searching for new chemical diversity by searching compounds sourced from academic chemists from around the world. "It's hard to predict which one of these methods will be the most successful in the future, but we really need to be trying all of them to have any chance of overcoming antibiotic resistance," said Blaskovich. </w:t>
      </w:r>
      <w:r w:rsidRPr="001D5C6D">
        <w:rPr>
          <w:rStyle w:val="StyleUnderline"/>
        </w:rPr>
        <w:t>"</w:t>
      </w:r>
      <w:r w:rsidRPr="005D5FFD">
        <w:rPr>
          <w:rStyle w:val="StyleUnderline"/>
        </w:rPr>
        <w:t>Non-antibiotic strategies are just as important, such as developing vaccines</w:t>
      </w:r>
      <w:r w:rsidRPr="001D5C6D">
        <w:rPr>
          <w:rStyle w:val="StyleUnderline"/>
        </w:rPr>
        <w:t xml:space="preserve"> or probiotic therapies to prevent infections, as they can help to reduce the overuse of antibiotics</w:t>
      </w:r>
      <w:r w:rsidRPr="00316199">
        <w:rPr>
          <w:sz w:val="14"/>
        </w:rPr>
        <w:t xml:space="preserve">. They will never completely replace antibiotics, but can help to preserve our existing antibiotics so they still work when needed." Overall, </w:t>
      </w:r>
      <w:r w:rsidRPr="001D5C6D">
        <w:rPr>
          <w:rStyle w:val="StyleUnderline"/>
        </w:rPr>
        <w:t xml:space="preserve">these articles and others in the new antimicrobial resistance themed issue of Essays in Biochemistry give us hope that </w:t>
      </w:r>
      <w:r w:rsidRPr="00196129">
        <w:rPr>
          <w:rStyle w:val="Emphasis"/>
          <w:highlight w:val="yellow"/>
        </w:rPr>
        <w:t xml:space="preserve">there are viable solutions being developed </w:t>
      </w:r>
      <w:r w:rsidRPr="005D5FFD">
        <w:rPr>
          <w:rStyle w:val="Emphasis"/>
        </w:rPr>
        <w:t>to this seemingly unsurmountable global problem</w:t>
      </w:r>
      <w:r w:rsidRPr="00316199">
        <w:rPr>
          <w:sz w:val="14"/>
        </w:rPr>
        <w:t>. It is important that all possible avenues are considered, as some less obvious approaches may end up being sources of future success. Dr Derry Mercer, Principal Scientist at NovaBiotics Ltd, a company that specialises in developing new antimicrobials, commented: "Research and development into new antimicrobials remains a vitally important pursuit for combatting the problem of antibiotic resistance, but alternative approaches to this problem are also urgently needed." He added: "Such methods include those described in the papers in the latest issue of Essays in Biochemistry, as well as vaccine development and bacteriophage therapy, to name a few. Approaches that target microbial virulence, for example targeting biofilms and/or quorum sensing, rather than more traditional directly antimicrobial drugs should also be urgently examined."</w:t>
      </w:r>
    </w:p>
    <w:p w14:paraId="6085FC41" w14:textId="77777777" w:rsidR="0032492F" w:rsidRDefault="0032492F" w:rsidP="0032492F"/>
    <w:sectPr w:rsidR="00324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3E3147"/>
    <w:multiLevelType w:val="hybridMultilevel"/>
    <w:tmpl w:val="ACE8D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1059C"/>
    <w:multiLevelType w:val="hybridMultilevel"/>
    <w:tmpl w:val="576AD524"/>
    <w:lvl w:ilvl="0" w:tplc="A400434E">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96832A6"/>
    <w:multiLevelType w:val="hybridMultilevel"/>
    <w:tmpl w:val="252C72B2"/>
    <w:lvl w:ilvl="0" w:tplc="25F20C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D067E8"/>
    <w:multiLevelType w:val="hybridMultilevel"/>
    <w:tmpl w:val="57421AA8"/>
    <w:lvl w:ilvl="0" w:tplc="0E121086">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0"/>
  </w:num>
  <w:num w:numId="14">
    <w:abstractNumId w:val="13"/>
  </w:num>
  <w:num w:numId="15">
    <w:abstractNumId w:val="16"/>
  </w:num>
  <w:num w:numId="16">
    <w:abstractNumId w:val="17"/>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60E2"/>
    <w:rsid w:val="000139A3"/>
    <w:rsid w:val="00100833"/>
    <w:rsid w:val="00104529"/>
    <w:rsid w:val="00105942"/>
    <w:rsid w:val="00107396"/>
    <w:rsid w:val="0013581F"/>
    <w:rsid w:val="00144A4C"/>
    <w:rsid w:val="00176AB0"/>
    <w:rsid w:val="00177B7D"/>
    <w:rsid w:val="0018322D"/>
    <w:rsid w:val="001B0045"/>
    <w:rsid w:val="001B5776"/>
    <w:rsid w:val="001C1891"/>
    <w:rsid w:val="001E527A"/>
    <w:rsid w:val="001F78CE"/>
    <w:rsid w:val="00251FC7"/>
    <w:rsid w:val="002855A7"/>
    <w:rsid w:val="002B146A"/>
    <w:rsid w:val="002B5E17"/>
    <w:rsid w:val="00315690"/>
    <w:rsid w:val="003160B0"/>
    <w:rsid w:val="00316B75"/>
    <w:rsid w:val="0032492F"/>
    <w:rsid w:val="00325646"/>
    <w:rsid w:val="003460F2"/>
    <w:rsid w:val="0038158C"/>
    <w:rsid w:val="003902BA"/>
    <w:rsid w:val="003A09E2"/>
    <w:rsid w:val="00407037"/>
    <w:rsid w:val="004605D6"/>
    <w:rsid w:val="004A6360"/>
    <w:rsid w:val="004C60E8"/>
    <w:rsid w:val="004E3579"/>
    <w:rsid w:val="004E728B"/>
    <w:rsid w:val="004F39E0"/>
    <w:rsid w:val="00537BD5"/>
    <w:rsid w:val="0057268A"/>
    <w:rsid w:val="005D2912"/>
    <w:rsid w:val="006065BD"/>
    <w:rsid w:val="00645FA9"/>
    <w:rsid w:val="00647866"/>
    <w:rsid w:val="00665003"/>
    <w:rsid w:val="006A2AD0"/>
    <w:rsid w:val="006B60E2"/>
    <w:rsid w:val="006C2375"/>
    <w:rsid w:val="006D4ECC"/>
    <w:rsid w:val="00722258"/>
    <w:rsid w:val="007243E5"/>
    <w:rsid w:val="00766EA0"/>
    <w:rsid w:val="007A2226"/>
    <w:rsid w:val="007F5B66"/>
    <w:rsid w:val="00823A1C"/>
    <w:rsid w:val="00845B9D"/>
    <w:rsid w:val="00855B21"/>
    <w:rsid w:val="00860984"/>
    <w:rsid w:val="008B3ECB"/>
    <w:rsid w:val="008B4E85"/>
    <w:rsid w:val="008C1B2E"/>
    <w:rsid w:val="0091627E"/>
    <w:rsid w:val="0097032B"/>
    <w:rsid w:val="009A0D62"/>
    <w:rsid w:val="009D2EAD"/>
    <w:rsid w:val="009D54B2"/>
    <w:rsid w:val="009E1922"/>
    <w:rsid w:val="009F7ED2"/>
    <w:rsid w:val="00A93661"/>
    <w:rsid w:val="00A95652"/>
    <w:rsid w:val="00AC0AB8"/>
    <w:rsid w:val="00B33C6D"/>
    <w:rsid w:val="00B4508F"/>
    <w:rsid w:val="00B55AD5"/>
    <w:rsid w:val="00B8057C"/>
    <w:rsid w:val="00BB3606"/>
    <w:rsid w:val="00BC4064"/>
    <w:rsid w:val="00BD6238"/>
    <w:rsid w:val="00BF593B"/>
    <w:rsid w:val="00BF773A"/>
    <w:rsid w:val="00BF7E81"/>
    <w:rsid w:val="00C125F4"/>
    <w:rsid w:val="00C13773"/>
    <w:rsid w:val="00C17CC8"/>
    <w:rsid w:val="00C220B4"/>
    <w:rsid w:val="00C83417"/>
    <w:rsid w:val="00C9604F"/>
    <w:rsid w:val="00CA19AA"/>
    <w:rsid w:val="00CA6487"/>
    <w:rsid w:val="00CB1E75"/>
    <w:rsid w:val="00CC5298"/>
    <w:rsid w:val="00CD736E"/>
    <w:rsid w:val="00CD798D"/>
    <w:rsid w:val="00CE161E"/>
    <w:rsid w:val="00CF59A8"/>
    <w:rsid w:val="00D325A9"/>
    <w:rsid w:val="00D36A8A"/>
    <w:rsid w:val="00D47579"/>
    <w:rsid w:val="00D61409"/>
    <w:rsid w:val="00D6691E"/>
    <w:rsid w:val="00D71170"/>
    <w:rsid w:val="00DA1C92"/>
    <w:rsid w:val="00DA25D4"/>
    <w:rsid w:val="00DA6538"/>
    <w:rsid w:val="00E15E75"/>
    <w:rsid w:val="00E457B0"/>
    <w:rsid w:val="00E5262C"/>
    <w:rsid w:val="00EC7DC4"/>
    <w:rsid w:val="00ED30CF"/>
    <w:rsid w:val="00F158F7"/>
    <w:rsid w:val="00F176EF"/>
    <w:rsid w:val="00F45E10"/>
    <w:rsid w:val="00F6364A"/>
    <w:rsid w:val="00F9113A"/>
    <w:rsid w:val="00FE169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71AC6"/>
  <w15:chartTrackingRefBased/>
  <w15:docId w15:val="{3C98160C-B52B-4C27-8953-0BF3CF4B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3606"/>
    <w:rPr>
      <w:rFonts w:ascii="Calibri" w:hAnsi="Calibri"/>
    </w:rPr>
  </w:style>
  <w:style w:type="paragraph" w:styleId="Heading1">
    <w:name w:val="heading 1"/>
    <w:aliases w:val="Pocket"/>
    <w:basedOn w:val="Normal"/>
    <w:next w:val="Normal"/>
    <w:link w:val="Heading1Char"/>
    <w:qFormat/>
    <w:rsid w:val="00BB3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36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B36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BB36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3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606"/>
  </w:style>
  <w:style w:type="character" w:customStyle="1" w:styleId="Heading1Char">
    <w:name w:val="Heading 1 Char"/>
    <w:aliases w:val="Pocket Char"/>
    <w:basedOn w:val="DefaultParagraphFont"/>
    <w:link w:val="Heading1"/>
    <w:rsid w:val="00BB36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360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BB360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BB3606"/>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smal,Text"/>
    <w:basedOn w:val="DefaultParagraphFont"/>
    <w:link w:val="textbold"/>
    <w:uiPriority w:val="7"/>
    <w:qFormat/>
    <w:rsid w:val="00BB36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3606"/>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BB360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B3606"/>
    <w:rPr>
      <w:color w:val="auto"/>
      <w:u w:val="none"/>
    </w:rPr>
  </w:style>
  <w:style w:type="character" w:styleId="FollowedHyperlink">
    <w:name w:val="FollowedHyperlink"/>
    <w:basedOn w:val="DefaultParagraphFont"/>
    <w:uiPriority w:val="99"/>
    <w:semiHidden/>
    <w:unhideWhenUsed/>
    <w:rsid w:val="00BB3606"/>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
    <w:basedOn w:val="Heading1"/>
    <w:link w:val="Hyperlink"/>
    <w:autoRedefine/>
    <w:uiPriority w:val="99"/>
    <w:qFormat/>
    <w:rsid w:val="009A0D6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9A0D62"/>
    <w:pPr>
      <w:ind w:left="720"/>
      <w:contextualSpacing/>
    </w:pPr>
  </w:style>
  <w:style w:type="paragraph" w:customStyle="1" w:styleId="textbold">
    <w:name w:val="text bold"/>
    <w:basedOn w:val="Normal"/>
    <w:link w:val="Emphasis"/>
    <w:uiPriority w:val="7"/>
    <w:qFormat/>
    <w:rsid w:val="00C220B4"/>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DocumentMap">
    <w:name w:val="Document Map"/>
    <w:basedOn w:val="Normal"/>
    <w:link w:val="DocumentMapChar"/>
    <w:uiPriority w:val="99"/>
    <w:semiHidden/>
    <w:unhideWhenUsed/>
    <w:rsid w:val="004A63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6360"/>
    <w:rPr>
      <w:rFonts w:ascii="Lucida Grande" w:hAnsi="Lucida Grande" w:cs="Lucida Grande"/>
      <w:sz w:val="24"/>
    </w:rPr>
  </w:style>
  <w:style w:type="paragraph" w:customStyle="1" w:styleId="Emphasize">
    <w:name w:val="Emphasize"/>
    <w:basedOn w:val="Normal"/>
    <w:uiPriority w:val="20"/>
    <w:qFormat/>
    <w:rsid w:val="004A636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4A6360"/>
    <w:pPr>
      <w:spacing w:before="100" w:beforeAutospacing="1" w:after="100" w:afterAutospacing="1"/>
    </w:pPr>
  </w:style>
  <w:style w:type="paragraph" w:customStyle="1" w:styleId="cardbody">
    <w:name w:val="cardbody"/>
    <w:basedOn w:val="Normal"/>
    <w:rsid w:val="004A6360"/>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4A6360"/>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stonreview.net/war-security-politics-global-justice/alex-de-waal-garrison-america-and-threat-global-war" TargetMode="External"/><Relationship Id="rId13" Type="http://schemas.openxmlformats.org/officeDocument/2006/relationships/hyperlink" Target="https://grapevine.is/news/2019/10/03/iceland-may-save-humanity-from-extinction-in-event-of-a-global-pandemic-researchers-say/" TargetMode="External"/><Relationship Id="rId3" Type="http://schemas.openxmlformats.org/officeDocument/2006/relationships/styles" Target="styles.xml"/><Relationship Id="rId7" Type="http://schemas.openxmlformats.org/officeDocument/2006/relationships/hyperlink" Target="https://www.hhrjournal.org/2017/03/new-who-leader-will-need-human-rights-to-counter-populism/" TargetMode="External"/><Relationship Id="rId12" Type="http://schemas.openxmlformats.org/officeDocument/2006/relationships/hyperlink" Target="https://www.ipwatchdog.com/2016/07/14/superbugs/id=7087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geneva-network.com/research/why-pharmaceutical-follow-on-innovation-should-be-eligible-for-patent-protection/" TargetMode="External"/><Relationship Id="rId5" Type="http://schemas.openxmlformats.org/officeDocument/2006/relationships/webSettings" Target="webSettings.xml"/><Relationship Id="rId15" Type="http://schemas.openxmlformats.org/officeDocument/2006/relationships/hyperlink" Target="https://www.forbes.com/sites/quora/2017/02/10/can-a-superbug-cause-a-global-pandemic/" TargetMode="External"/><Relationship Id="rId10" Type="http://schemas.openxmlformats.org/officeDocument/2006/relationships/hyperlink" Target="https://www.ip-watch.org/2018/09/21/follow-pharmaceutical-innovations-eligible-patent-protection/" TargetMode="External"/><Relationship Id="rId4" Type="http://schemas.openxmlformats.org/officeDocument/2006/relationships/settings" Target="settings.xml"/><Relationship Id="rId9" Type="http://schemas.openxmlformats.org/officeDocument/2006/relationships/hyperlink" Target="http://www.cato.org/regulation/fall-2020/evergreening-myth" TargetMode="External"/><Relationship Id="rId14" Type="http://schemas.openxmlformats.org/officeDocument/2006/relationships/hyperlink" Target="http://www.sandiegouniontribune.com/business/biotech/sd-me-antibiotic-resistance-20170511-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176</TotalTime>
  <Pages>25</Pages>
  <Words>13994</Words>
  <Characters>79771</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Aarav Billore</dc:creator>
  <cp:keywords>5.1.1</cp:keywords>
  <dc:description/>
  <cp:lastModifiedBy>Aarav Billore</cp:lastModifiedBy>
  <cp:revision>14</cp:revision>
  <dcterms:created xsi:type="dcterms:W3CDTF">2021-10-08T22:52:00Z</dcterms:created>
  <dcterms:modified xsi:type="dcterms:W3CDTF">2021-10-09T02:44:00Z</dcterms:modified>
</cp:coreProperties>
</file>