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4D697" w14:textId="77777777" w:rsidR="005D530E" w:rsidRPr="002A243F" w:rsidRDefault="005D530E" w:rsidP="005D530E"/>
    <w:p w14:paraId="35E942F6" w14:textId="48E35A41" w:rsidR="00E42E4C" w:rsidRPr="002A243F" w:rsidRDefault="005D530E" w:rsidP="005D530E">
      <w:pPr>
        <w:pStyle w:val="Heading2"/>
        <w:rPr>
          <w:rFonts w:cs="Calibri"/>
        </w:rPr>
      </w:pPr>
      <w:r w:rsidRPr="002A243F">
        <w:rPr>
          <w:rFonts w:cs="Calibri"/>
        </w:rPr>
        <w:lastRenderedPageBreak/>
        <w:t>***NC***</w:t>
      </w:r>
    </w:p>
    <w:p w14:paraId="3751DD60" w14:textId="77777777" w:rsidR="005D530E" w:rsidRPr="002A243F" w:rsidRDefault="005D530E" w:rsidP="005D530E">
      <w:pPr>
        <w:pStyle w:val="Heading3"/>
        <w:rPr>
          <w:rFonts w:cs="Calibri"/>
        </w:rPr>
      </w:pPr>
      <w:r w:rsidRPr="002A243F">
        <w:rPr>
          <w:rFonts w:cs="Calibri"/>
        </w:rPr>
        <w:lastRenderedPageBreak/>
        <w:t>T—FW (Workers)</w:t>
      </w:r>
    </w:p>
    <w:p w14:paraId="42954172" w14:textId="77777777" w:rsidR="005D530E" w:rsidRPr="002A243F" w:rsidRDefault="005D530E" w:rsidP="005D530E"/>
    <w:p w14:paraId="72FC7CF7" w14:textId="77777777" w:rsidR="005D530E" w:rsidRPr="002A243F" w:rsidRDefault="005D530E" w:rsidP="005D530E">
      <w:pPr>
        <w:pStyle w:val="Heading4"/>
        <w:rPr>
          <w:rFonts w:cs="Calibri"/>
        </w:rPr>
      </w:pPr>
      <w:r w:rsidRPr="002A243F">
        <w:rPr>
          <w:rFonts w:cs="Calibri"/>
        </w:rPr>
        <w:t xml:space="preserve">A topical affirmative would defend that workers, </w:t>
      </w:r>
      <w:r w:rsidRPr="002A243F">
        <w:rPr>
          <w:rFonts w:cs="Calibri"/>
          <w:u w:val="single"/>
        </w:rPr>
        <w:t>in general</w:t>
      </w:r>
      <w:r w:rsidRPr="002A243F">
        <w:rPr>
          <w:rFonts w:cs="Calibri"/>
        </w:rPr>
        <w:t>, deserve an unconditional right to strike</w:t>
      </w:r>
    </w:p>
    <w:p w14:paraId="5B5305AB" w14:textId="77777777" w:rsidR="005D530E" w:rsidRPr="002A243F" w:rsidRDefault="005D530E" w:rsidP="005D530E">
      <w:pPr>
        <w:pStyle w:val="Heading4"/>
        <w:rPr>
          <w:rFonts w:cs="Calibri"/>
        </w:rPr>
      </w:pPr>
      <w:r w:rsidRPr="002A243F">
        <w:rPr>
          <w:rFonts w:cs="Calibri"/>
        </w:rPr>
        <w:t xml:space="preserve">The </w:t>
      </w:r>
      <w:r w:rsidRPr="002A243F">
        <w:rPr>
          <w:rFonts w:cs="Calibri"/>
          <w:u w:val="single"/>
        </w:rPr>
        <w:t>missing modifier</w:t>
      </w:r>
      <w:r w:rsidRPr="002A243F">
        <w:rPr>
          <w:rFonts w:cs="Calibri"/>
        </w:rPr>
        <w:t xml:space="preserve"> means it’s a generic term. Linguistics, logic, and common usage prove.</w:t>
      </w:r>
    </w:p>
    <w:p w14:paraId="1B0D475E" w14:textId="77777777" w:rsidR="005D530E" w:rsidRPr="002A243F" w:rsidRDefault="005D530E" w:rsidP="005D530E">
      <w:pPr>
        <w:rPr>
          <w:rStyle w:val="Style13ptBold"/>
        </w:rPr>
      </w:pPr>
      <w:r w:rsidRPr="002A243F">
        <w:rPr>
          <w:rStyle w:val="Style13ptBold"/>
        </w:rPr>
        <w:t>Bile 87</w:t>
      </w:r>
    </w:p>
    <w:p w14:paraId="6777973F" w14:textId="77777777" w:rsidR="005D530E" w:rsidRPr="002A243F" w:rsidRDefault="005D530E" w:rsidP="005D530E">
      <w:pPr>
        <w:rPr>
          <w:sz w:val="16"/>
        </w:rPr>
      </w:pPr>
      <w:r w:rsidRPr="002A243F">
        <w:rPr>
          <w:sz w:val="16"/>
        </w:rPr>
        <w:t>Bile, Jeff (Former head coach of Southern Illinois University, where he coached 4 consecutive national championship). "When the Whole is Greater than the sum of the Parts: The Implications of Holistic Resolutional Focus".  In CEDA Yearbook. Vol. 8, Edt., Brenda Logue. JDN. 1987.</w:t>
      </w:r>
    </w:p>
    <w:p w14:paraId="71F22B45" w14:textId="77777777" w:rsidR="005D530E" w:rsidRPr="002A243F" w:rsidRDefault="005D530E" w:rsidP="005D530E"/>
    <w:p w14:paraId="7272D8AB" w14:textId="77777777" w:rsidR="005D530E" w:rsidRPr="002A243F" w:rsidRDefault="005D530E" w:rsidP="005D530E">
      <w:pPr>
        <w:rPr>
          <w:sz w:val="16"/>
        </w:rPr>
      </w:pPr>
      <w:r w:rsidRPr="002A243F">
        <w:rPr>
          <w:sz w:val="16"/>
        </w:rPr>
        <w:t xml:space="preserve">The second rationale for holistic focus is that </w:t>
      </w:r>
      <w:r w:rsidRPr="002A243F">
        <w:rPr>
          <w:highlight w:val="yellow"/>
          <w:u w:val="single"/>
        </w:rPr>
        <w:t xml:space="preserve">generic interpretation is </w:t>
      </w:r>
      <w:r w:rsidRPr="002A243F">
        <w:rPr>
          <w:b/>
          <w:highlight w:val="yellow"/>
          <w:u w:val="single"/>
          <w:bdr w:val="single" w:sz="18" w:space="0" w:color="auto"/>
        </w:rPr>
        <w:t>most compatible</w:t>
      </w:r>
      <w:r w:rsidRPr="002A243F">
        <w:rPr>
          <w:highlight w:val="yellow"/>
          <w:u w:val="single"/>
        </w:rPr>
        <w:t xml:space="preserve"> with</w:t>
      </w:r>
      <w:r w:rsidRPr="002A243F">
        <w:rPr>
          <w:u w:val="single"/>
        </w:rPr>
        <w:t xml:space="preserve"> “rules" of interpretation in light of </w:t>
      </w:r>
      <w:r w:rsidRPr="002A243F">
        <w:rPr>
          <w:highlight w:val="yellow"/>
          <w:u w:val="single"/>
        </w:rPr>
        <w:t>a "missing modifier."</w:t>
      </w:r>
      <w:r w:rsidRPr="002A243F">
        <w:rPr>
          <w:u w:val="single"/>
        </w:rPr>
        <w:t xml:space="preserve"> Most of us would consider the proposition “birds can fly" as true even though we are aware of some that can’t, because we intuitively insert the generic modifier "most”</w:t>
      </w:r>
      <w:r w:rsidRPr="002A243F">
        <w:rPr>
          <w:sz w:val="16"/>
        </w:rPr>
        <w:t xml:space="preserve"> in front of birds" or "typically/ generally" in front of "fly." </w:t>
      </w:r>
      <w:r w:rsidRPr="002A243F">
        <w:rPr>
          <w:u w:val="single"/>
        </w:rPr>
        <w:t xml:space="preserve">This intuition is semantically “correct." </w:t>
      </w:r>
      <w:r w:rsidRPr="002A243F">
        <w:rPr>
          <w:highlight w:val="yellow"/>
          <w:u w:val="single"/>
        </w:rPr>
        <w:t>Linguist John Lyons</w:t>
      </w:r>
      <w:r w:rsidRPr="002A243F">
        <w:rPr>
          <w:sz w:val="16"/>
        </w:rPr>
        <w:t xml:space="preserve"> (1981) </w:t>
      </w:r>
      <w:r w:rsidRPr="002A243F">
        <w:rPr>
          <w:highlight w:val="yellow"/>
          <w:u w:val="single"/>
        </w:rPr>
        <w:t>argues: What is meant by 'generic' may be seen by</w:t>
      </w:r>
      <w:r w:rsidRPr="002A243F">
        <w:rPr>
          <w:u w:val="single"/>
        </w:rPr>
        <w:t xml:space="preserve"> considering </w:t>
      </w:r>
      <w:r w:rsidRPr="002A243F">
        <w:rPr>
          <w:highlight w:val="yellow"/>
          <w:u w:val="single"/>
        </w:rPr>
        <w:t>such</w:t>
      </w:r>
      <w:r w:rsidRPr="002A243F">
        <w:rPr>
          <w:u w:val="single"/>
        </w:rPr>
        <w:t xml:space="preserve"> sets of </w:t>
      </w:r>
      <w:r w:rsidRPr="002A243F">
        <w:rPr>
          <w:highlight w:val="yellow"/>
          <w:u w:val="single"/>
        </w:rPr>
        <w:t>sentences as</w:t>
      </w:r>
      <w:r w:rsidRPr="002A243F">
        <w:rPr>
          <w:sz w:val="16"/>
        </w:rPr>
        <w:t xml:space="preserve"> the following: 1) </w:t>
      </w:r>
      <w:r w:rsidRPr="002A243F">
        <w:rPr>
          <w:highlight w:val="yellow"/>
          <w:u w:val="single"/>
        </w:rPr>
        <w:t>The lion is a friendly beast.</w:t>
      </w:r>
      <w:r w:rsidRPr="002A243F">
        <w:rPr>
          <w:sz w:val="16"/>
        </w:rPr>
        <w:t xml:space="preserve"> 2) A lion is a friendly beast. 3) Lions are friendly beasts. Each of these sentences may be used to assert a generic proposition: i.e.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w:t>
      </w:r>
      <w:r w:rsidRPr="002A243F">
        <w:rPr>
          <w:highlight w:val="yellow"/>
          <w:u w:val="single"/>
        </w:rPr>
        <w:t>the field of logic provides additional</w:t>
      </w:r>
      <w:r w:rsidRPr="002A243F">
        <w:rPr>
          <w:u w:val="single"/>
        </w:rPr>
        <w:t xml:space="preserve"> supportive </w:t>
      </w:r>
      <w:r w:rsidRPr="002A243F">
        <w:rPr>
          <w:highlight w:val="yellow"/>
          <w:u w:val="single"/>
        </w:rPr>
        <w:t>“rules." Logicians</w:t>
      </w:r>
      <w:r w:rsidRPr="002A243F">
        <w:rPr>
          <w:u w:val="single"/>
        </w:rPr>
        <w:t xml:space="preserve"> tend to </w:t>
      </w:r>
      <w:r w:rsidRPr="002A243F">
        <w:rPr>
          <w:highlight w:val="yellow"/>
          <w:u w:val="single"/>
        </w:rPr>
        <w:t>interpret</w:t>
      </w:r>
      <w:r w:rsidRPr="002A243F">
        <w:rPr>
          <w:u w:val="single"/>
        </w:rPr>
        <w:t xml:space="preserve"> "indesignate form" propositions with </w:t>
      </w:r>
      <w:r w:rsidRPr="002A243F">
        <w:rPr>
          <w:highlight w:val="yellow"/>
          <w:u w:val="single"/>
        </w:rPr>
        <w:t>missing</w:t>
      </w:r>
      <w:r w:rsidRPr="002A243F">
        <w:rPr>
          <w:u w:val="single"/>
        </w:rPr>
        <w:t xml:space="preserve"> quantification </w:t>
      </w:r>
      <w:r w:rsidRPr="002A243F">
        <w:rPr>
          <w:highlight w:val="yellow"/>
          <w:u w:val="single"/>
        </w:rPr>
        <w:t>modifiers as</w:t>
      </w:r>
      <w:r w:rsidRPr="002A243F">
        <w:rPr>
          <w:sz w:val="16"/>
        </w:rPr>
        <w:t xml:space="preserve"> universal or as </w:t>
      </w:r>
      <w:r w:rsidRPr="002A243F">
        <w:rPr>
          <w:highlight w:val="yellow"/>
          <w:u w:val="single"/>
        </w:rPr>
        <w:t>expressing "group tendency"</w:t>
      </w:r>
      <w:r w:rsidRPr="002A243F">
        <w:rPr>
          <w:sz w:val="16"/>
        </w:rPr>
        <w:t xml:space="preserve"> (Barnstable. 1975). </w:t>
      </w:r>
      <w:r w:rsidRPr="002A243F">
        <w:rPr>
          <w:u w:val="single"/>
        </w:rPr>
        <w:t xml:space="preserve">Van Der </w:t>
      </w:r>
      <w:r w:rsidRPr="002A243F">
        <w:rPr>
          <w:highlight w:val="yellow"/>
          <w:u w:val="single"/>
        </w:rPr>
        <w:t>Auwera</w:t>
      </w:r>
      <w:r w:rsidRPr="002A243F">
        <w:rPr>
          <w:sz w:val="16"/>
        </w:rPr>
        <w:t xml:space="preserve"> (1985. p. 188) </w:t>
      </w:r>
      <w:r w:rsidRPr="002A243F">
        <w:rPr>
          <w:highlight w:val="yellow"/>
          <w:u w:val="single"/>
        </w:rPr>
        <w:t>argues</w:t>
      </w:r>
      <w:r w:rsidRPr="002A243F">
        <w:rPr>
          <w:sz w:val="16"/>
        </w:rPr>
        <w:t xml:space="preserve"> that when choosing "between the generic or the non-generic or particular" reading of the statement “A whale lives in the sea," that </w:t>
      </w:r>
      <w:r w:rsidRPr="002A243F">
        <w:rPr>
          <w:b/>
          <w:highlight w:val="yellow"/>
          <w:u w:val="single"/>
          <w:bdr w:val="single" w:sz="18" w:space="0" w:color="auto"/>
        </w:rPr>
        <w:t>in "most contexts," the "preferred interpretation" is generic.</w:t>
      </w:r>
      <w:r w:rsidRPr="002A243F">
        <w:rPr>
          <w:sz w:val="16"/>
        </w:rPr>
        <w:t xml:space="preserve"> He further argues that </w:t>
      </w:r>
      <w:r w:rsidRPr="002A243F">
        <w:rPr>
          <w:highlight w:val="yellow"/>
          <w:u w:val="single"/>
        </w:rPr>
        <w:t>while interpretation should be guided by context</w:t>
      </w:r>
      <w:r w:rsidRPr="002A243F">
        <w:rPr>
          <w:u w:val="single"/>
        </w:rPr>
        <w:t xml:space="preserve"> that </w:t>
      </w:r>
      <w:r w:rsidRPr="002A243F">
        <w:rPr>
          <w:b/>
          <w:highlight w:val="yellow"/>
          <w:u w:val="single"/>
          <w:bdr w:val="single" w:sz="18" w:space="0" w:color="auto"/>
        </w:rPr>
        <w:t>there "are some cases</w:t>
      </w:r>
      <w:r w:rsidRPr="002A243F">
        <w:rPr>
          <w:sz w:val="16"/>
          <w:bdr w:val="single" w:sz="18" w:space="0" w:color="auto"/>
        </w:rPr>
        <w:t xml:space="preserve">, however, </w:t>
      </w:r>
      <w:r w:rsidRPr="002A243F">
        <w:rPr>
          <w:b/>
          <w:highlight w:val="yellow"/>
          <w:u w:val="single"/>
          <w:bdr w:val="single" w:sz="18" w:space="0" w:color="auto"/>
        </w:rPr>
        <w:t>where the choice is independent of context</w:t>
      </w:r>
      <w:r w:rsidRPr="002A243F">
        <w:rPr>
          <w:highlight w:val="yellow"/>
          <w:u w:val="single"/>
        </w:rPr>
        <w:t xml:space="preserve">." He gives the statement “Kangaroos have no tails” as a statement which “is </w:t>
      </w:r>
      <w:r w:rsidRPr="002A243F">
        <w:rPr>
          <w:b/>
          <w:highlight w:val="yellow"/>
          <w:u w:val="single"/>
          <w:bdr w:val="single" w:sz="18" w:space="0" w:color="auto"/>
        </w:rPr>
        <w:t>always generic</w:t>
      </w:r>
      <w:r w:rsidRPr="002A243F">
        <w:rPr>
          <w:highlight w:val="yellow"/>
          <w:u w:val="single"/>
        </w:rPr>
        <w:t>.”</w:t>
      </w:r>
      <w:r w:rsidRPr="002A243F">
        <w:rPr>
          <w:sz w:val="16"/>
        </w:rPr>
        <w:t xml:space="preserve"> Logical conventions would certainly reject a particularized topic rendering. </w:t>
      </w:r>
    </w:p>
    <w:p w14:paraId="3AEF19D3" w14:textId="77777777" w:rsidR="005D530E" w:rsidRPr="002A243F" w:rsidRDefault="005D530E" w:rsidP="005D530E">
      <w:pPr>
        <w:rPr>
          <w:sz w:val="16"/>
        </w:rPr>
      </w:pPr>
    </w:p>
    <w:p w14:paraId="01BE7751" w14:textId="77777777" w:rsidR="005D530E" w:rsidRPr="002A243F" w:rsidRDefault="005D530E" w:rsidP="005D530E">
      <w:pPr>
        <w:pStyle w:val="Heading4"/>
        <w:rPr>
          <w:rFonts w:cs="Calibri"/>
        </w:rPr>
      </w:pPr>
      <w:r w:rsidRPr="002A243F">
        <w:rPr>
          <w:rFonts w:cs="Calibri"/>
        </w:rPr>
        <w:t>Independently, “Resolved” implies a general principle</w:t>
      </w:r>
    </w:p>
    <w:p w14:paraId="02F412BB" w14:textId="77777777" w:rsidR="005D530E" w:rsidRPr="002A243F" w:rsidRDefault="005D530E" w:rsidP="005D530E">
      <w:pPr>
        <w:rPr>
          <w:rStyle w:val="Style13ptBold"/>
        </w:rPr>
      </w:pPr>
      <w:r w:rsidRPr="002A243F">
        <w:rPr>
          <w:rStyle w:val="Style13ptBold"/>
        </w:rPr>
        <w:t>Coburn-Palo and Luong 96</w:t>
      </w:r>
    </w:p>
    <w:p w14:paraId="687F3B2B" w14:textId="77777777" w:rsidR="005D530E" w:rsidRPr="002A243F" w:rsidRDefault="005D530E" w:rsidP="005D530E">
      <w:pPr>
        <w:rPr>
          <w:sz w:val="16"/>
        </w:rPr>
      </w:pPr>
      <w:r w:rsidRPr="002A243F">
        <w:rPr>
          <w:sz w:val="16"/>
        </w:rPr>
        <w:t>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“Resolutional focus in policy argumentation: theory and application.” NFL Rostrum, January, 1996. JDN. https://debate.uvm.edu/NFL/rostrumlib/cxluong0196.pdf</w:t>
      </w:r>
    </w:p>
    <w:p w14:paraId="740DCA0A" w14:textId="77777777" w:rsidR="005D530E" w:rsidRPr="002A243F" w:rsidRDefault="005D530E" w:rsidP="005D530E"/>
    <w:p w14:paraId="500CC9A2" w14:textId="77777777" w:rsidR="005D530E" w:rsidRPr="002A243F" w:rsidRDefault="005D530E" w:rsidP="005D530E">
      <w:pPr>
        <w:rPr>
          <w:sz w:val="16"/>
        </w:rPr>
      </w:pPr>
      <w:r w:rsidRPr="002A243F">
        <w:rPr>
          <w:sz w:val="16"/>
        </w:rPr>
        <w:t xml:space="preserve">Another reason why it would be logically correct to consider the resolution as the focus of the debate is the presence of alternative phrasing possibilities.9 </w:t>
      </w:r>
      <w:r w:rsidRPr="002A243F">
        <w:rPr>
          <w:highlight w:val="yellow"/>
          <w:u w:val="single"/>
        </w:rPr>
        <w:t>The term "resolved" has appeared in</w:t>
      </w:r>
      <w:r w:rsidRPr="002A243F">
        <w:rPr>
          <w:u w:val="single"/>
        </w:rPr>
        <w:t xml:space="preserve"> all contemporary policy </w:t>
      </w:r>
      <w:r w:rsidRPr="002A243F">
        <w:rPr>
          <w:highlight w:val="yellow"/>
          <w:u w:val="single"/>
        </w:rPr>
        <w:t xml:space="preserve">debate </w:t>
      </w:r>
      <w:r w:rsidRPr="002A243F">
        <w:rPr>
          <w:highlight w:val="yellow"/>
          <w:u w:val="single"/>
        </w:rPr>
        <w:lastRenderedPageBreak/>
        <w:t xml:space="preserve">resolutions and a </w:t>
      </w:r>
      <w:r w:rsidRPr="002A243F">
        <w:rPr>
          <w:b/>
          <w:highlight w:val="yellow"/>
          <w:u w:val="single"/>
          <w:bdr w:val="single" w:sz="18" w:space="0" w:color="auto"/>
        </w:rPr>
        <w:t>review of the literature</w:t>
      </w:r>
      <w:r w:rsidRPr="002A243F">
        <w:rPr>
          <w:highlight w:val="yellow"/>
          <w:u w:val="single"/>
        </w:rPr>
        <w:t xml:space="preserve"> indicates that the term implies</w:t>
      </w:r>
      <w:r w:rsidRPr="002A243F">
        <w:rPr>
          <w:u w:val="single"/>
        </w:rPr>
        <w:t xml:space="preserve"> a </w:t>
      </w:r>
      <w:r w:rsidRPr="002A243F">
        <w:rPr>
          <w:highlight w:val="yellow"/>
          <w:u w:val="single"/>
        </w:rPr>
        <w:t>firmness or determination</w:t>
      </w:r>
      <w:r w:rsidRPr="002A243F">
        <w:rPr>
          <w:u w:val="single"/>
        </w:rPr>
        <w:t xml:space="preserve"> in reference to the claim which is being upheld.</w:t>
      </w:r>
      <w:r w:rsidRPr="002A243F">
        <w:rPr>
          <w:sz w:val="16"/>
        </w:rPr>
        <w:t xml:space="preserve">10 </w:t>
      </w:r>
      <w:r w:rsidRPr="002A243F">
        <w:rPr>
          <w:highlight w:val="yellow"/>
          <w:u w:val="single"/>
        </w:rPr>
        <w:t>This</w:t>
      </w:r>
      <w:r w:rsidRPr="002A243F">
        <w:rPr>
          <w:u w:val="single"/>
        </w:rPr>
        <w:t xml:space="preserve"> interpretation </w:t>
      </w:r>
      <w:r w:rsidRPr="002A243F">
        <w:rPr>
          <w:b/>
          <w:highlight w:val="yellow"/>
          <w:u w:val="single"/>
          <w:bdr w:val="single" w:sz="18" w:space="0" w:color="auto"/>
        </w:rPr>
        <w:t>would</w:t>
      </w:r>
      <w:r w:rsidRPr="002A243F">
        <w:rPr>
          <w:sz w:val="16"/>
          <w:bdr w:val="single" w:sz="18" w:space="0" w:color="auto"/>
        </w:rPr>
        <w:t xml:space="preserve"> seem to </w:t>
      </w:r>
      <w:r w:rsidRPr="002A243F">
        <w:rPr>
          <w:b/>
          <w:highlight w:val="yellow"/>
          <w:u w:val="single"/>
          <w:bdr w:val="single" w:sz="18" w:space="0" w:color="auto"/>
        </w:rPr>
        <w:t>render atypical examples irrelevant</w:t>
      </w:r>
      <w:r w:rsidRPr="002A243F">
        <w:rPr>
          <w:highlight w:val="yellow"/>
          <w:u w:val="single"/>
        </w:rPr>
        <w:t xml:space="preserve"> because no firmness or determination could be demonstrated</w:t>
      </w:r>
      <w:r w:rsidRPr="002A243F">
        <w:rPr>
          <w:sz w:val="16"/>
        </w:rPr>
        <w:t xml:space="preserve"> in reference to the statement to which "resolved" applies. </w:t>
      </w:r>
      <w:r w:rsidRPr="002A243F">
        <w:rPr>
          <w:highlight w:val="yellow"/>
          <w:u w:val="single"/>
        </w:rPr>
        <w:t xml:space="preserve">At an absolute minimum, there is </w:t>
      </w:r>
      <w:r w:rsidRPr="002A243F">
        <w:rPr>
          <w:b/>
          <w:highlight w:val="yellow"/>
          <w:u w:val="single"/>
          <w:bdr w:val="single" w:sz="18" w:space="0" w:color="auto"/>
        </w:rPr>
        <w:t>no linguistic reason</w:t>
      </w:r>
      <w:r w:rsidRPr="002A243F">
        <w:rPr>
          <w:highlight w:val="yellow"/>
          <w:u w:val="single"/>
        </w:rPr>
        <w:t xml:space="preserve"> to believe that</w:t>
      </w:r>
      <w:r w:rsidRPr="002A243F">
        <w:rPr>
          <w:u w:val="single"/>
        </w:rPr>
        <w:t xml:space="preserve"> the resolution is meant as a boundary from which </w:t>
      </w:r>
      <w:r w:rsidRPr="002A243F">
        <w:rPr>
          <w:highlight w:val="yellow"/>
          <w:u w:val="single"/>
        </w:rPr>
        <w:t>the aff</w:t>
      </w:r>
      <w:r w:rsidRPr="002A243F">
        <w:rPr>
          <w:sz w:val="16"/>
        </w:rPr>
        <w:t xml:space="preserve">irmative </w:t>
      </w:r>
      <w:r w:rsidRPr="002A243F">
        <w:rPr>
          <w:highlight w:val="yellow"/>
          <w:u w:val="single"/>
        </w:rPr>
        <w:t>is free to pick any example.</w:t>
      </w:r>
      <w:r w:rsidRPr="002A243F">
        <w:rPr>
          <w:sz w:val="16"/>
        </w:rPr>
        <w:t xml:space="preserve"> Indeed, the authority of the topic selection committee to phrase the topic any way it wishes would seem to indicate that they at least have the option to permit the possibility of resolutionally-focused debate. The committee could have phrased the resolution as: Resolved: That a plan of the affirmative's choosing should be adopted by the United States government which would substantially change its foreign policy toward the People's Republic of China.</w:t>
      </w:r>
    </w:p>
    <w:p w14:paraId="15A02A30" w14:textId="77777777" w:rsidR="005D530E" w:rsidRPr="002A243F" w:rsidRDefault="005D530E" w:rsidP="005D530E"/>
    <w:p w14:paraId="3C7F4137" w14:textId="77777777" w:rsidR="005D530E" w:rsidRPr="002A243F" w:rsidRDefault="005D530E" w:rsidP="005D530E">
      <w:pPr>
        <w:pStyle w:val="Heading4"/>
        <w:rPr>
          <w:rFonts w:cs="Calibri"/>
        </w:rPr>
      </w:pPr>
      <w:r w:rsidRPr="002A243F">
        <w:rPr>
          <w:rFonts w:cs="Calibri"/>
        </w:rPr>
        <w:t xml:space="preserve">Vote neg for precision. The neg interp is the one with the best explanatory power for why the topic has precisely the wording that it does. “Workers” was used without a modifier because the Bile evidence indicates that’s the </w:t>
      </w:r>
      <w:r w:rsidRPr="002A243F">
        <w:rPr>
          <w:rFonts w:cs="Calibri"/>
          <w:u w:val="single"/>
        </w:rPr>
        <w:t>most common</w:t>
      </w:r>
      <w:r w:rsidRPr="002A243F">
        <w:rPr>
          <w:rFonts w:cs="Calibri"/>
        </w:rPr>
        <w:t xml:space="preserve"> way to express a generic generalization. By contrast, the aff interp can’t explain why if the topic is about plans it isn’t worded as “the right of some workers to strike” or “that there are workers with the right to strike” which would mean the same as the aff’s interp but less ambiguously. </w:t>
      </w:r>
    </w:p>
    <w:p w14:paraId="78F5A348" w14:textId="77777777" w:rsidR="005D530E" w:rsidRPr="002A243F" w:rsidRDefault="005D530E" w:rsidP="005D530E">
      <w:pPr>
        <w:pStyle w:val="Heading4"/>
        <w:rPr>
          <w:rFonts w:cs="Calibri"/>
        </w:rPr>
      </w:pPr>
      <w:r w:rsidRPr="002A243F">
        <w:rPr>
          <w:rFonts w:cs="Calibri"/>
        </w:rPr>
        <w:t xml:space="preserve">Precision is a ceiling, not a floor. You should vote for the </w:t>
      </w:r>
      <w:r w:rsidRPr="002A243F">
        <w:rPr>
          <w:rFonts w:cs="Calibri"/>
          <w:u w:val="single"/>
        </w:rPr>
        <w:t>most</w:t>
      </w:r>
      <w:r w:rsidRPr="002A243F">
        <w:rPr>
          <w:rFonts w:cs="Calibri"/>
        </w:rP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interp they think is most pragmatic.</w:t>
      </w:r>
    </w:p>
    <w:p w14:paraId="02860C3A" w14:textId="77777777" w:rsidR="005D530E" w:rsidRPr="002A243F" w:rsidRDefault="005D530E" w:rsidP="005D530E"/>
    <w:p w14:paraId="6B8FC557" w14:textId="77777777" w:rsidR="005D530E" w:rsidRPr="002A243F" w:rsidRDefault="005D530E" w:rsidP="005D530E">
      <w:pPr>
        <w:pStyle w:val="Heading4"/>
        <w:rPr>
          <w:rFonts w:cs="Calibri"/>
        </w:rPr>
      </w:pPr>
      <w:r w:rsidRPr="002A243F">
        <w:rPr>
          <w:rFonts w:cs="Calibri"/>
        </w:rPr>
        <w:t xml:space="preserve">Second is </w:t>
      </w:r>
      <w:r w:rsidRPr="002A243F">
        <w:rPr>
          <w:rFonts w:cs="Calibri"/>
          <w:u w:val="single"/>
        </w:rPr>
        <w:t>Limits</w:t>
      </w:r>
      <w:r w:rsidRPr="002A243F">
        <w:rPr>
          <w:rFonts w:cs="Calibri"/>
        </w:rPr>
        <w:t xml:space="preserve">. The economy is massive and has dozens of sectors, compounded by the fact that there are hundreds of governments where those economic conditions change. The neg interp solves by reciprocally limiting both sides to core topic principles. That also </w:t>
      </w:r>
      <w:r w:rsidRPr="002A243F">
        <w:rPr>
          <w:rFonts w:cs="Calibri"/>
          <w:u w:val="single"/>
        </w:rPr>
        <w:t>solves PICs</w:t>
      </w:r>
      <w:r w:rsidRPr="002A243F">
        <w:rPr>
          <w:rFonts w:cs="Calibri"/>
        </w:rPr>
        <w:t xml:space="preserve">, because my interp doesn’t mandate that the aff defend workers </w:t>
      </w:r>
      <w:r w:rsidRPr="002A243F">
        <w:rPr>
          <w:rFonts w:cs="Calibri"/>
          <w:u w:val="single"/>
        </w:rPr>
        <w:t>categorically</w:t>
      </w:r>
      <w:r w:rsidRPr="002A243F">
        <w:rPr>
          <w:rFonts w:cs="Calibri"/>
        </w:rPr>
        <w:t xml:space="preserve">, just </w:t>
      </w:r>
      <w:r w:rsidRPr="002A243F">
        <w:rPr>
          <w:rFonts w:cs="Calibri"/>
          <w:u w:val="single"/>
        </w:rPr>
        <w:t>generically</w:t>
      </w:r>
      <w:r w:rsidRPr="002A243F">
        <w:rPr>
          <w:rFonts w:cs="Calibri"/>
        </w:rPr>
        <w:t>, so isolated exceptions wouldn’t negate. Any tiny PIC loses to “perm do the CP” in the neg interp because it still affirms on balance</w:t>
      </w:r>
    </w:p>
    <w:p w14:paraId="05928443" w14:textId="77777777" w:rsidR="005D530E" w:rsidRPr="002A243F" w:rsidRDefault="005D530E" w:rsidP="005D530E"/>
    <w:p w14:paraId="60E8A6E0" w14:textId="77777777" w:rsidR="005D530E" w:rsidRPr="002A243F" w:rsidRDefault="005D530E" w:rsidP="005D530E">
      <w:pPr>
        <w:pStyle w:val="Heading4"/>
        <w:rPr>
          <w:rFonts w:cs="Calibri"/>
        </w:rPr>
      </w:pPr>
      <w:r w:rsidRPr="002A243F">
        <w:rPr>
          <w:rFonts w:cs="Calibri"/>
        </w:rPr>
        <w:t>Third is Topic Education—the fundamental question of the topic is broader moral questions about the orientation of the economy as a whole, not isolated laws</w:t>
      </w:r>
    </w:p>
    <w:p w14:paraId="5856C37A" w14:textId="77777777" w:rsidR="005D530E" w:rsidRPr="002A243F" w:rsidRDefault="005D530E" w:rsidP="005D530E">
      <w:pPr>
        <w:rPr>
          <w:rStyle w:val="Style13ptBold"/>
        </w:rPr>
      </w:pPr>
      <w:r w:rsidRPr="002A243F">
        <w:rPr>
          <w:rStyle w:val="Style13ptBold"/>
        </w:rPr>
        <w:t>Gourevitch 16</w:t>
      </w:r>
    </w:p>
    <w:p w14:paraId="139612F0" w14:textId="77777777" w:rsidR="005D530E" w:rsidRPr="002A243F" w:rsidRDefault="005D530E" w:rsidP="005D530E">
      <w:pPr>
        <w:rPr>
          <w:sz w:val="16"/>
        </w:rPr>
      </w:pPr>
      <w:r w:rsidRPr="002A243F">
        <w:rPr>
          <w:sz w:val="16"/>
        </w:rPr>
        <w:t xml:space="preserve">Alex Gourevitch (Assistant Professor of Political Science at Brown University). “Quitting Work but Not the Job: Liberty and the Right to Strike.” American Political Science Association Vol. 14, No. 2. June 2016. JDN. </w:t>
      </w:r>
      <w:r w:rsidRPr="002A243F">
        <w:rPr>
          <w:sz w:val="16"/>
        </w:rPr>
        <w:lastRenderedPageBreak/>
        <w:t>https://www.cambridge.org/core/journals/perspectives-on-politics/article/abs/quitting-work-but-not-the-job-liberty-and-the-right-to-strike/27B690FEDDBCF002FB20FB50E852D6A3</w:t>
      </w:r>
    </w:p>
    <w:p w14:paraId="7F613F13" w14:textId="77777777" w:rsidR="005D530E" w:rsidRPr="002A243F" w:rsidRDefault="005D530E" w:rsidP="005D530E">
      <w:pPr>
        <w:rPr>
          <w:sz w:val="16"/>
        </w:rPr>
      </w:pPr>
    </w:p>
    <w:p w14:paraId="50BDBD74" w14:textId="77777777" w:rsidR="005D530E" w:rsidRPr="002A243F" w:rsidRDefault="005D530E" w:rsidP="005D530E">
      <w:pPr>
        <w:rPr>
          <w:sz w:val="16"/>
        </w:rPr>
      </w:pPr>
      <w:r w:rsidRPr="002A243F">
        <w:rPr>
          <w:sz w:val="16"/>
        </w:rPr>
        <w:t xml:space="preserve">Instead of saying anything more about those questions, </w:t>
      </w:r>
      <w:r w:rsidRPr="002A243F">
        <w:rPr>
          <w:highlight w:val="yellow"/>
          <w:u w:val="single"/>
        </w:rPr>
        <w:t>I wish to conclude</w:t>
      </w:r>
      <w:r w:rsidRPr="002A243F">
        <w:rPr>
          <w:u w:val="single"/>
        </w:rPr>
        <w:t xml:space="preserve"> here </w:t>
      </w:r>
      <w:r w:rsidRPr="002A243F">
        <w:rPr>
          <w:highlight w:val="yellow"/>
          <w:u w:val="single"/>
        </w:rPr>
        <w:t>with</w:t>
      </w:r>
      <w:r w:rsidRPr="002A243F">
        <w:rPr>
          <w:u w:val="single"/>
        </w:rPr>
        <w:t xml:space="preserve"> some reflections on </w:t>
      </w:r>
      <w:r w:rsidRPr="002A243F">
        <w:rPr>
          <w:b/>
          <w:highlight w:val="yellow"/>
          <w:u w:val="single"/>
          <w:bdr w:val="single" w:sz="18" w:space="0" w:color="auto"/>
        </w:rPr>
        <w:t>the interest of my argument for political science.</w:t>
      </w:r>
      <w:r w:rsidRPr="002A243F">
        <w:rPr>
          <w:sz w:val="16"/>
        </w:rPr>
        <w:t xml:space="preserve"> From a conceptual and normative point of view, I have suggested that </w:t>
      </w:r>
      <w:r w:rsidRPr="002A243F">
        <w:rPr>
          <w:highlight w:val="yellow"/>
          <w:u w:val="single"/>
        </w:rPr>
        <w:t>there are</w:t>
      </w:r>
      <w:r w:rsidRPr="002A243F">
        <w:rPr>
          <w:u w:val="single"/>
        </w:rPr>
        <w:t xml:space="preserve"> interesting </w:t>
      </w:r>
      <w:r w:rsidRPr="002A243F">
        <w:rPr>
          <w:highlight w:val="yellow"/>
          <w:u w:val="single"/>
        </w:rPr>
        <w:t>normative results if we shift our question</w:t>
      </w:r>
      <w:r w:rsidRPr="002A243F">
        <w:rPr>
          <w:u w:val="single"/>
        </w:rPr>
        <w:t xml:space="preserve"> from what is a fair distribution to who can do what to whom, </w:t>
      </w:r>
      <w:r w:rsidRPr="002A243F">
        <w:rPr>
          <w:highlight w:val="yellow"/>
          <w:u w:val="single"/>
        </w:rPr>
        <w:t>but this is also a way of reorienting empirical research</w:t>
      </w:r>
      <w:r w:rsidRPr="002A243F">
        <w:rPr>
          <w:u w:val="single"/>
        </w:rPr>
        <w:t>. For instance, there is a great deal of interest in the study of ‘varieties of capitalism,’ an interest given renewed importance by the new politics of inequality and by ongoing debates about the fate of the welfare state, corporate regulation, and international finance.</w:t>
      </w:r>
      <w:r w:rsidRPr="002A243F">
        <w:rPr>
          <w:sz w:val="16"/>
        </w:rPr>
        <w:t xml:space="preserve"> </w:t>
      </w:r>
      <w:r w:rsidRPr="002A243F">
        <w:rPr>
          <w:u w:val="single"/>
        </w:rPr>
        <w:t>78 The standard approach to thinking about variation has been some version of the distributive and institutional questions regarding what distributions are achieved</w:t>
      </w:r>
      <w:r w:rsidRPr="002A243F">
        <w:rPr>
          <w:sz w:val="16"/>
        </w:rPr>
        <w:t xml:space="preserve">; how do they vary; and how are they explained by/constitutive of different political coalitions. </w:t>
      </w:r>
      <w:r w:rsidRPr="002A243F">
        <w:rPr>
          <w:u w:val="single"/>
        </w:rPr>
        <w:t xml:space="preserve">However, </w:t>
      </w:r>
      <w:r w:rsidRPr="002A243F">
        <w:rPr>
          <w:b/>
          <w:highlight w:val="yellow"/>
          <w:u w:val="single"/>
          <w:bdr w:val="single" w:sz="18" w:space="0" w:color="auto"/>
        </w:rPr>
        <w:t>the right to strike</w:t>
      </w:r>
      <w:r w:rsidRPr="002A243F">
        <w:rPr>
          <w:highlight w:val="yellow"/>
          <w:u w:val="single"/>
        </w:rPr>
        <w:t xml:space="preserve"> and the wider question of labor rights points us to</w:t>
      </w:r>
      <w:r w:rsidRPr="002A243F">
        <w:rPr>
          <w:u w:val="single"/>
        </w:rPr>
        <w:t xml:space="preserve"> variations in </w:t>
      </w:r>
      <w:r w:rsidRPr="002A243F">
        <w:rPr>
          <w:highlight w:val="yellow"/>
          <w:u w:val="single"/>
        </w:rPr>
        <w:t>powers of action.</w:t>
      </w:r>
      <w:r w:rsidRPr="002A243F">
        <w:rPr>
          <w:u w:val="single"/>
        </w:rPr>
        <w:t xml:space="preserve"> Instead of comparing, first and foremost, different welfare-state regimes, </w:t>
      </w:r>
      <w:r w:rsidRPr="002A243F">
        <w:rPr>
          <w:highlight w:val="yellow"/>
          <w:u w:val="single"/>
        </w:rPr>
        <w:t>we might ask about</w:t>
      </w:r>
      <w:r w:rsidRPr="002A243F">
        <w:rPr>
          <w:u w:val="single"/>
        </w:rPr>
        <w:t xml:space="preserve"> different </w:t>
      </w:r>
      <w:r w:rsidRPr="002A243F">
        <w:rPr>
          <w:highlight w:val="yellow"/>
          <w:u w:val="single"/>
        </w:rPr>
        <w:t xml:space="preserve">labor regimes, </w:t>
      </w:r>
      <w:r w:rsidRPr="002A243F">
        <w:rPr>
          <w:b/>
          <w:highlight w:val="yellow"/>
          <w:u w:val="single"/>
          <w:bdr w:val="single" w:sz="18" w:space="0" w:color="auto"/>
        </w:rPr>
        <w:t>not just in the sense of</w:t>
      </w:r>
      <w:r w:rsidRPr="002A243F">
        <w:rPr>
          <w:sz w:val="16"/>
          <w:bdr w:val="single" w:sz="18" w:space="0" w:color="auto"/>
        </w:rPr>
        <w:t xml:space="preserve"> the comparison among varieties of </w:t>
      </w:r>
      <w:r w:rsidRPr="002A243F">
        <w:rPr>
          <w:b/>
          <w:highlight w:val="yellow"/>
          <w:u w:val="single"/>
          <w:bdr w:val="single" w:sz="18" w:space="0" w:color="auto"/>
        </w:rPr>
        <w:t>labor law</w:t>
      </w:r>
      <w:r w:rsidRPr="002A243F">
        <w:rPr>
          <w:sz w:val="16"/>
        </w:rPr>
        <w:t xml:space="preserve"> </w:t>
      </w:r>
      <w:r w:rsidRPr="002A243F">
        <w:rPr>
          <w:u w:val="single"/>
        </w:rPr>
        <w:t>but also the different powers and practices of organized workers.</w:t>
      </w:r>
      <w:r w:rsidRPr="002A243F">
        <w:rPr>
          <w:sz w:val="16"/>
        </w:rPr>
        <w:t xml:space="preserve"> Moreover, </w:t>
      </w:r>
      <w:r w:rsidRPr="002A243F">
        <w:rPr>
          <w:highlight w:val="yellow"/>
          <w:u w:val="single"/>
        </w:rPr>
        <w:t xml:space="preserve">since </w:t>
      </w:r>
      <w:r w:rsidRPr="002A243F">
        <w:rPr>
          <w:b/>
          <w:highlight w:val="yellow"/>
          <w:u w:val="single"/>
          <w:bdr w:val="single" w:sz="18" w:space="0" w:color="auto"/>
        </w:rPr>
        <w:t>the right to strike is a moral right</w:t>
      </w:r>
      <w:r w:rsidRPr="002A243F">
        <w:rPr>
          <w:u w:val="single"/>
        </w:rPr>
        <w:t xml:space="preserve">, one </w:t>
      </w:r>
      <w:r w:rsidRPr="002A243F">
        <w:rPr>
          <w:highlight w:val="yellow"/>
          <w:u w:val="single"/>
        </w:rPr>
        <w:t>that would have to be given substance by a</w:t>
      </w:r>
      <w:r w:rsidRPr="002A243F">
        <w:rPr>
          <w:u w:val="single"/>
        </w:rPr>
        <w:t xml:space="preserve"> kind of </w:t>
      </w:r>
      <w:r w:rsidRPr="002A243F">
        <w:rPr>
          <w:highlight w:val="yellow"/>
          <w:u w:val="single"/>
        </w:rPr>
        <w:t>culture or movement</w:t>
      </w:r>
      <w:r w:rsidRPr="002A243F">
        <w:rPr>
          <w:u w:val="single"/>
        </w:rPr>
        <w:t xml:space="preserve"> sub-culture, it is interesting to think about how the institutional and cultural conditions under which thinking about labor rights emerge in that self-assertive and conflictual way</w:t>
      </w:r>
      <w:r w:rsidRPr="002A243F">
        <w:rPr>
          <w:sz w:val="16"/>
        </w:rPr>
        <w:t>, as compared with the more cooperative and institutional practices of something like German works councils.</w:t>
      </w:r>
    </w:p>
    <w:p w14:paraId="1A19E73B" w14:textId="77777777" w:rsidR="005D530E" w:rsidRPr="002A243F" w:rsidRDefault="005D530E" w:rsidP="005D530E"/>
    <w:p w14:paraId="6EC87EF9" w14:textId="77777777" w:rsidR="005D530E" w:rsidRPr="002A243F" w:rsidRDefault="005D530E" w:rsidP="005D530E">
      <w:pPr>
        <w:pStyle w:val="Heading4"/>
        <w:rPr>
          <w:rFonts w:cs="Calibri"/>
        </w:rPr>
      </w:pPr>
      <w:r w:rsidRPr="002A243F">
        <w:rPr>
          <w:rFonts w:cs="Calibri"/>
        </w:rPr>
        <w:t>Fourth is the TVA double-bind—Either the aff thinks their sector is a representative example in which case it could still be used under the neg interp to prove a general rule, OR the fact it isn’t proves the impact of T because the aff will choose atypical examples to sidestep neg generics</w:t>
      </w:r>
    </w:p>
    <w:p w14:paraId="1CBC0DAC" w14:textId="77777777" w:rsidR="005D530E" w:rsidRPr="002A243F" w:rsidRDefault="005D530E" w:rsidP="005D530E"/>
    <w:p w14:paraId="756532A8" w14:textId="550A54D7" w:rsidR="005D530E" w:rsidRPr="002A243F" w:rsidRDefault="005D530E" w:rsidP="005D530E">
      <w:pPr>
        <w:pStyle w:val="Heading4"/>
        <w:rPr>
          <w:rFonts w:cs="Calibri"/>
        </w:rPr>
      </w:pPr>
      <w:r w:rsidRPr="002A243F">
        <w:rPr>
          <w:rFonts w:cs="Calibri"/>
        </w:rPr>
        <w:t>Drop the debater on T—the damage was done and I can’t regive the 1NC after a 1AR shift. Use competing interps; it avoids arbitrariness and judge intervention.</w:t>
      </w:r>
    </w:p>
    <w:p w14:paraId="0865A529" w14:textId="3DADB898" w:rsidR="005D530E" w:rsidRDefault="005D530E" w:rsidP="005D530E"/>
    <w:p w14:paraId="393AAE11" w14:textId="5987413C" w:rsidR="00A33F3E" w:rsidRDefault="00A33F3E" w:rsidP="00A33F3E">
      <w:pPr>
        <w:pStyle w:val="Heading4"/>
      </w:pPr>
      <w:r>
        <w:t xml:space="preserve">The neg interp is that I get PICs out of conditions </w:t>
      </w:r>
      <w:r>
        <w:rPr>
          <w:u w:val="single"/>
        </w:rPr>
        <w:t>explicitly outlined in the 1AC</w:t>
      </w:r>
      <w:r>
        <w:t xml:space="preserve">. That sets a finite limit on allowable PICS, and it’s predictable because it’s </w:t>
      </w:r>
      <w:r>
        <w:rPr>
          <w:u w:val="single"/>
        </w:rPr>
        <w:t>set by the aff themselves.</w:t>
      </w:r>
      <w:r>
        <w:t xml:space="preserve"> It’s better for ground and clash because it allows us to go in detail on the specific previsions the 1AC discusses.</w:t>
      </w:r>
    </w:p>
    <w:p w14:paraId="34DE92F2" w14:textId="59B81E89" w:rsidR="00A33F3E" w:rsidRDefault="00A33F3E" w:rsidP="00A33F3E"/>
    <w:p w14:paraId="077858B2" w14:textId="0034D720" w:rsidR="00A33F3E" w:rsidRPr="008A5C7A" w:rsidRDefault="00A33F3E" w:rsidP="00A33F3E">
      <w:pPr>
        <w:rPr>
          <w:b/>
          <w:bCs/>
          <w:sz w:val="26"/>
          <w:szCs w:val="26"/>
        </w:rPr>
      </w:pPr>
      <w:r w:rsidRPr="008A5C7A">
        <w:rPr>
          <w:b/>
          <w:bCs/>
          <w:sz w:val="26"/>
          <w:szCs w:val="26"/>
        </w:rPr>
        <w:t>They also concede to BP in cx</w:t>
      </w:r>
    </w:p>
    <w:p w14:paraId="4C8F86FE" w14:textId="77777777" w:rsidR="00A33F3E" w:rsidRPr="002A243F" w:rsidRDefault="00A33F3E" w:rsidP="005D530E"/>
    <w:p w14:paraId="48659C9E" w14:textId="2C8DE956" w:rsidR="005D530E" w:rsidRPr="002A243F" w:rsidRDefault="005D530E" w:rsidP="005D530E">
      <w:pPr>
        <w:pStyle w:val="Heading3"/>
        <w:rPr>
          <w:rFonts w:cs="Calibri"/>
        </w:rPr>
      </w:pPr>
      <w:r w:rsidRPr="002A243F">
        <w:rPr>
          <w:rFonts w:cs="Calibri"/>
        </w:rPr>
        <w:lastRenderedPageBreak/>
        <w:t>CP</w:t>
      </w:r>
    </w:p>
    <w:p w14:paraId="5B3D59D6" w14:textId="21BF7EE6" w:rsidR="005D530E" w:rsidRPr="002A243F" w:rsidRDefault="005D530E" w:rsidP="005D530E">
      <w:pPr>
        <w:pStyle w:val="Heading4"/>
        <w:rPr>
          <w:rFonts w:cs="Calibri"/>
        </w:rPr>
      </w:pPr>
      <w:r w:rsidRPr="002A243F">
        <w:rPr>
          <w:rFonts w:cs="Calibri"/>
        </w:rPr>
        <w:t xml:space="preserve">CP Text- A just government ought to recognize an unconditional right of </w:t>
      </w:r>
      <w:r w:rsidRPr="002A243F">
        <w:rPr>
          <w:rFonts w:cs="Calibri"/>
          <w:u w:val="single"/>
        </w:rPr>
        <w:t>healthcare workers</w:t>
      </w:r>
      <w:r w:rsidRPr="002A243F">
        <w:rPr>
          <w:rFonts w:cs="Calibri"/>
        </w:rPr>
        <w:t xml:space="preserve"> to strike except in the event of a national emergency </w:t>
      </w:r>
    </w:p>
    <w:p w14:paraId="0FCA53EE" w14:textId="77777777" w:rsidR="002A243F" w:rsidRDefault="002A243F" w:rsidP="002A243F"/>
    <w:p w14:paraId="2F96997B" w14:textId="34144A19" w:rsidR="002A243F" w:rsidRPr="009D7261" w:rsidRDefault="002A243F" w:rsidP="009D7261">
      <w:pPr>
        <w:rPr>
          <w:b/>
          <w:bCs/>
          <w:sz w:val="26"/>
          <w:szCs w:val="26"/>
        </w:rPr>
      </w:pPr>
    </w:p>
    <w:sectPr w:rsidR="002A243F" w:rsidRPr="009D72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C84128"/>
    <w:multiLevelType w:val="hybridMultilevel"/>
    <w:tmpl w:val="12B89D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42C28"/>
    <w:multiLevelType w:val="hybridMultilevel"/>
    <w:tmpl w:val="6E88EF7C"/>
    <w:lvl w:ilvl="0" w:tplc="F2FA0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7643A0"/>
    <w:multiLevelType w:val="hybridMultilevel"/>
    <w:tmpl w:val="6B0E981A"/>
    <w:lvl w:ilvl="0" w:tplc="CF662C9A">
      <w:start w:val="1"/>
      <w:numFmt w:val="decimal"/>
      <w:lvlText w:val="%1."/>
      <w:lvlJc w:val="left"/>
      <w:pPr>
        <w:ind w:left="720" w:hanging="360"/>
      </w:pPr>
      <w:rPr>
        <w:rFonts w:hint="default"/>
        <w:color w:val="1D1C1D"/>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74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934"/>
    <w:rsid w:val="001A25FD"/>
    <w:rsid w:val="001A5371"/>
    <w:rsid w:val="001A72C7"/>
    <w:rsid w:val="001B5B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43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76"/>
    <w:rsid w:val="00407AFF"/>
    <w:rsid w:val="0041155D"/>
    <w:rsid w:val="00416CB1"/>
    <w:rsid w:val="004170BF"/>
    <w:rsid w:val="004270E3"/>
    <w:rsid w:val="00427A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BE"/>
    <w:rsid w:val="005D530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F5"/>
    <w:rsid w:val="006F5693"/>
    <w:rsid w:val="006F5D4C"/>
    <w:rsid w:val="00717B01"/>
    <w:rsid w:val="007227D9"/>
    <w:rsid w:val="0072491F"/>
    <w:rsid w:val="00725598"/>
    <w:rsid w:val="007374A1"/>
    <w:rsid w:val="007403CF"/>
    <w:rsid w:val="00752712"/>
    <w:rsid w:val="00753A84"/>
    <w:rsid w:val="007611F5"/>
    <w:rsid w:val="007619E4"/>
    <w:rsid w:val="00761E75"/>
    <w:rsid w:val="00763D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26B"/>
    <w:rsid w:val="00805417"/>
    <w:rsid w:val="008266F9"/>
    <w:rsid w:val="008267E2"/>
    <w:rsid w:val="00826A9B"/>
    <w:rsid w:val="00834842"/>
    <w:rsid w:val="00840E7B"/>
    <w:rsid w:val="008536AF"/>
    <w:rsid w:val="00853D40"/>
    <w:rsid w:val="008559D0"/>
    <w:rsid w:val="008564FC"/>
    <w:rsid w:val="00864E76"/>
    <w:rsid w:val="00872581"/>
    <w:rsid w:val="0087459D"/>
    <w:rsid w:val="0087680F"/>
    <w:rsid w:val="00876D81"/>
    <w:rsid w:val="00881D86"/>
    <w:rsid w:val="00883306"/>
    <w:rsid w:val="008904F9"/>
    <w:rsid w:val="00890E4C"/>
    <w:rsid w:val="00890E74"/>
    <w:rsid w:val="00892798"/>
    <w:rsid w:val="0089418F"/>
    <w:rsid w:val="0089470C"/>
    <w:rsid w:val="00897C29"/>
    <w:rsid w:val="008A0092"/>
    <w:rsid w:val="008A1A9C"/>
    <w:rsid w:val="008A4633"/>
    <w:rsid w:val="008A5C7A"/>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261"/>
    <w:rsid w:val="009E160D"/>
    <w:rsid w:val="009F1CBB"/>
    <w:rsid w:val="009F3305"/>
    <w:rsid w:val="009F6FB2"/>
    <w:rsid w:val="00A071C0"/>
    <w:rsid w:val="00A22670"/>
    <w:rsid w:val="00A24B35"/>
    <w:rsid w:val="00A271BA"/>
    <w:rsid w:val="00A27F86"/>
    <w:rsid w:val="00A33F3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27"/>
    <w:rsid w:val="00B0505F"/>
    <w:rsid w:val="00B05C2D"/>
    <w:rsid w:val="00B12933"/>
    <w:rsid w:val="00B12B88"/>
    <w:rsid w:val="00B137E0"/>
    <w:rsid w:val="00B13BC8"/>
    <w:rsid w:val="00B13EB7"/>
    <w:rsid w:val="00B24662"/>
    <w:rsid w:val="00B3569C"/>
    <w:rsid w:val="00B43676"/>
    <w:rsid w:val="00B5602D"/>
    <w:rsid w:val="00B60125"/>
    <w:rsid w:val="00B6656B"/>
    <w:rsid w:val="00B6698A"/>
    <w:rsid w:val="00B71625"/>
    <w:rsid w:val="00B75C54"/>
    <w:rsid w:val="00B8710E"/>
    <w:rsid w:val="00B92A93"/>
    <w:rsid w:val="00B968E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1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A7"/>
    <w:rsid w:val="00DB2337"/>
    <w:rsid w:val="00DB4EED"/>
    <w:rsid w:val="00DB5F87"/>
    <w:rsid w:val="00DB699B"/>
    <w:rsid w:val="00DC0376"/>
    <w:rsid w:val="00DC099B"/>
    <w:rsid w:val="00DC2BE5"/>
    <w:rsid w:val="00DD4CD4"/>
    <w:rsid w:val="00DD65A2"/>
    <w:rsid w:val="00DD6770"/>
    <w:rsid w:val="00DE0749"/>
    <w:rsid w:val="00DE13B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4B2"/>
    <w:rsid w:val="00F50C55"/>
    <w:rsid w:val="00F57FFB"/>
    <w:rsid w:val="00F601E6"/>
    <w:rsid w:val="00F73954"/>
    <w:rsid w:val="00F865B5"/>
    <w:rsid w:val="00F94060"/>
    <w:rsid w:val="00FA56F6"/>
    <w:rsid w:val="00FB2F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5FAC7"/>
  <w14:defaultImageDpi w14:val="300"/>
  <w15:docId w15:val="{B8C34BC3-C3EA-EF48-A3C2-CC9BCDFC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72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72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72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72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D72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72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261"/>
  </w:style>
  <w:style w:type="character" w:customStyle="1" w:styleId="Heading1Char">
    <w:name w:val="Heading 1 Char"/>
    <w:aliases w:val="Pocket Char"/>
    <w:basedOn w:val="DefaultParagraphFont"/>
    <w:link w:val="Heading1"/>
    <w:uiPriority w:val="9"/>
    <w:rsid w:val="009D72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72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726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D726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D7261"/>
    <w:rPr>
      <w:b/>
      <w:sz w:val="16"/>
      <w:u w:val="none"/>
    </w:rPr>
  </w:style>
  <w:style w:type="character" w:customStyle="1" w:styleId="StyleUnderline">
    <w:name w:val="Style Underline"/>
    <w:aliases w:val="Underline"/>
    <w:basedOn w:val="DefaultParagraphFont"/>
    <w:uiPriority w:val="1"/>
    <w:qFormat/>
    <w:rsid w:val="009D7261"/>
    <w:rPr>
      <w:b/>
      <w:sz w:val="22"/>
      <w:u w:val="single"/>
    </w:rPr>
  </w:style>
  <w:style w:type="character" w:styleId="Emphasis">
    <w:name w:val="Emphasis"/>
    <w:basedOn w:val="DefaultParagraphFont"/>
    <w:uiPriority w:val="20"/>
    <w:qFormat/>
    <w:rsid w:val="009D72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D7261"/>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9D7261"/>
    <w:rPr>
      <w:color w:val="auto"/>
      <w:u w:val="none"/>
    </w:rPr>
  </w:style>
  <w:style w:type="paragraph" w:styleId="DocumentMap">
    <w:name w:val="Document Map"/>
    <w:basedOn w:val="Normal"/>
    <w:link w:val="DocumentMapChar"/>
    <w:uiPriority w:val="99"/>
    <w:semiHidden/>
    <w:unhideWhenUsed/>
    <w:rsid w:val="009D72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7261"/>
    <w:rPr>
      <w:rFonts w:ascii="Lucida Grande" w:hAnsi="Lucida Grande" w:cs="Lucida Grande"/>
    </w:rPr>
  </w:style>
  <w:style w:type="paragraph" w:styleId="ListParagraph">
    <w:name w:val="List Paragraph"/>
    <w:basedOn w:val="Normal"/>
    <w:uiPriority w:val="34"/>
    <w:qFormat/>
    <w:rsid w:val="005D530E"/>
    <w:pPr>
      <w:ind w:left="720"/>
      <w:contextualSpacing/>
    </w:pPr>
  </w:style>
  <w:style w:type="paragraph" w:styleId="NormalWeb">
    <w:name w:val="Normal (Web)"/>
    <w:basedOn w:val="Normal"/>
    <w:uiPriority w:val="99"/>
    <w:unhideWhenUsed/>
    <w:rsid w:val="008559D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32511-06E8-7441-8113-5DBAB84A8A2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6</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Kacee Wells</cp:lastModifiedBy>
  <cp:revision>10</cp:revision>
  <dcterms:created xsi:type="dcterms:W3CDTF">2021-11-20T15:29:00Z</dcterms:created>
  <dcterms:modified xsi:type="dcterms:W3CDTF">2021-11-20T18:11:00Z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