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ACEA5" w14:textId="0100A858" w:rsidR="00A95652" w:rsidRDefault="00D654C1" w:rsidP="00D654C1">
      <w:pPr>
        <w:pStyle w:val="Heading2"/>
      </w:pPr>
      <w:r>
        <w:t>Shell</w:t>
      </w:r>
    </w:p>
    <w:p w14:paraId="672CE46E" w14:textId="77777777" w:rsidR="000C4C20" w:rsidRPr="000C4C20" w:rsidRDefault="000C4C20" w:rsidP="000C4C20">
      <w:pPr>
        <w:pStyle w:val="Heading4"/>
        <w:rPr>
          <w:rFonts w:eastAsia="MS Gothic"/>
        </w:rPr>
      </w:pPr>
      <w:r w:rsidRPr="000C4C20">
        <w:rPr>
          <w:rFonts w:eastAsia="MS Gothic"/>
        </w:rPr>
        <w:t>[A] Interpretation: Debaters may not read frameworks with both normative and theoretical justifications. To clarify, theoretical justifications link back to fairness and education.</w:t>
      </w:r>
    </w:p>
    <w:p w14:paraId="40443650" w14:textId="77777777" w:rsidR="000C4C20" w:rsidRPr="000C4C20" w:rsidRDefault="000C4C20" w:rsidP="000C4C20">
      <w:pPr>
        <w:pStyle w:val="Heading4"/>
        <w:rPr>
          <w:rFonts w:eastAsia="MS Gothic"/>
        </w:rPr>
      </w:pPr>
      <w:r w:rsidRPr="000C4C20">
        <w:rPr>
          <w:rFonts w:eastAsia="MS Gothic"/>
        </w:rPr>
        <w:t>[B] Violation: They read TJF’s and normative justifications.</w:t>
      </w:r>
    </w:p>
    <w:p w14:paraId="13E4798D" w14:textId="77777777" w:rsidR="000C4C20" w:rsidRPr="000C4C20" w:rsidRDefault="000C4C20" w:rsidP="000C4C20">
      <w:pPr>
        <w:pStyle w:val="Heading4"/>
        <w:rPr>
          <w:rFonts w:eastAsia="MS Gothic"/>
        </w:rPr>
      </w:pPr>
      <w:r w:rsidRPr="000C4C20">
        <w:rPr>
          <w:rFonts w:eastAsia="MS Gothic"/>
        </w:rPr>
        <w:t>[C] Standards:</w:t>
      </w:r>
    </w:p>
    <w:p w14:paraId="3F17CB92" w14:textId="77777777" w:rsidR="000C4C20" w:rsidRPr="000C4C20" w:rsidRDefault="000C4C20" w:rsidP="000C4C20">
      <w:pPr>
        <w:pStyle w:val="Heading4"/>
        <w:rPr>
          <w:rFonts w:eastAsia="MS Gothic"/>
        </w:rPr>
      </w:pPr>
      <w:r w:rsidRPr="000C4C20">
        <w:rPr>
          <w:rFonts w:eastAsia="MS Gothic"/>
        </w:rPr>
        <w:t xml:space="preserve">[1] Philosophical education—when I read a normatively justified framework in opposition, we </w:t>
      </w:r>
      <w:proofErr w:type="gramStart"/>
      <w:r w:rsidRPr="000C4C20">
        <w:rPr>
          <w:rFonts w:eastAsia="MS Gothic"/>
        </w:rPr>
        <w:t>are able to</w:t>
      </w:r>
      <w:proofErr w:type="gramEnd"/>
      <w:r w:rsidRPr="000C4C20">
        <w:rPr>
          <w:rFonts w:eastAsia="MS Gothic"/>
        </w:rPr>
        <w:t xml:space="preserve"> interact and weigh between two frameworks. However, when you include normative and theoretical justifications, you moot any philosophical education by a) extending pre-fiat reasons to come before substance b) require people to justify their framework substantively less and c) hone theory skills rather than reading literature. Kills philosophical education because we don’t engage on a substantive discussion of warrants. Philosophical education outweighs other links to education because LD is uniquely a values debate. Also controls the internal link to real world education because people make a bunch of moral decisions in their everyday lives.</w:t>
      </w:r>
    </w:p>
    <w:p w14:paraId="0EE98678" w14:textId="77777777" w:rsidR="000C4C20" w:rsidRPr="000C4C20" w:rsidRDefault="000C4C20" w:rsidP="000C4C20">
      <w:pPr>
        <w:pStyle w:val="Heading4"/>
        <w:rPr>
          <w:rFonts w:eastAsia="MS Gothic"/>
        </w:rPr>
      </w:pPr>
      <w:r w:rsidRPr="000C4C20">
        <w:rPr>
          <w:rFonts w:eastAsia="MS Gothic"/>
        </w:rPr>
        <w:t>[2] Strategy Skew—by having both layers, you can just collapse to whichever one I undercover in the next speech, skewing my strategy. Even if I put defense on theoretical justifications, you still win the framework debate. Strat skew is an independent voter because we need a coherent strategy to debate in the first place, meaning it precludes things like fairness or education.</w:t>
      </w:r>
    </w:p>
    <w:p w14:paraId="6EBD4952" w14:textId="77777777" w:rsidR="001F73F6" w:rsidRPr="001F73F6" w:rsidRDefault="001F73F6" w:rsidP="000C4C20">
      <w:pPr>
        <w:pStyle w:val="Heading4"/>
      </w:pPr>
      <w:r w:rsidRPr="001F73F6">
        <w:t xml:space="preserve">Voters – Fairness is a voter since debate is a competitive activity that requires an equal shot at winning. Inclusion is a voter since it’s a pre-requisite to engagement in the space and the judge has an obligation as an educator to ensure a safe space. Resolvability is a voter since anything else maximizes the probability of judge intervention which minimizes the ballot as a determiner of the better debater which is its constitutive purpose. </w:t>
      </w:r>
    </w:p>
    <w:p w14:paraId="6EB2C6AC" w14:textId="56C696F1" w:rsidR="001F73F6" w:rsidRPr="001F73F6" w:rsidRDefault="001F73F6" w:rsidP="000C4C20">
      <w:pPr>
        <w:pStyle w:val="Heading4"/>
      </w:pPr>
      <w:r w:rsidRPr="001F73F6">
        <w:t xml:space="preserve">DD – a) to deter future abuse, </w:t>
      </w:r>
    </w:p>
    <w:p w14:paraId="5B7CA64D" w14:textId="1B998594" w:rsidR="001F73F6" w:rsidRPr="001F73F6" w:rsidRDefault="001F73F6" w:rsidP="000C4C20">
      <w:pPr>
        <w:pStyle w:val="Heading4"/>
      </w:pPr>
      <w:r w:rsidRPr="001F73F6">
        <w:t xml:space="preserve">CI – a) reasonability requires judge intervention because I don’t know where your BS meter is, </w:t>
      </w:r>
    </w:p>
    <w:p w14:paraId="1146E21C" w14:textId="46A7CFED" w:rsidR="001F73F6" w:rsidRPr="001F73F6" w:rsidRDefault="001F73F6" w:rsidP="000C4C20">
      <w:pPr>
        <w:pStyle w:val="Heading4"/>
      </w:pPr>
      <w:r w:rsidRPr="001F73F6">
        <w:t xml:space="preserve">No RVIs – a) It’s illogical to vote for you for being fair, rounds without theory would be irresolvable b) It incentivizes you to bait theory and win off a scripted CI. </w:t>
      </w:r>
    </w:p>
    <w:p w14:paraId="3161B9A1" w14:textId="2463DF5E" w:rsidR="00D654C1" w:rsidRDefault="00D654C1" w:rsidP="00D654C1">
      <w:pPr>
        <w:pStyle w:val="Heading2"/>
      </w:pPr>
      <w:r>
        <w:t>Shell</w:t>
      </w:r>
    </w:p>
    <w:p w14:paraId="60266AD5" w14:textId="77777777" w:rsidR="001F73F6" w:rsidRPr="001F73F6" w:rsidRDefault="001F73F6" w:rsidP="001F73F6">
      <w:pPr>
        <w:pStyle w:val="Heading4"/>
      </w:pPr>
      <w:r w:rsidRPr="001F73F6">
        <w:t>Interpretation: If debaters defend a Kantian ethic, they must delineate which branch or subbranch of Kantianism they endorse in explicit text in the 1AC</w:t>
      </w:r>
    </w:p>
    <w:p w14:paraId="3CDD5A1A" w14:textId="77777777" w:rsidR="001F73F6" w:rsidRPr="001F73F6" w:rsidRDefault="001F73F6" w:rsidP="001F73F6">
      <w:pPr>
        <w:pStyle w:val="Heading4"/>
      </w:pPr>
      <w:r w:rsidRPr="001F73F6">
        <w:t xml:space="preserve">There are several distinct ones </w:t>
      </w:r>
    </w:p>
    <w:p w14:paraId="12D6606E" w14:textId="77777777" w:rsidR="001F73F6" w:rsidRPr="001F73F6" w:rsidRDefault="001F73F6" w:rsidP="001F73F6">
      <w:proofErr w:type="spellStart"/>
      <w:r w:rsidRPr="001F73F6">
        <w:rPr>
          <w:b/>
          <w:bCs/>
          <w:sz w:val="26"/>
          <w:u w:val="single"/>
        </w:rPr>
        <w:t>Vleeschauwer</w:t>
      </w:r>
      <w:proofErr w:type="spellEnd"/>
      <w:r w:rsidRPr="001F73F6">
        <w:rPr>
          <w:b/>
          <w:bCs/>
          <w:sz w:val="26"/>
          <w:u w:val="single"/>
        </w:rPr>
        <w:t xml:space="preserve"> 16</w:t>
      </w:r>
      <w:r w:rsidRPr="001F73F6">
        <w:t xml:space="preserve">[Herman Jean de </w:t>
      </w:r>
      <w:proofErr w:type="spellStart"/>
      <w:r w:rsidRPr="001F73F6">
        <w:t>Vleeschauwer</w:t>
      </w:r>
      <w:proofErr w:type="spellEnd"/>
      <w:r w:rsidRPr="001F73F6">
        <w:t xml:space="preserve">- Emeritus Professor of Philosophy “Kantianism” </w:t>
      </w:r>
      <w:proofErr w:type="spellStart"/>
      <w:r w:rsidRPr="001F73F6">
        <w:t>Encyclopædia</w:t>
      </w:r>
      <w:proofErr w:type="spellEnd"/>
      <w:r w:rsidRPr="001F73F6">
        <w:t xml:space="preserve"> Britannica. </w:t>
      </w:r>
      <w:hyperlink r:id="rId6" w:anchor="ref27103" w:history="1">
        <w:r w:rsidRPr="001F73F6">
          <w:t>https://www.britannica.com/topic/Kantianism#ref27103</w:t>
        </w:r>
      </w:hyperlink>
      <w:r w:rsidRPr="001F73F6">
        <w:t xml:space="preserve"> March 2016] UT AI</w:t>
      </w:r>
    </w:p>
    <w:p w14:paraId="453E0C4A" w14:textId="77777777" w:rsidR="001F73F6" w:rsidRPr="001F73F6" w:rsidRDefault="001F73F6" w:rsidP="001F73F6">
      <w:pPr>
        <w:numPr>
          <w:ilvl w:val="0"/>
          <w:numId w:val="11"/>
        </w:numPr>
        <w:contextualSpacing/>
        <w:rPr>
          <w:rFonts w:ascii="Times New Roman" w:eastAsia="MS Mincho" w:hAnsi="Times New Roman" w:cs="Times New Roman"/>
          <w:sz w:val="16"/>
          <w:szCs w:val="16"/>
        </w:rPr>
      </w:pPr>
      <w:r w:rsidRPr="001F73F6">
        <w:rPr>
          <w:rFonts w:ascii="Times New Roman" w:eastAsia="MS Mincho" w:hAnsi="Times New Roman" w:cs="Times New Roman"/>
          <w:sz w:val="16"/>
          <w:szCs w:val="16"/>
        </w:rPr>
        <w:t>Epistemological Kantianism: those that conceive of the critical philosophy as an epistemology or a pure theory of (scientific) knowledge and methodology</w:t>
      </w:r>
    </w:p>
    <w:p w14:paraId="786A52CA" w14:textId="77777777" w:rsidR="001F73F6" w:rsidRPr="001F73F6" w:rsidRDefault="001F73F6" w:rsidP="001F73F6">
      <w:pPr>
        <w:numPr>
          <w:ilvl w:val="1"/>
          <w:numId w:val="11"/>
        </w:numPr>
        <w:contextualSpacing/>
        <w:rPr>
          <w:rFonts w:ascii="Times New Roman" w:eastAsia="MS Mincho" w:hAnsi="Times New Roman" w:cs="Times New Roman"/>
          <w:sz w:val="16"/>
          <w:szCs w:val="16"/>
        </w:rPr>
      </w:pPr>
      <w:r w:rsidRPr="001F73F6">
        <w:rPr>
          <w:rFonts w:ascii="Times New Roman" w:eastAsia="MS Mincho" w:hAnsi="Times New Roman" w:cs="Times New Roman"/>
          <w:sz w:val="16"/>
          <w:szCs w:val="16"/>
        </w:rPr>
        <w:t>Empirical Kantianism: Rooted in physiological or psychological inquiries</w:t>
      </w:r>
    </w:p>
    <w:p w14:paraId="21F6FC68" w14:textId="77777777" w:rsidR="001F73F6" w:rsidRPr="001F73F6" w:rsidRDefault="001F73F6" w:rsidP="001F73F6">
      <w:pPr>
        <w:numPr>
          <w:ilvl w:val="1"/>
          <w:numId w:val="11"/>
        </w:numPr>
        <w:contextualSpacing/>
        <w:rPr>
          <w:rFonts w:ascii="Times New Roman" w:eastAsia="MS Mincho" w:hAnsi="Times New Roman" w:cs="Times New Roman"/>
          <w:sz w:val="16"/>
          <w:szCs w:val="16"/>
        </w:rPr>
      </w:pPr>
      <w:r w:rsidRPr="001F73F6">
        <w:rPr>
          <w:rFonts w:ascii="Times New Roman" w:eastAsia="MS Mincho" w:hAnsi="Times New Roman" w:cs="Times New Roman"/>
          <w:sz w:val="16"/>
          <w:szCs w:val="16"/>
        </w:rPr>
        <w:t>Logistic Kantianism: Stresses essences and the use of logic</w:t>
      </w:r>
    </w:p>
    <w:p w14:paraId="1B3DE059" w14:textId="77777777" w:rsidR="001F73F6" w:rsidRPr="001F73F6" w:rsidRDefault="001F73F6" w:rsidP="001F73F6">
      <w:pPr>
        <w:numPr>
          <w:ilvl w:val="0"/>
          <w:numId w:val="11"/>
        </w:numPr>
        <w:contextualSpacing/>
        <w:rPr>
          <w:rFonts w:ascii="Times New Roman" w:eastAsia="MS Mincho" w:hAnsi="Times New Roman" w:cs="Times New Roman"/>
          <w:sz w:val="16"/>
          <w:szCs w:val="16"/>
        </w:rPr>
      </w:pPr>
      <w:r w:rsidRPr="001F73F6">
        <w:rPr>
          <w:rFonts w:ascii="Times New Roman" w:eastAsia="MS Mincho" w:hAnsi="Times New Roman" w:cs="Times New Roman"/>
          <w:sz w:val="16"/>
          <w:szCs w:val="16"/>
        </w:rPr>
        <w:t>Metaphysical Kantianism: Rely on inductive metaphysics to make conclusions about the world in accordance with sciences</w:t>
      </w:r>
    </w:p>
    <w:p w14:paraId="2FD48382" w14:textId="77777777" w:rsidR="001F73F6" w:rsidRPr="001F73F6" w:rsidRDefault="001F73F6" w:rsidP="001F73F6">
      <w:pPr>
        <w:numPr>
          <w:ilvl w:val="0"/>
          <w:numId w:val="11"/>
        </w:numPr>
        <w:contextualSpacing/>
        <w:rPr>
          <w:rFonts w:ascii="Times New Roman" w:eastAsia="MS Mincho" w:hAnsi="Times New Roman" w:cs="Times New Roman"/>
          <w:sz w:val="16"/>
          <w:szCs w:val="16"/>
        </w:rPr>
      </w:pPr>
      <w:r w:rsidRPr="001F73F6">
        <w:rPr>
          <w:rFonts w:ascii="Times New Roman" w:eastAsia="MS Mincho" w:hAnsi="Times New Roman" w:cs="Times New Roman"/>
          <w:sz w:val="16"/>
          <w:szCs w:val="16"/>
        </w:rPr>
        <w:t>Axiological Kantianism: concerned with value theory, branched, first, into an axiological approach which interpreted the methods of all three of Kant’s Critiques</w:t>
      </w:r>
    </w:p>
    <w:p w14:paraId="06C5EF84" w14:textId="77777777" w:rsidR="001F73F6" w:rsidRPr="001F73F6" w:rsidRDefault="001F73F6" w:rsidP="001F73F6">
      <w:pPr>
        <w:numPr>
          <w:ilvl w:val="1"/>
          <w:numId w:val="11"/>
        </w:numPr>
        <w:contextualSpacing/>
        <w:rPr>
          <w:rFonts w:ascii="Times New Roman" w:eastAsia="MS Mincho" w:hAnsi="Times New Roman" w:cs="Times New Roman"/>
          <w:sz w:val="16"/>
          <w:szCs w:val="16"/>
        </w:rPr>
      </w:pPr>
      <w:r w:rsidRPr="001F73F6">
        <w:rPr>
          <w:rFonts w:ascii="Times New Roman" w:eastAsia="MS Mincho" w:hAnsi="Times New Roman" w:cs="Times New Roman"/>
          <w:sz w:val="16"/>
          <w:szCs w:val="16"/>
        </w:rPr>
        <w:t>Relativistic Kantianism: regarded the critical philosophy as a system of thought dependent upon social, cultural, and historical conditions</w:t>
      </w:r>
    </w:p>
    <w:p w14:paraId="728253E5" w14:textId="77777777" w:rsidR="001F73F6" w:rsidRPr="001F73F6" w:rsidRDefault="001F73F6" w:rsidP="001F73F6">
      <w:pPr>
        <w:rPr>
          <w:sz w:val="10"/>
        </w:rPr>
      </w:pPr>
      <w:r w:rsidRPr="001F73F6">
        <w:rPr>
          <w:highlight w:val="green"/>
          <w:u w:val="single"/>
        </w:rPr>
        <w:t>The</w:t>
      </w:r>
      <w:r w:rsidRPr="001F73F6">
        <w:rPr>
          <w:sz w:val="10"/>
        </w:rPr>
        <w:t xml:space="preserve"> critical </w:t>
      </w:r>
      <w:r w:rsidRPr="001F73F6">
        <w:rPr>
          <w:highlight w:val="green"/>
          <w:u w:val="single"/>
        </w:rPr>
        <w:t xml:space="preserve">philosophy has been subjected to </w:t>
      </w:r>
      <w:r w:rsidRPr="001F73F6">
        <w:rPr>
          <w:b/>
          <w:iCs/>
          <w:highlight w:val="green"/>
          <w:u w:val="single"/>
        </w:rPr>
        <w:t>a variety of approaches</w:t>
      </w:r>
      <w:r w:rsidRPr="001F73F6">
        <w:rPr>
          <w:sz w:val="10"/>
        </w:rPr>
        <w:t xml:space="preserve"> and methods of interpretation. </w:t>
      </w:r>
      <w:r w:rsidRPr="001F73F6">
        <w:rPr>
          <w:highlight w:val="green"/>
          <w:u w:val="single"/>
        </w:rPr>
        <w:t>These can be reduced to</w:t>
      </w:r>
      <w:r w:rsidRPr="001F73F6">
        <w:rPr>
          <w:sz w:val="10"/>
        </w:rPr>
        <w:t xml:space="preserve"> </w:t>
      </w:r>
      <w:r w:rsidRPr="001F73F6">
        <w:rPr>
          <w:u w:val="single"/>
        </w:rPr>
        <w:t>three fundamental types</w:t>
      </w:r>
      <w:r w:rsidRPr="001F73F6">
        <w:rPr>
          <w:sz w:val="10"/>
        </w:rPr>
        <w:t xml:space="preserve">: </w:t>
      </w:r>
      <w:bookmarkStart w:id="0" w:name="_Hlk44932304"/>
      <w:r w:rsidRPr="001F73F6">
        <w:rPr>
          <w:sz w:val="10"/>
        </w:rPr>
        <w:t>those that conceive of the critical philosophy as an epistemology or a pure theory of (scientific) knowledge and methodology</w:t>
      </w:r>
      <w:bookmarkEnd w:id="0"/>
      <w:r w:rsidRPr="001F73F6">
        <w:rPr>
          <w:sz w:val="10"/>
        </w:rPr>
        <w:t xml:space="preserve">, those that conceive of it as a critical theory of metaphysics or the nature of being (ultimate reality), and those that conceive of it as a theory of normative or valuational reflection parallel to that of ethics (in the field of action). </w:t>
      </w:r>
      <w:r w:rsidRPr="001F73F6">
        <w:rPr>
          <w:u w:val="single"/>
        </w:rPr>
        <w:t xml:space="preserve">Each of these types—known, respectively, as </w:t>
      </w:r>
      <w:r w:rsidRPr="001F73F6">
        <w:rPr>
          <w:b/>
          <w:iCs/>
          <w:highlight w:val="green"/>
          <w:u w:val="single"/>
        </w:rPr>
        <w:t>epistemological, metaphysical, and axiological Kantianism</w:t>
      </w:r>
      <w:r w:rsidRPr="001F73F6">
        <w:rPr>
          <w:u w:val="single"/>
        </w:rPr>
        <w:t xml:space="preserve">—can, </w:t>
      </w:r>
      <w:r w:rsidRPr="001F73F6">
        <w:rPr>
          <w:highlight w:val="green"/>
          <w:u w:val="single"/>
        </w:rPr>
        <w:t>in turn, be subdivided into</w:t>
      </w:r>
      <w:r w:rsidRPr="001F73F6">
        <w:rPr>
          <w:u w:val="single"/>
        </w:rPr>
        <w:t xml:space="preserve"> several secondary approaches</w:t>
      </w:r>
      <w:r w:rsidRPr="001F73F6">
        <w:rPr>
          <w:sz w:val="10"/>
        </w:rPr>
        <w:t xml:space="preserve">. Historically, epistemological Kantianism included </w:t>
      </w:r>
      <w:r w:rsidRPr="001F73F6">
        <w:rPr>
          <w:u w:val="single"/>
        </w:rPr>
        <w:t>such</w:t>
      </w:r>
      <w:r w:rsidRPr="001F73F6">
        <w:rPr>
          <w:sz w:val="10"/>
        </w:rPr>
        <w:t xml:space="preserve"> different attitudes </w:t>
      </w:r>
      <w:r w:rsidRPr="001F73F6">
        <w:rPr>
          <w:u w:val="single"/>
        </w:rPr>
        <w:t xml:space="preserve">as </w:t>
      </w:r>
      <w:r w:rsidRPr="001F73F6">
        <w:rPr>
          <w:b/>
          <w:iCs/>
          <w:highlight w:val="green"/>
          <w:u w:val="single"/>
        </w:rPr>
        <w:t>empirical Kantianism</w:t>
      </w:r>
      <w:r w:rsidRPr="001F73F6">
        <w:rPr>
          <w:sz w:val="10"/>
        </w:rPr>
        <w:t xml:space="preserve">, rooted either in physiological or psychological inquiries; </w:t>
      </w:r>
      <w:r w:rsidRPr="001F73F6">
        <w:rPr>
          <w:u w:val="single"/>
        </w:rPr>
        <w:t xml:space="preserve">the </w:t>
      </w:r>
      <w:r w:rsidRPr="001F73F6">
        <w:rPr>
          <w:b/>
          <w:iCs/>
          <w:highlight w:val="green"/>
          <w:u w:val="single"/>
        </w:rPr>
        <w:t>logistic Kantianism</w:t>
      </w:r>
      <w:r w:rsidRPr="001F73F6">
        <w:rPr>
          <w:u w:val="single"/>
        </w:rPr>
        <w:t xml:space="preserve"> of the Marburg school</w:t>
      </w:r>
      <w:r w:rsidRPr="001F73F6">
        <w:rPr>
          <w:sz w:val="10"/>
        </w:rPr>
        <w:t xml:space="preserve">, which stressed essences and the use of logic; and the realistic Kantianism of the Austrian Alois Riehl. Metaphysical Kantianism developed from the transcendental idealism of German Romanticism to realism, a course followed by many speculative thinkers, who saw in the critical philosophy the foundations of an essentially inductive metaphysics, in accordance with the results of the modern sciences. Axiological Kantianism, </w:t>
      </w:r>
      <w:bookmarkStart w:id="1" w:name="_Hlk44932509"/>
      <w:r w:rsidRPr="001F73F6">
        <w:rPr>
          <w:sz w:val="10"/>
        </w:rPr>
        <w:t>concerned with value theory, branched, first, into an axiological approach (properly so-called), which interpreted the methods of all three of Kant’s Critiques—</w:t>
      </w:r>
      <w:proofErr w:type="spellStart"/>
      <w:r w:rsidRPr="001F73F6">
        <w:rPr>
          <w:sz w:val="10"/>
        </w:rPr>
        <w:t>Critik</w:t>
      </w:r>
      <w:proofErr w:type="spellEnd"/>
      <w:r w:rsidRPr="001F73F6">
        <w:rPr>
          <w:sz w:val="10"/>
        </w:rPr>
        <w:t xml:space="preserve"> </w:t>
      </w:r>
      <w:bookmarkEnd w:id="1"/>
      <w:r w:rsidRPr="001F73F6">
        <w:rPr>
          <w:sz w:val="10"/>
        </w:rPr>
        <w:t xml:space="preserve">der </w:t>
      </w:r>
      <w:proofErr w:type="spellStart"/>
      <w:r w:rsidRPr="001F73F6">
        <w:rPr>
          <w:sz w:val="10"/>
        </w:rPr>
        <w:t>reinen</w:t>
      </w:r>
      <w:proofErr w:type="spellEnd"/>
      <w:r w:rsidRPr="001F73F6">
        <w:rPr>
          <w:sz w:val="10"/>
        </w:rPr>
        <w:t xml:space="preserve"> Vernunft (1781, rev. ed. 1787; Critique of Pure Reason), </w:t>
      </w:r>
      <w:proofErr w:type="spellStart"/>
      <w:r w:rsidRPr="001F73F6">
        <w:rPr>
          <w:sz w:val="10"/>
        </w:rPr>
        <w:t>Critik</w:t>
      </w:r>
      <w:proofErr w:type="spellEnd"/>
      <w:r w:rsidRPr="001F73F6">
        <w:rPr>
          <w:sz w:val="10"/>
        </w:rPr>
        <w:t xml:space="preserve"> der </w:t>
      </w:r>
      <w:proofErr w:type="spellStart"/>
      <w:r w:rsidRPr="001F73F6">
        <w:rPr>
          <w:sz w:val="10"/>
        </w:rPr>
        <w:t>practischen</w:t>
      </w:r>
      <w:proofErr w:type="spellEnd"/>
      <w:r w:rsidRPr="001F73F6">
        <w:rPr>
          <w:sz w:val="10"/>
        </w:rPr>
        <w:t xml:space="preserve"> Vernunft (1788; Critique of Practical Reason), and </w:t>
      </w:r>
      <w:proofErr w:type="spellStart"/>
      <w:r w:rsidRPr="001F73F6">
        <w:rPr>
          <w:sz w:val="10"/>
        </w:rPr>
        <w:t>Critik</w:t>
      </w:r>
      <w:proofErr w:type="spellEnd"/>
      <w:r w:rsidRPr="001F73F6">
        <w:rPr>
          <w:sz w:val="10"/>
        </w:rPr>
        <w:t xml:space="preserve"> der </w:t>
      </w:r>
      <w:proofErr w:type="spellStart"/>
      <w:r w:rsidRPr="001F73F6">
        <w:rPr>
          <w:sz w:val="10"/>
        </w:rPr>
        <w:t>Urteilskraft</w:t>
      </w:r>
      <w:proofErr w:type="spellEnd"/>
      <w:r w:rsidRPr="001F73F6">
        <w:rPr>
          <w:sz w:val="10"/>
        </w:rPr>
        <w:t xml:space="preserve"> (1790; Critique of Judgment)—as normative disciplines of thought, and, second, into an eclectic or </w:t>
      </w:r>
      <w:r w:rsidRPr="001F73F6">
        <w:rPr>
          <w:b/>
          <w:iCs/>
          <w:highlight w:val="green"/>
          <w:u w:val="single"/>
        </w:rPr>
        <w:t>relativistic Kantianism</w:t>
      </w:r>
      <w:r w:rsidRPr="001F73F6">
        <w:rPr>
          <w:sz w:val="10"/>
        </w:rPr>
        <w:t xml:space="preserve">, which regarded the critical philosophy as a system of thought dependent upon social, cultural, and historical conditions. The chief representatives of these </w:t>
      </w:r>
      <w:proofErr w:type="spellStart"/>
      <w:r w:rsidRPr="001F73F6">
        <w:rPr>
          <w:sz w:val="10"/>
        </w:rPr>
        <w:t>submovements</w:t>
      </w:r>
      <w:proofErr w:type="spellEnd"/>
      <w:r w:rsidRPr="001F73F6">
        <w:rPr>
          <w:sz w:val="10"/>
        </w:rPr>
        <w:t xml:space="preserve"> are identified in the historical sections below.</w:t>
      </w:r>
    </w:p>
    <w:p w14:paraId="0CD97A32" w14:textId="77777777" w:rsidR="001F73F6" w:rsidRPr="001F73F6" w:rsidRDefault="001F73F6" w:rsidP="001F73F6">
      <w:pPr>
        <w:keepNext/>
        <w:keepLines/>
        <w:spacing w:before="40" w:after="0"/>
        <w:outlineLvl w:val="3"/>
        <w:rPr>
          <w:rFonts w:eastAsiaTheme="majorEastAsia" w:cstheme="majorBidi"/>
          <w:b/>
          <w:iCs/>
          <w:sz w:val="26"/>
        </w:rPr>
      </w:pPr>
      <w:r w:rsidRPr="001F73F6">
        <w:rPr>
          <w:rFonts w:eastAsiaTheme="majorEastAsia" w:cstheme="majorBidi"/>
          <w:b/>
          <w:iCs/>
          <w:sz w:val="26"/>
        </w:rPr>
        <w:t>Violation: They don’t</w:t>
      </w:r>
    </w:p>
    <w:p w14:paraId="0E318956" w14:textId="77777777" w:rsidR="001F73F6" w:rsidRPr="001F73F6" w:rsidRDefault="001F73F6" w:rsidP="001F73F6">
      <w:pPr>
        <w:keepNext/>
        <w:keepLines/>
        <w:spacing w:before="40" w:after="0"/>
        <w:outlineLvl w:val="3"/>
        <w:rPr>
          <w:rFonts w:eastAsiaTheme="majorEastAsia" w:cstheme="majorBidi"/>
          <w:b/>
          <w:iCs/>
          <w:sz w:val="26"/>
        </w:rPr>
      </w:pPr>
      <w:r w:rsidRPr="001F73F6">
        <w:rPr>
          <w:rFonts w:eastAsiaTheme="majorEastAsia" w:cstheme="majorBidi"/>
          <w:b/>
          <w:iCs/>
          <w:sz w:val="26"/>
        </w:rPr>
        <w:t>Standards</w:t>
      </w:r>
    </w:p>
    <w:p w14:paraId="1D6E726C" w14:textId="36A3A658" w:rsidR="001F73F6" w:rsidRPr="001F73F6" w:rsidRDefault="001F73F6" w:rsidP="001F73F6">
      <w:pPr>
        <w:keepNext/>
        <w:keepLines/>
        <w:spacing w:before="40" w:after="0"/>
        <w:outlineLvl w:val="3"/>
        <w:rPr>
          <w:rFonts w:eastAsiaTheme="majorEastAsia" w:cstheme="majorBidi"/>
          <w:b/>
          <w:iCs/>
          <w:sz w:val="26"/>
        </w:rPr>
      </w:pPr>
      <w:r w:rsidRPr="001F73F6">
        <w:rPr>
          <w:rFonts w:eastAsiaTheme="majorEastAsia" w:cstheme="majorBidi"/>
          <w:b/>
          <w:iCs/>
          <w:sz w:val="26"/>
        </w:rPr>
        <w:t xml:space="preserve">1] </w:t>
      </w:r>
      <w:r w:rsidRPr="001F73F6">
        <w:rPr>
          <w:rFonts w:eastAsiaTheme="majorEastAsia" w:cstheme="majorBidi"/>
          <w:b/>
          <w:iCs/>
          <w:sz w:val="26"/>
          <w:u w:val="single"/>
        </w:rPr>
        <w:t>Shiftiness</w:t>
      </w:r>
      <w:r w:rsidRPr="001F73F6">
        <w:rPr>
          <w:rFonts w:eastAsiaTheme="majorEastAsia" w:cstheme="majorBidi"/>
          <w:b/>
          <w:iCs/>
          <w:sz w:val="26"/>
        </w:rPr>
        <w:t>-They can shift out of my turns based on whatever theory of the good they operate under due to the nature of a vague standard. Especially true because the warrants for their standard could justify different versions of Kantianism coming first and I wouldn’t know until the 1ar which gives them access to multiple contingent standards. CX can’t resolve this impact and is independently bad because A] Not flowed B] skews 6 min of prep during the aff</w:t>
      </w:r>
      <w:r w:rsidR="002202CE">
        <w:rPr>
          <w:rFonts w:eastAsiaTheme="majorEastAsia" w:cstheme="majorBidi"/>
          <w:b/>
          <w:iCs/>
          <w:sz w:val="26"/>
        </w:rPr>
        <w:t xml:space="preserve"> because we don’t know what offense applies until after the ac is read</w:t>
      </w:r>
      <w:r w:rsidRPr="001F73F6">
        <w:rPr>
          <w:rFonts w:eastAsiaTheme="majorEastAsia" w:cstheme="majorBidi"/>
          <w:b/>
          <w:iCs/>
          <w:sz w:val="26"/>
        </w:rPr>
        <w:t xml:space="preserve"> C] They can proactively lie and there’s no way to check D] debaters can be intentionally shady.</w:t>
      </w:r>
    </w:p>
    <w:p w14:paraId="31286C55" w14:textId="77777777" w:rsidR="001F73F6" w:rsidRPr="001F73F6" w:rsidRDefault="001F73F6" w:rsidP="001F73F6">
      <w:pPr>
        <w:keepNext/>
        <w:keepLines/>
        <w:spacing w:before="40" w:after="0"/>
        <w:outlineLvl w:val="3"/>
        <w:rPr>
          <w:rFonts w:eastAsiaTheme="majorEastAsia" w:cstheme="majorBidi"/>
          <w:b/>
          <w:iCs/>
          <w:sz w:val="26"/>
        </w:rPr>
      </w:pPr>
      <w:r w:rsidRPr="001F73F6">
        <w:rPr>
          <w:rFonts w:eastAsiaTheme="majorEastAsia" w:cstheme="majorBidi"/>
          <w:b/>
          <w:iCs/>
          <w:sz w:val="26"/>
        </w:rPr>
        <w:t xml:space="preserve">2] </w:t>
      </w:r>
      <w:r w:rsidRPr="001F73F6">
        <w:rPr>
          <w:rFonts w:eastAsiaTheme="majorEastAsia" w:cstheme="majorBidi"/>
          <w:b/>
          <w:iCs/>
          <w:sz w:val="26"/>
          <w:u w:val="single"/>
        </w:rPr>
        <w:t>Real World</w:t>
      </w:r>
      <w:r w:rsidRPr="001F73F6">
        <w:rPr>
          <w:rFonts w:eastAsiaTheme="majorEastAsia" w:cstheme="majorBidi"/>
          <w:b/>
          <w:iCs/>
          <w:sz w:val="26"/>
        </w:rPr>
        <w:t>- Philosophers need to be as specific as possible when delineating their theory since there are so many nuances and contextual applications of philosophy that require us to understand the core differences within the philosophy. That outweighs since debate has no pedagogical value without portable application.</w:t>
      </w:r>
    </w:p>
    <w:p w14:paraId="5487969D" w14:textId="74A9BC47" w:rsidR="002202CE" w:rsidRPr="002202CE" w:rsidRDefault="001F73F6" w:rsidP="002202CE">
      <w:pPr>
        <w:keepNext/>
        <w:keepLines/>
        <w:spacing w:before="40" w:after="0"/>
        <w:outlineLvl w:val="3"/>
        <w:rPr>
          <w:rFonts w:eastAsiaTheme="majorEastAsia" w:cstheme="majorBidi"/>
          <w:b/>
          <w:iCs/>
          <w:sz w:val="26"/>
        </w:rPr>
      </w:pPr>
      <w:r w:rsidRPr="001F73F6">
        <w:rPr>
          <w:rFonts w:eastAsiaTheme="majorEastAsia" w:cstheme="majorBidi"/>
          <w:b/>
          <w:iCs/>
          <w:sz w:val="26"/>
        </w:rPr>
        <w:t>This spec shell isn’t regressive- it literally determines what framework the affirmative defends and how to link offense back to it</w:t>
      </w:r>
    </w:p>
    <w:p w14:paraId="53494ABA" w14:textId="60813A77" w:rsidR="00D654C1" w:rsidRDefault="00D654C1" w:rsidP="00D654C1">
      <w:pPr>
        <w:pStyle w:val="Heading2"/>
      </w:pPr>
      <w:r>
        <w:t>NC</w:t>
      </w:r>
    </w:p>
    <w:p w14:paraId="7F71DFC5" w14:textId="77777777" w:rsidR="00D654C1" w:rsidRPr="00D654C1" w:rsidRDefault="00D654C1" w:rsidP="00C24197">
      <w:pPr>
        <w:pStyle w:val="Heading4"/>
        <w:rPr>
          <w:rFonts w:eastAsia="MS Gothic"/>
        </w:rPr>
      </w:pPr>
      <w:r w:rsidRPr="00D654C1">
        <w:rPr>
          <w:rFonts w:eastAsia="MS Gothic"/>
        </w:rPr>
        <w:t>I value Morality. 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w:t>
      </w:r>
    </w:p>
    <w:p w14:paraId="4EA28206" w14:textId="77777777" w:rsidR="00D654C1" w:rsidRPr="00D654C1" w:rsidRDefault="00D654C1" w:rsidP="00C24197">
      <w:pPr>
        <w:pStyle w:val="Heading4"/>
        <w:rPr>
          <w:rFonts w:eastAsia="Cambria"/>
        </w:rPr>
      </w:pPr>
    </w:p>
    <w:p w14:paraId="16050718" w14:textId="22CFB16F" w:rsidR="00D654C1" w:rsidRPr="00D654C1" w:rsidRDefault="00D654C1" w:rsidP="00C24197">
      <w:pPr>
        <w:pStyle w:val="Heading4"/>
        <w:rPr>
          <w:rFonts w:eastAsia="MS Gothic"/>
        </w:rPr>
      </w:pPr>
      <w:r w:rsidRPr="00D654C1">
        <w:rPr>
          <w:rFonts w:eastAsia="MS Gothic"/>
        </w:rPr>
        <w:t xml:space="preserve">The will operates materially – individuals exercise their agency in the world, as ideas and actions clash against one another. This takes place through a dialectical process that unfolds in three stages: First, a thesis is introduced by action or reason – for example a group of workers exercises their intention to strike against poor working conditions. Second, an antithesis is produced in response by the agent acted against – the corporation. The exercise of these opposing wills terminates in a synthesis – a conclusion that terminates in a mix of the thesis and antithesis – like a contractual agreement that re-negotiates labor conditions. This view of the will has 3 benefits: First, it prevents a contradiction of wills from generating a contradiction – it allows a process of iterative testing by which the negation of an idea does not terminate the process of truth </w:t>
      </w:r>
      <w:proofErr w:type="gramStart"/>
      <w:r w:rsidRPr="00D654C1">
        <w:rPr>
          <w:rFonts w:eastAsia="MS Gothic"/>
        </w:rPr>
        <w:t>making, but</w:t>
      </w:r>
      <w:proofErr w:type="gramEnd"/>
      <w:r w:rsidRPr="00D654C1">
        <w:rPr>
          <w:rFonts w:eastAsia="MS Gothic"/>
        </w:rPr>
        <w:t xml:space="preserve"> furthers it by addition of new information. Second, it ensures that epistemological starting points do not have to appear from nowhere, since thought is a continuous flow of ideas rather than a negation of an idea that requires a spontaneous creation of a new one. Third, the material approach ensures that A) we have a verifiable way of deciphering the conflict between multiple wills and B) non-material starting points always necessarily materialize themselves in action, which requires a material analysis to understand the effectiveness of any immaterial approach. </w:t>
      </w:r>
      <w:r w:rsidRPr="00D654C1">
        <w:rPr>
          <w:rFonts w:ascii="Times New Roman" w:eastAsia="Cambria" w:hAnsi="Times New Roman" w:cs="Times New Roman"/>
          <w:szCs w:val="26"/>
        </w:rPr>
        <w:t xml:space="preserve">This culminates in the act of appropriation – the ability to view yourself as a practical agent capable of taking up a project that actively changes your own subject and the role itself. </w:t>
      </w:r>
    </w:p>
    <w:p w14:paraId="59EDD386" w14:textId="77777777" w:rsidR="00D654C1" w:rsidRPr="00D654C1" w:rsidRDefault="00D654C1" w:rsidP="00C24197">
      <w:pPr>
        <w:pStyle w:val="Heading4"/>
        <w:rPr>
          <w:rFonts w:eastAsia="MS Gothic"/>
        </w:rPr>
      </w:pPr>
      <w:r w:rsidRPr="00D654C1">
        <w:rPr>
          <w:rFonts w:eastAsia="MS Gothic"/>
        </w:rPr>
        <w:t xml:space="preserve">Thus, the standard is consistency with dialectical appropriation. </w:t>
      </w:r>
    </w:p>
    <w:p w14:paraId="13D8912D" w14:textId="77777777" w:rsidR="00D654C1" w:rsidRPr="00D654C1" w:rsidRDefault="00D654C1" w:rsidP="00D654C1">
      <w:pPr>
        <w:keepNext/>
        <w:keepLines/>
        <w:spacing w:before="40" w:after="0"/>
        <w:outlineLvl w:val="3"/>
        <w:rPr>
          <w:rFonts w:eastAsia="MS Gothic" w:cs="Times New Roman"/>
          <w:b/>
          <w:iCs/>
          <w:sz w:val="26"/>
        </w:rPr>
      </w:pPr>
      <w:r w:rsidRPr="00D654C1">
        <w:rPr>
          <w:rFonts w:eastAsia="MS Gothic" w:cs="Times New Roman"/>
          <w:b/>
          <w:iCs/>
          <w:sz w:val="26"/>
        </w:rPr>
        <w:t xml:space="preserve">Prefer on </w:t>
      </w:r>
      <w:r w:rsidRPr="00D654C1">
        <w:rPr>
          <w:rFonts w:eastAsia="MS Gothic"/>
          <w:b/>
          <w:iCs/>
          <w:sz w:val="26"/>
        </w:rPr>
        <w:t xml:space="preserve">Action theory – Only viewing an agent as an active body capable of generating intentions can hold agents culpable and decipher the difference between actions and wishes. That’s a necessary feature of ethics since we must be able to warrant a coherent conception of what motivates our actions </w:t>
      </w:r>
      <w:proofErr w:type="gramStart"/>
      <w:r w:rsidRPr="00D654C1">
        <w:rPr>
          <w:rFonts w:eastAsia="MS Gothic"/>
          <w:b/>
          <w:iCs/>
          <w:sz w:val="26"/>
        </w:rPr>
        <w:t>in order to</w:t>
      </w:r>
      <w:proofErr w:type="gramEnd"/>
      <w:r w:rsidRPr="00D654C1">
        <w:rPr>
          <w:rFonts w:eastAsia="MS Gothic"/>
          <w:b/>
          <w:iCs/>
          <w:sz w:val="26"/>
        </w:rPr>
        <w:t xml:space="preserve"> provide a method to actually implement ethical principles.</w:t>
      </w:r>
    </w:p>
    <w:p w14:paraId="7646287C" w14:textId="77777777" w:rsidR="00D654C1" w:rsidRPr="00D654C1" w:rsidRDefault="00D654C1" w:rsidP="00C24197">
      <w:pPr>
        <w:pStyle w:val="Heading4"/>
        <w:rPr>
          <w:rFonts w:eastAsia="Cambria"/>
        </w:rPr>
      </w:pPr>
    </w:p>
    <w:p w14:paraId="7C8C25A3" w14:textId="77777777" w:rsidR="00D654C1" w:rsidRPr="00D654C1" w:rsidRDefault="00D654C1" w:rsidP="00C24197">
      <w:pPr>
        <w:pStyle w:val="Heading4"/>
        <w:rPr>
          <w:rFonts w:ascii="Times New Roman" w:eastAsia="MS Gothic" w:hAnsi="Times New Roman" w:cs="Times New Roman"/>
        </w:rPr>
      </w:pPr>
      <w:r w:rsidRPr="00D654C1">
        <w:rPr>
          <w:rFonts w:ascii="Times New Roman" w:eastAsia="MS Gothic" w:hAnsi="Times New Roman" w:cs="Times New Roman"/>
        </w:rPr>
        <w:t xml:space="preserve">I contend that the appropriation of outer space is not unjust. </w:t>
      </w:r>
    </w:p>
    <w:p w14:paraId="278CE384" w14:textId="77777777" w:rsidR="00D654C1" w:rsidRPr="00D654C1" w:rsidRDefault="00D654C1" w:rsidP="00C24197">
      <w:pPr>
        <w:pStyle w:val="Heading4"/>
        <w:rPr>
          <w:rFonts w:eastAsia="Cambria"/>
        </w:rPr>
      </w:pPr>
    </w:p>
    <w:p w14:paraId="6300F7D2" w14:textId="77777777" w:rsidR="00D654C1" w:rsidRPr="00D654C1" w:rsidRDefault="00D654C1" w:rsidP="00C24197">
      <w:pPr>
        <w:pStyle w:val="Heading4"/>
        <w:rPr>
          <w:rFonts w:ascii="Times New Roman" w:eastAsia="MS Gothic" w:hAnsi="Times New Roman" w:cs="Times New Roman"/>
        </w:rPr>
      </w:pPr>
      <w:r w:rsidRPr="00D654C1">
        <w:rPr>
          <w:rFonts w:ascii="Times New Roman" w:eastAsia="MS Gothic" w:hAnsi="Times New Roman" w:cs="Times New Roman"/>
        </w:rPr>
        <w:t xml:space="preserve">1. A) Appropriation is what produces meaning. mixing our will with the cosmos is what allows us to ground ourselves as subjects. B) Fixation – Preventing space exploration artificially limits the possibility of human experience, which alienates us from our potential and from the world that exists beyond the arbitrary limits of our atmosphere C) Increases our connection to nature </w:t>
      </w:r>
    </w:p>
    <w:p w14:paraId="37302E52" w14:textId="77777777" w:rsidR="00D654C1" w:rsidRPr="00D654C1" w:rsidRDefault="00D654C1" w:rsidP="00C24197">
      <w:pPr>
        <w:pStyle w:val="Heading4"/>
        <w:rPr>
          <w:rFonts w:ascii="Times New Roman" w:eastAsia="Cambria" w:hAnsi="Times New Roman" w:cs="Times New Roman"/>
        </w:rPr>
      </w:pPr>
    </w:p>
    <w:p w14:paraId="07A10F13" w14:textId="77777777" w:rsidR="00D654C1" w:rsidRPr="00D654C1" w:rsidRDefault="00D654C1" w:rsidP="00D654C1">
      <w:pPr>
        <w:spacing w:after="0" w:line="240" w:lineRule="auto"/>
        <w:rPr>
          <w:rFonts w:ascii="Times New Roman" w:eastAsia="Times New Roman" w:hAnsi="Times New Roman" w:cs="Times New Roman"/>
          <w:sz w:val="24"/>
        </w:rPr>
      </w:pPr>
    </w:p>
    <w:p w14:paraId="48CBFE1B" w14:textId="77777777" w:rsidR="00D654C1" w:rsidRPr="00D654C1" w:rsidRDefault="00D654C1" w:rsidP="00D654C1">
      <w:pPr>
        <w:keepNext/>
        <w:keepLines/>
        <w:spacing w:before="40" w:after="0"/>
        <w:outlineLvl w:val="3"/>
        <w:rPr>
          <w:rFonts w:ascii="Times New Roman" w:eastAsia="MS Gothic" w:hAnsi="Times New Roman" w:cs="Times New Roman"/>
          <w:b/>
          <w:iCs/>
          <w:sz w:val="26"/>
        </w:rPr>
      </w:pPr>
      <w:r w:rsidRPr="00D654C1">
        <w:rPr>
          <w:rFonts w:ascii="Times New Roman" w:eastAsia="MS Gothic" w:hAnsi="Times New Roman" w:cs="Times New Roman"/>
          <w:b/>
          <w:iCs/>
          <w:sz w:val="26"/>
        </w:rPr>
        <w:t xml:space="preserve">3. Epistemology – Ideas are generated through material action and confrontation – that requires an exploration of an idea </w:t>
      </w:r>
      <w:proofErr w:type="gramStart"/>
      <w:r w:rsidRPr="00D654C1">
        <w:rPr>
          <w:rFonts w:ascii="Times New Roman" w:eastAsia="MS Gothic" w:hAnsi="Times New Roman" w:cs="Times New Roman"/>
          <w:b/>
          <w:iCs/>
          <w:sz w:val="26"/>
        </w:rPr>
        <w:t>in order to</w:t>
      </w:r>
      <w:proofErr w:type="gramEnd"/>
      <w:r w:rsidRPr="00D654C1">
        <w:rPr>
          <w:rFonts w:ascii="Times New Roman" w:eastAsia="MS Gothic" w:hAnsi="Times New Roman" w:cs="Times New Roman"/>
          <w:b/>
          <w:iCs/>
          <w:sz w:val="26"/>
        </w:rPr>
        <w:t xml:space="preserve"> create a thesis and begin the epistemological process of ethics creation. This requires us to appropriate space since only the act of appropriation can begin the process of understanding and making a judgement of it as an externality.</w:t>
      </w:r>
    </w:p>
    <w:p w14:paraId="54E0201C" w14:textId="77777777" w:rsidR="00D654C1" w:rsidRPr="00D654C1" w:rsidRDefault="00D654C1" w:rsidP="00D654C1">
      <w:pPr>
        <w:rPr>
          <w:rFonts w:eastAsia="Cambria"/>
        </w:rPr>
      </w:pPr>
    </w:p>
    <w:p w14:paraId="353CA4E5" w14:textId="77777777" w:rsidR="00D654C1" w:rsidRPr="00D654C1" w:rsidRDefault="00D654C1" w:rsidP="00D654C1">
      <w:pPr>
        <w:keepNext/>
        <w:keepLines/>
        <w:spacing w:before="40" w:after="0"/>
        <w:outlineLvl w:val="3"/>
        <w:rPr>
          <w:rFonts w:eastAsia="MS Gothic"/>
          <w:b/>
          <w:iCs/>
          <w:sz w:val="26"/>
        </w:rPr>
      </w:pPr>
      <w:r w:rsidRPr="00D654C1">
        <w:rPr>
          <w:rFonts w:eastAsia="MS Gothic" w:cs="Times New Roman"/>
          <w:b/>
          <w:iCs/>
          <w:sz w:val="26"/>
        </w:rPr>
        <w:t xml:space="preserve">4. </w:t>
      </w:r>
      <w:r w:rsidRPr="00D654C1">
        <w:rPr>
          <w:rFonts w:eastAsia="MS Gothic"/>
          <w:b/>
          <w:iCs/>
          <w:sz w:val="26"/>
        </w:rPr>
        <w:t xml:space="preserve">Private property is key to recognizing agents through the personality in their work. Recognition is necessary for agents to be non-alienated </w:t>
      </w:r>
      <w:proofErr w:type="spellStart"/>
      <w:r w:rsidRPr="00D654C1">
        <w:rPr>
          <w:rFonts w:eastAsia="MS Gothic"/>
          <w:b/>
          <w:iCs/>
          <w:sz w:val="26"/>
        </w:rPr>
        <w:t>bc</w:t>
      </w:r>
      <w:proofErr w:type="spellEnd"/>
      <w:r w:rsidRPr="00D654C1">
        <w:rPr>
          <w:rFonts w:eastAsia="MS Gothic"/>
          <w:b/>
          <w:iCs/>
          <w:sz w:val="26"/>
        </w:rPr>
        <w:t xml:space="preserve"> we need to establish relations with the world.  </w:t>
      </w:r>
    </w:p>
    <w:p w14:paraId="728EAD0B" w14:textId="77777777" w:rsidR="00D654C1" w:rsidRPr="00D654C1" w:rsidRDefault="00D654C1" w:rsidP="00D654C1">
      <w:pPr>
        <w:rPr>
          <w:rFonts w:eastAsia="Cambria"/>
        </w:rPr>
      </w:pPr>
      <w:r w:rsidRPr="00D654C1">
        <w:rPr>
          <w:rFonts w:eastAsia="Cambria"/>
          <w:b/>
          <w:bCs/>
          <w:sz w:val="26"/>
          <w:szCs w:val="26"/>
        </w:rPr>
        <w:t>Hughes 98 -</w:t>
      </w:r>
      <w:r w:rsidRPr="00D654C1">
        <w:rPr>
          <w:rFonts w:eastAsia="Cambria"/>
        </w:rPr>
        <w:t xml:space="preserve"> "The Philosophy of Intellectual Property," 77 Georgetown L.J. 287, 330-350 (1988)  by Justin Hughes [https://cyber.harvard.edu/IPCoop/88hugh2.html] // </w:t>
      </w:r>
      <w:proofErr w:type="spellStart"/>
      <w:r w:rsidRPr="00D654C1">
        <w:rPr>
          <w:rFonts w:eastAsia="Cambria"/>
        </w:rPr>
        <w:t>ahs</w:t>
      </w:r>
      <w:proofErr w:type="spellEnd"/>
      <w:r w:rsidRPr="00D654C1">
        <w:rPr>
          <w:rFonts w:eastAsia="Cambria"/>
        </w:rPr>
        <w:t xml:space="preserve"> </w:t>
      </w:r>
      <w:proofErr w:type="spellStart"/>
      <w:r w:rsidRPr="00D654C1">
        <w:rPr>
          <w:rFonts w:eastAsia="Cambria"/>
        </w:rPr>
        <w:t>emi</w:t>
      </w:r>
      <w:proofErr w:type="spellEnd"/>
    </w:p>
    <w:p w14:paraId="58ACE2C9" w14:textId="7A702683" w:rsidR="00D654C1" w:rsidRDefault="00D654C1" w:rsidP="001F73F6">
      <w:pPr>
        <w:spacing w:before="100" w:beforeAutospacing="1" w:after="100" w:afterAutospacing="1" w:line="240" w:lineRule="auto"/>
        <w:rPr>
          <w:rFonts w:eastAsia="Times New Roman"/>
          <w:color w:val="000000"/>
          <w:sz w:val="12"/>
          <w:szCs w:val="27"/>
        </w:rPr>
      </w:pPr>
      <w:r w:rsidRPr="00D654C1">
        <w:rPr>
          <w:rFonts w:eastAsia="Times New Roman"/>
          <w:color w:val="000000"/>
          <w:sz w:val="12"/>
          <w:szCs w:val="27"/>
        </w:rPr>
        <w:t xml:space="preserve">At first blush, this economic rationale seems far removed from the concerns of personality theory, </w:t>
      </w:r>
      <w:hyperlink r:id="rId7" w:anchor="n244" w:history="1">
        <w:r w:rsidRPr="00D654C1">
          <w:rPr>
            <w:rFonts w:ascii="Times New Roman" w:eastAsia="MS Gothic" w:hAnsi="Times New Roman"/>
            <w:sz w:val="12"/>
            <w:szCs w:val="27"/>
          </w:rPr>
          <w:t>n244</w:t>
        </w:r>
      </w:hyperlink>
      <w:r w:rsidRPr="00D654C1">
        <w:rPr>
          <w:rFonts w:eastAsia="Times New Roman"/>
          <w:color w:val="000000"/>
          <w:sz w:val="12"/>
          <w:szCs w:val="27"/>
        </w:rPr>
        <w:t xml:space="preserve"> yet it can be recast into the framework of the personality theory. From the Hegelian perspective, </w:t>
      </w:r>
      <w:r w:rsidRPr="00D654C1">
        <w:rPr>
          <w:rFonts w:ascii="Times New Roman" w:eastAsia="MS Gothic" w:hAnsi="Times New Roman"/>
          <w:highlight w:val="yellow"/>
          <w:u w:val="single"/>
        </w:rPr>
        <w:t>payments from</w:t>
      </w:r>
      <w:r w:rsidRPr="00D654C1">
        <w:rPr>
          <w:rFonts w:ascii="Times New Roman" w:eastAsia="MS Gothic" w:hAnsi="Times New Roman"/>
          <w:u w:val="single"/>
        </w:rPr>
        <w:t xml:space="preserve"> intellectual</w:t>
      </w:r>
      <w:r w:rsidRPr="00D654C1">
        <w:rPr>
          <w:rFonts w:ascii="Times New Roman" w:eastAsia="MS Gothic" w:hAnsi="Times New Roman"/>
          <w:highlight w:val="yellow"/>
          <w:u w:val="single"/>
        </w:rPr>
        <w:t xml:space="preserve"> property </w:t>
      </w:r>
      <w:r w:rsidRPr="00D654C1">
        <w:rPr>
          <w:rFonts w:ascii="Times New Roman" w:eastAsia="MS Gothic" w:hAnsi="Times New Roman"/>
          <w:u w:val="single"/>
        </w:rPr>
        <w:t xml:space="preserve">users to the property creator </w:t>
      </w:r>
      <w:r w:rsidRPr="00D654C1">
        <w:rPr>
          <w:rFonts w:ascii="Times New Roman" w:eastAsia="MS Gothic" w:hAnsi="Times New Roman"/>
          <w:highlight w:val="yellow"/>
          <w:u w:val="single"/>
        </w:rPr>
        <w:t>are acts of recognition.</w:t>
      </w:r>
      <w:r w:rsidRPr="00D654C1">
        <w:rPr>
          <w:rFonts w:eastAsia="Times New Roman"/>
          <w:color w:val="000000"/>
          <w:sz w:val="12"/>
          <w:szCs w:val="27"/>
        </w:rPr>
        <w:t xml:space="preserve"> These </w:t>
      </w:r>
      <w:r w:rsidRPr="00D654C1">
        <w:rPr>
          <w:rFonts w:ascii="Times New Roman" w:eastAsia="MS Gothic" w:hAnsi="Times New Roman"/>
          <w:u w:val="single"/>
        </w:rPr>
        <w:t xml:space="preserve">payments acknowledge the individual's claim over the property, and </w:t>
      </w:r>
      <w:r w:rsidRPr="00D654C1">
        <w:rPr>
          <w:rFonts w:ascii="Times New Roman" w:eastAsia="MS Gothic" w:hAnsi="Times New Roman"/>
          <w:highlight w:val="yellow"/>
          <w:u w:val="single"/>
        </w:rPr>
        <w:t>it is through</w:t>
      </w:r>
      <w:r w:rsidRPr="00D654C1">
        <w:rPr>
          <w:rFonts w:ascii="Times New Roman" w:eastAsia="MS Gothic" w:hAnsi="Times New Roman"/>
          <w:u w:val="single"/>
        </w:rPr>
        <w:t xml:space="preserve"> such </w:t>
      </w:r>
      <w:r w:rsidRPr="00D654C1">
        <w:rPr>
          <w:rFonts w:ascii="Times New Roman" w:eastAsia="MS Gothic" w:hAnsi="Times New Roman"/>
          <w:highlight w:val="yellow"/>
          <w:u w:val="single"/>
        </w:rPr>
        <w:t>acknowledgement that an individual is recognized by others as a person.</w:t>
      </w:r>
      <w:r w:rsidRPr="00D654C1">
        <w:rPr>
          <w:rFonts w:eastAsia="Times New Roman"/>
          <w:color w:val="000000"/>
          <w:sz w:val="12"/>
          <w:szCs w:val="27"/>
        </w:rPr>
        <w:t xml:space="preserve"> </w:t>
      </w:r>
      <w:hyperlink r:id="rId8" w:anchor="n245" w:history="1">
        <w:r w:rsidRPr="00D654C1">
          <w:rPr>
            <w:rFonts w:ascii="Times New Roman" w:eastAsia="MS Gothic" w:hAnsi="Times New Roman"/>
            <w:sz w:val="12"/>
            <w:szCs w:val="27"/>
          </w:rPr>
          <w:t>n245</w:t>
        </w:r>
      </w:hyperlink>
      <w:r w:rsidRPr="00D654C1">
        <w:rPr>
          <w:rFonts w:eastAsia="Times New Roman"/>
          <w:color w:val="000000"/>
          <w:sz w:val="12"/>
          <w:szCs w:val="27"/>
        </w:rPr>
        <w:t xml:space="preserve"> "Recognition" involves more than lip service. If I </w:t>
      </w:r>
      <w:proofErr w:type="gramStart"/>
      <w:r w:rsidRPr="00D654C1">
        <w:rPr>
          <w:rFonts w:eastAsia="Times New Roman"/>
          <w:color w:val="000000"/>
          <w:sz w:val="12"/>
          <w:szCs w:val="27"/>
        </w:rPr>
        <w:t>say</w:t>
      </w:r>
      <w:proofErr w:type="gramEnd"/>
      <w:r w:rsidRPr="00D654C1">
        <w:rPr>
          <w:rFonts w:eastAsia="Times New Roman"/>
          <w:color w:val="000000"/>
          <w:sz w:val="12"/>
          <w:szCs w:val="27"/>
        </w:rPr>
        <w:t xml:space="preserve">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D654C1">
        <w:rPr>
          <w:rFonts w:ascii="Times New Roman" w:eastAsia="MS Gothic" w:hAnsi="Times New Roman"/>
          <w:u w:val="single"/>
        </w:rPr>
        <w:t xml:space="preserve">this generation of </w:t>
      </w:r>
      <w:r w:rsidRPr="00D654C1">
        <w:rPr>
          <w:rFonts w:ascii="Times New Roman" w:eastAsia="MS Gothic" w:hAnsi="Times New Roman"/>
          <w:highlight w:val="yellow"/>
          <w:u w:val="single"/>
        </w:rPr>
        <w:t>income complements the personality theory</w:t>
      </w:r>
      <w:r w:rsidRPr="00D654C1">
        <w:rPr>
          <w:rFonts w:ascii="Times New Roman" w:eastAsia="MS Gothic" w:hAnsi="Times New Roman"/>
          <w:u w:val="single"/>
        </w:rPr>
        <w:t xml:space="preserve"> in </w:t>
      </w:r>
      <w:r w:rsidRPr="00D654C1">
        <w:rPr>
          <w:rFonts w:ascii="Times New Roman" w:eastAsia="MS Gothic" w:hAnsi="Times New Roman"/>
          <w:highlight w:val="yellow"/>
          <w:u w:val="single"/>
        </w:rPr>
        <w:t>as</w:t>
      </w:r>
      <w:r w:rsidRPr="00D654C1">
        <w:rPr>
          <w:rFonts w:ascii="Times New Roman" w:eastAsia="MS Gothic" w:hAnsi="Times New Roman"/>
          <w:u w:val="single"/>
        </w:rPr>
        <w:t xml:space="preserve"> much as </w:t>
      </w:r>
      <w:r w:rsidRPr="00D654C1">
        <w:rPr>
          <w:rFonts w:ascii="Times New Roman" w:eastAsia="MS Gothic" w:hAnsi="Times New Roman"/>
          <w:highlight w:val="yellow"/>
          <w:u w:val="single"/>
        </w:rPr>
        <w:t>income facilitates further expression.</w:t>
      </w:r>
      <w:r w:rsidRPr="00D654C1">
        <w:rPr>
          <w:rFonts w:ascii="Times New Roman" w:eastAsia="MS Gothic" w:hAnsi="Times New Roman"/>
          <w:u w:val="single"/>
        </w:rPr>
        <w:t xml:space="preserve"> </w:t>
      </w:r>
      <w:r w:rsidRPr="00D654C1">
        <w:rPr>
          <w:rFonts w:eastAsia="Times New Roman"/>
          <w:color w:val="000000"/>
          <w:sz w:val="12"/>
          <w:szCs w:val="27"/>
        </w:rPr>
        <w:t xml:space="preserve">When </w:t>
      </w:r>
      <w:r w:rsidRPr="00D654C1">
        <w:rPr>
          <w:rFonts w:ascii="Times New Roman" w:eastAsia="MS Gothic" w:hAnsi="Times New Roman"/>
          <w:highlight w:val="yellow"/>
          <w:u w:val="single"/>
        </w:rPr>
        <w:t>royalties from an invention</w:t>
      </w:r>
      <w:r w:rsidRPr="00D654C1">
        <w:rPr>
          <w:rFonts w:eastAsia="Times New Roman"/>
          <w:color w:val="000000"/>
          <w:sz w:val="12"/>
          <w:szCs w:val="27"/>
        </w:rPr>
        <w:t xml:space="preserve"> allow the inventor to buy a grand piano he has always wanted, the transaction helps </w:t>
      </w:r>
      <w:r w:rsidRPr="00D654C1">
        <w:rPr>
          <w:rFonts w:ascii="Times New Roman" w:eastAsia="MS Gothic" w:hAnsi="Times New Roman"/>
          <w:highlight w:val="yellow"/>
          <w:u w:val="single"/>
        </w:rPr>
        <w:t>maximize personality.</w:t>
      </w:r>
      <w:r w:rsidRPr="00D654C1">
        <w:rPr>
          <w:rFonts w:ascii="Times New Roman" w:eastAsia="MS Gothic" w:hAnsi="Times New Roman"/>
          <w:u w:val="single"/>
        </w:rPr>
        <w:t xml:space="preserve"> </w:t>
      </w:r>
      <w:r w:rsidRPr="00D654C1">
        <w:rPr>
          <w:rFonts w:eastAsia="Times New Roman"/>
          <w:color w:val="000000"/>
          <w:sz w:val="12"/>
          <w:szCs w:val="27"/>
        </w:rPr>
        <w:t xml:space="preserve">But this argument tends to be too broad. First, much income is used for </w:t>
      </w:r>
      <w:proofErr w:type="gramStart"/>
      <w:r w:rsidRPr="00D654C1">
        <w:rPr>
          <w:rFonts w:eastAsia="Times New Roman"/>
          <w:color w:val="000000"/>
          <w:sz w:val="12"/>
          <w:szCs w:val="27"/>
        </w:rPr>
        <w:t>basic necessities</w:t>
      </w:r>
      <w:proofErr w:type="gramEnd"/>
      <w:r w:rsidRPr="00D654C1">
        <w:rPr>
          <w:rFonts w:eastAsia="Times New Roman"/>
          <w:color w:val="000000"/>
          <w:sz w:val="12"/>
          <w:szCs w:val="27"/>
        </w:rPr>
        <w:t xml:space="preserve">,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D654C1">
        <w:rPr>
          <w:rFonts w:ascii="Times New Roman" w:eastAsia="MS Gothic" w:hAnsi="Times New Roman"/>
          <w:highlight w:val="yellow"/>
          <w:u w:val="single"/>
        </w:rPr>
        <w:t>copies</w:t>
      </w:r>
      <w:r w:rsidRPr="00D654C1">
        <w:rPr>
          <w:rFonts w:ascii="Times New Roman" w:eastAsia="MS Gothic" w:hAnsi="Times New Roman"/>
          <w:u w:val="single"/>
        </w:rPr>
        <w:t xml:space="preserve"> is perhaps the most rational way to </w:t>
      </w:r>
      <w:r w:rsidRPr="00D654C1">
        <w:rPr>
          <w:rFonts w:ascii="Times New Roman" w:eastAsia="MS Gothic" w:hAnsi="Times New Roman"/>
          <w:highlight w:val="yellow"/>
          <w:u w:val="single"/>
        </w:rPr>
        <w:t>gain exposure for one's ideas</w:t>
      </w:r>
      <w:r w:rsidRPr="00D654C1">
        <w:rPr>
          <w:rFonts w:ascii="Times New Roman" w:eastAsia="MS Gothic" w:hAnsi="Times New Roman"/>
          <w:u w:val="single"/>
        </w:rPr>
        <w:t>.</w:t>
      </w:r>
      <w:r w:rsidRPr="00D654C1">
        <w:rPr>
          <w:rFonts w:eastAsia="Times New Roman"/>
          <w:color w:val="000000"/>
          <w:sz w:val="12"/>
          <w:szCs w:val="27"/>
        </w:rPr>
        <w:t xml:space="preserve"> This is a non-economic, and perhaps higher, form of the idea of recognition: </w:t>
      </w:r>
      <w:r w:rsidRPr="00D654C1">
        <w:rPr>
          <w:rFonts w:ascii="Times New Roman" w:eastAsia="MS Gothic" w:hAnsi="Times New Roman"/>
          <w:highlight w:val="yellow"/>
          <w:u w:val="single"/>
        </w:rPr>
        <w:t>respect, honor, and admiration</w:t>
      </w:r>
      <w:r w:rsidRPr="00D654C1">
        <w:rPr>
          <w:rFonts w:eastAsia="Times New Roman"/>
          <w:color w:val="000000"/>
          <w:sz w:val="12"/>
          <w:szCs w:val="27"/>
          <w:highlight w:val="yellow"/>
        </w:rPr>
        <w:t>.</w:t>
      </w:r>
      <w:r w:rsidRPr="00D654C1">
        <w:rPr>
          <w:rFonts w:eastAsia="Times New Roman"/>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w:t>
      </w:r>
      <w:proofErr w:type="gramStart"/>
      <w:r w:rsidRPr="00D654C1">
        <w:rPr>
          <w:rFonts w:eastAsia="Times New Roman"/>
          <w:color w:val="000000"/>
          <w:sz w:val="12"/>
          <w:szCs w:val="27"/>
        </w:rPr>
        <w:t>and,</w:t>
      </w:r>
      <w:proofErr w:type="gramEnd"/>
      <w:r w:rsidRPr="00D654C1">
        <w:rPr>
          <w:rFonts w:eastAsia="Times New Roman"/>
          <w:color w:val="000000"/>
          <w:sz w:val="12"/>
          <w:szCs w:val="27"/>
        </w:rPr>
        <w:t xml:space="preserve"> second, the work must receive protection against any changes unintended or unapproved by the </w:t>
      </w:r>
      <w:proofErr w:type="spellStart"/>
      <w:r w:rsidRPr="00D654C1">
        <w:rPr>
          <w:rFonts w:eastAsia="Times New Roman"/>
          <w:color w:val="000000"/>
          <w:sz w:val="12"/>
          <w:szCs w:val="27"/>
        </w:rPr>
        <w:t>creator.VARA</w:t>
      </w:r>
      <w:proofErr w:type="spellEnd"/>
      <w:r w:rsidRPr="00D654C1">
        <w:rPr>
          <w:rFonts w:eastAsia="Times New Roman"/>
          <w:color w:val="000000"/>
          <w:sz w:val="12"/>
          <w:szCs w:val="27"/>
        </w:rPr>
        <w:t xml:space="preserve"> Hegel's prohibition of "complete" alienation of intellectual property appears to result from his recognition of the necessity for these two conditions. While he would permit alienation of copies, and even the rights to further reproduction, </w:t>
      </w:r>
      <w:hyperlink r:id="rId9" w:anchor="n246" w:history="1">
        <w:r w:rsidRPr="00D654C1">
          <w:rPr>
            <w:rFonts w:ascii="Times New Roman" w:eastAsia="MS Gothic" w:hAnsi="Times New Roman"/>
            <w:sz w:val="12"/>
            <w:szCs w:val="27"/>
          </w:rPr>
          <w:t>n246</w:t>
        </w:r>
      </w:hyperlink>
      <w:r w:rsidRPr="00D654C1">
        <w:rPr>
          <w:rFonts w:eastAsia="Times New Roman"/>
          <w:color w:val="000000"/>
          <w:sz w:val="12"/>
          <w:szCs w:val="27"/>
        </w:rPr>
        <w:t xml:space="preserve"> he disapproves alienation of "those goods, or rather substantive characteristics, which constitute . . . private personality and the universal essence of . . . self-consciousness." </w:t>
      </w:r>
      <w:hyperlink r:id="rId10" w:anchor="n247" w:history="1">
        <w:r w:rsidRPr="00D654C1">
          <w:rPr>
            <w:rFonts w:ascii="Times New Roman" w:eastAsia="MS Gothic" w:hAnsi="Times New Roman"/>
            <w:sz w:val="12"/>
            <w:szCs w:val="27"/>
          </w:rPr>
          <w:t>n247</w:t>
        </w:r>
      </w:hyperlink>
      <w:r w:rsidRPr="00D654C1">
        <w:rPr>
          <w:rFonts w:eastAsia="Times New Roman"/>
          <w:color w:val="000000"/>
          <w:sz w:val="12"/>
          <w:szCs w:val="27"/>
        </w:rPr>
        <w:t xml:space="preserve"> Such </w:t>
      </w:r>
      <w:r w:rsidRPr="00D654C1">
        <w:rPr>
          <w:rFonts w:ascii="Times New Roman" w:eastAsia="MS Gothic" w:hAnsi="Times New Roman"/>
          <w:highlight w:val="yellow"/>
          <w:u w:val="single"/>
        </w:rPr>
        <w:t>alienation</w:t>
      </w:r>
      <w:r w:rsidRPr="00D654C1">
        <w:rPr>
          <w:rFonts w:ascii="Times New Roman" w:eastAsia="MS Gothic" w:hAnsi="Times New Roman"/>
          <w:u w:val="single"/>
        </w:rPr>
        <w:t xml:space="preserve"> necessarily </w:t>
      </w:r>
      <w:r w:rsidRPr="00D654C1">
        <w:rPr>
          <w:rFonts w:ascii="Times New Roman" w:eastAsia="MS Gothic" w:hAnsi="Times New Roman"/>
          <w:highlight w:val="yellow"/>
          <w:u w:val="single"/>
        </w:rPr>
        <w:t>occurs if the recognition of the connection between a creator and his expression is destroyed or distorted</w:t>
      </w:r>
      <w:r w:rsidRPr="00D654C1">
        <w:rPr>
          <w:rFonts w:eastAsia="Times New Roman"/>
          <w:color w:val="000000"/>
          <w:sz w:val="12"/>
          <w:szCs w:val="27"/>
          <w:highlight w:val="yellow"/>
        </w:rPr>
        <w:t>.</w:t>
      </w:r>
      <w:r w:rsidRPr="00D654C1">
        <w:rPr>
          <w:rFonts w:eastAsia="Times New Roman"/>
          <w:color w:val="000000"/>
          <w:sz w:val="12"/>
          <w:szCs w:val="27"/>
        </w:rPr>
        <w:t xml:space="preserve"> When the first condition is violated, this recognition is destroyed; when the second condition is violated, it is distorted.</w:t>
      </w:r>
    </w:p>
    <w:p w14:paraId="3B8267ED" w14:textId="664CC7E2" w:rsidR="00C24197" w:rsidRDefault="00C24197" w:rsidP="00C24197">
      <w:pPr>
        <w:pStyle w:val="Heading2"/>
        <w:rPr>
          <w:rFonts w:eastAsia="Times New Roman"/>
        </w:rPr>
      </w:pPr>
      <w:r>
        <w:rPr>
          <w:rFonts w:eastAsia="Times New Roman"/>
        </w:rPr>
        <w:t>Shell</w:t>
      </w:r>
    </w:p>
    <w:p w14:paraId="5C6245DA" w14:textId="77777777" w:rsidR="00C24197" w:rsidRPr="00C24197" w:rsidRDefault="00C24197" w:rsidP="00C24197">
      <w:pPr>
        <w:pStyle w:val="Heading4"/>
      </w:pPr>
      <w:proofErr w:type="spellStart"/>
      <w:r w:rsidRPr="00C24197">
        <w:t>Interp</w:t>
      </w:r>
      <w:proofErr w:type="spellEnd"/>
      <w:r w:rsidRPr="00C24197">
        <w:t xml:space="preserve">: The affirmative debater may not claim that each affirmation is a possibility of negating. To clarify, </w:t>
      </w:r>
      <w:proofErr w:type="spellStart"/>
      <w:r w:rsidRPr="00C24197">
        <w:t>indexicals</w:t>
      </w:r>
      <w:proofErr w:type="spellEnd"/>
      <w:r w:rsidRPr="00C24197">
        <w:t xml:space="preserve"> is bad.</w:t>
      </w:r>
    </w:p>
    <w:p w14:paraId="411E93DD" w14:textId="77777777" w:rsidR="00C24197" w:rsidRPr="00C24197" w:rsidRDefault="00C24197" w:rsidP="00C24197">
      <w:pPr>
        <w:pStyle w:val="Heading4"/>
      </w:pPr>
      <w:r w:rsidRPr="00C24197">
        <w:t>Violation – the impact calc b point</w:t>
      </w:r>
    </w:p>
    <w:p w14:paraId="4D1B4CB1" w14:textId="77777777" w:rsidR="00C24197" w:rsidRPr="00C24197" w:rsidRDefault="00C24197" w:rsidP="00C24197">
      <w:pPr>
        <w:pStyle w:val="Heading4"/>
      </w:pPr>
      <w:r w:rsidRPr="00C24197">
        <w:t>Negate:</w:t>
      </w:r>
    </w:p>
    <w:p w14:paraId="2B5A001D" w14:textId="77777777" w:rsidR="00C24197" w:rsidRPr="00C24197" w:rsidRDefault="00C24197" w:rsidP="00C24197">
      <w:pPr>
        <w:pStyle w:val="Heading4"/>
      </w:pPr>
      <w:r w:rsidRPr="00C24197">
        <w:t>~1~ infinite abuse – there are infinite potential indexes that could affirm including descriptive standards that are impossible to turn and allowing them to win if they affirm under any index makes it impossible to negate – they can introduce a new descriptive index in the 1ar and auto-win which means it’s impossible to beat them. strongest internal link to fairness since one side wins every round.</w:t>
      </w:r>
    </w:p>
    <w:p w14:paraId="2A9D19F2" w14:textId="3D10F8EA" w:rsidR="00C24197" w:rsidRPr="00C24197" w:rsidRDefault="00C24197" w:rsidP="00C24197">
      <w:pPr>
        <w:pStyle w:val="Heading4"/>
      </w:pPr>
      <w:r w:rsidRPr="00C24197">
        <w:t xml:space="preserve">~2~ accessibility – </w:t>
      </w:r>
      <w:proofErr w:type="spellStart"/>
      <w:r w:rsidRPr="00C24197">
        <w:t>indexicals</w:t>
      </w:r>
      <w:proofErr w:type="spellEnd"/>
      <w:r w:rsidRPr="00C24197">
        <w:t xml:space="preserve"> justifies horrible things, </w:t>
      </w:r>
      <w:proofErr w:type="gramStart"/>
      <w:r w:rsidRPr="00C24197">
        <w:t>i.e.</w:t>
      </w:r>
      <w:proofErr w:type="gramEnd"/>
      <w:r w:rsidRPr="00C24197">
        <w:t xml:space="preserve"> if the resolution was "slavery ought to be reinstated," under a certain index, that would affirm such as "consistency with reinstating slavery,"</w:t>
      </w:r>
    </w:p>
    <w:p w14:paraId="73A948A6" w14:textId="603E1298" w:rsidR="00D654C1" w:rsidRDefault="00D654C1" w:rsidP="00D654C1">
      <w:pPr>
        <w:pStyle w:val="Heading2"/>
      </w:pPr>
      <w:r>
        <w:t>Case</w:t>
      </w:r>
    </w:p>
    <w:p w14:paraId="485C3FAA" w14:textId="7DF4F2A7" w:rsidR="00812307" w:rsidRDefault="00812307" w:rsidP="00812307">
      <w:pPr>
        <w:pStyle w:val="Heading3"/>
      </w:pPr>
      <w:r>
        <w:t>OV</w:t>
      </w:r>
    </w:p>
    <w:p w14:paraId="64FEFC62" w14:textId="4D5E8346" w:rsidR="00D654C1" w:rsidRDefault="001F73F6" w:rsidP="001F73F6">
      <w:pPr>
        <w:pStyle w:val="Heading3"/>
      </w:pPr>
      <w:r>
        <w:t>Framing</w:t>
      </w:r>
    </w:p>
    <w:p w14:paraId="49023A55" w14:textId="09035405" w:rsidR="00D201DB" w:rsidRPr="00D201DB" w:rsidRDefault="00812307" w:rsidP="00CA25C4">
      <w:pPr>
        <w:pStyle w:val="Heading3"/>
      </w:pPr>
      <w:r>
        <w:t>Kant negates</w:t>
      </w:r>
    </w:p>
    <w:sectPr w:rsidR="00D201DB" w:rsidRPr="00D201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54C1"/>
    <w:rsid w:val="000139A3"/>
    <w:rsid w:val="000C4C20"/>
    <w:rsid w:val="00100833"/>
    <w:rsid w:val="00104529"/>
    <w:rsid w:val="00105942"/>
    <w:rsid w:val="00107396"/>
    <w:rsid w:val="00144A4C"/>
    <w:rsid w:val="00176AB0"/>
    <w:rsid w:val="00177B7D"/>
    <w:rsid w:val="0018322D"/>
    <w:rsid w:val="001B5776"/>
    <w:rsid w:val="001E527A"/>
    <w:rsid w:val="001F73F6"/>
    <w:rsid w:val="001F78CE"/>
    <w:rsid w:val="002202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B1CBF"/>
    <w:rsid w:val="007F5B66"/>
    <w:rsid w:val="00812307"/>
    <w:rsid w:val="00823A1C"/>
    <w:rsid w:val="00845B9D"/>
    <w:rsid w:val="00860984"/>
    <w:rsid w:val="008B3ECB"/>
    <w:rsid w:val="008B4E85"/>
    <w:rsid w:val="008C1B2E"/>
    <w:rsid w:val="0091627E"/>
    <w:rsid w:val="00931E66"/>
    <w:rsid w:val="009466C4"/>
    <w:rsid w:val="0097032B"/>
    <w:rsid w:val="009D2EAD"/>
    <w:rsid w:val="009D54B2"/>
    <w:rsid w:val="009E1922"/>
    <w:rsid w:val="009F7ED2"/>
    <w:rsid w:val="00A93661"/>
    <w:rsid w:val="00A95652"/>
    <w:rsid w:val="00AC0AB8"/>
    <w:rsid w:val="00B33C6D"/>
    <w:rsid w:val="00B4508F"/>
    <w:rsid w:val="00B55A73"/>
    <w:rsid w:val="00B55AD5"/>
    <w:rsid w:val="00B8057C"/>
    <w:rsid w:val="00BD6238"/>
    <w:rsid w:val="00BF593B"/>
    <w:rsid w:val="00BF773A"/>
    <w:rsid w:val="00BF7E81"/>
    <w:rsid w:val="00C02D0B"/>
    <w:rsid w:val="00C13773"/>
    <w:rsid w:val="00C17CC8"/>
    <w:rsid w:val="00C24197"/>
    <w:rsid w:val="00C83417"/>
    <w:rsid w:val="00C9604F"/>
    <w:rsid w:val="00CA19AA"/>
    <w:rsid w:val="00CA25C4"/>
    <w:rsid w:val="00CC5298"/>
    <w:rsid w:val="00CD736E"/>
    <w:rsid w:val="00CD798D"/>
    <w:rsid w:val="00CE161E"/>
    <w:rsid w:val="00CF59A8"/>
    <w:rsid w:val="00D201DB"/>
    <w:rsid w:val="00D325A9"/>
    <w:rsid w:val="00D36A8A"/>
    <w:rsid w:val="00D61409"/>
    <w:rsid w:val="00D654C1"/>
    <w:rsid w:val="00D6691E"/>
    <w:rsid w:val="00D71170"/>
    <w:rsid w:val="00DA1C92"/>
    <w:rsid w:val="00DA25D4"/>
    <w:rsid w:val="00DA6538"/>
    <w:rsid w:val="00E04BAA"/>
    <w:rsid w:val="00E15E75"/>
    <w:rsid w:val="00E5262C"/>
    <w:rsid w:val="00EC7DC4"/>
    <w:rsid w:val="00ED30CF"/>
    <w:rsid w:val="00F176EF"/>
    <w:rsid w:val="00F45E10"/>
    <w:rsid w:val="00F6364A"/>
    <w:rsid w:val="00F8573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EC2C"/>
  <w15:chartTrackingRefBased/>
  <w15:docId w15:val="{40BC75C2-7E21-4BBA-9CB2-6A6AB44D4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01DB"/>
    <w:rPr>
      <w:rFonts w:ascii="Calibri" w:hAnsi="Calibri" w:cs="Calibri"/>
    </w:rPr>
  </w:style>
  <w:style w:type="paragraph" w:styleId="Heading1">
    <w:name w:val="heading 1"/>
    <w:aliases w:val="Pocket"/>
    <w:basedOn w:val="Normal"/>
    <w:next w:val="Normal"/>
    <w:link w:val="Heading1Char"/>
    <w:qFormat/>
    <w:rsid w:val="00D654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54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54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654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54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4C1"/>
  </w:style>
  <w:style w:type="character" w:customStyle="1" w:styleId="Heading1Char">
    <w:name w:val="Heading 1 Char"/>
    <w:aliases w:val="Pocket Char"/>
    <w:basedOn w:val="DefaultParagraphFont"/>
    <w:link w:val="Heading1"/>
    <w:rsid w:val="00D654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54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54C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654C1"/>
    <w:rPr>
      <w:rFonts w:ascii="Calibri" w:eastAsiaTheme="majorEastAsia" w:hAnsi="Calibri" w:cstheme="majorBidi"/>
      <w:b/>
      <w:iCs/>
      <w:sz w:val="26"/>
    </w:rPr>
  </w:style>
  <w:style w:type="character" w:styleId="Emphasis">
    <w:name w:val="Emphasis"/>
    <w:basedOn w:val="DefaultParagraphFont"/>
    <w:uiPriority w:val="7"/>
    <w:qFormat/>
    <w:rsid w:val="00D654C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D654C1"/>
    <w:rPr>
      <w:b/>
      <w:bCs/>
      <w:sz w:val="26"/>
      <w:u w:val="single"/>
    </w:rPr>
  </w:style>
  <w:style w:type="character" w:customStyle="1" w:styleId="StyleUnderline">
    <w:name w:val="Style Underline"/>
    <w:aliases w:val="Underline"/>
    <w:basedOn w:val="DefaultParagraphFont"/>
    <w:uiPriority w:val="6"/>
    <w:qFormat/>
    <w:rsid w:val="00D654C1"/>
    <w:rPr>
      <w:b w:val="0"/>
      <w:sz w:val="22"/>
      <w:u w:val="single"/>
    </w:rPr>
  </w:style>
  <w:style w:type="character" w:styleId="Hyperlink">
    <w:name w:val="Hyperlink"/>
    <w:basedOn w:val="DefaultParagraphFont"/>
    <w:uiPriority w:val="99"/>
    <w:semiHidden/>
    <w:unhideWhenUsed/>
    <w:rsid w:val="00D654C1"/>
    <w:rPr>
      <w:color w:val="auto"/>
      <w:u w:val="none"/>
    </w:rPr>
  </w:style>
  <w:style w:type="character" w:styleId="FollowedHyperlink">
    <w:name w:val="FollowedHyperlink"/>
    <w:basedOn w:val="DefaultParagraphFont"/>
    <w:uiPriority w:val="99"/>
    <w:semiHidden/>
    <w:unhideWhenUsed/>
    <w:rsid w:val="00D654C1"/>
    <w:rPr>
      <w:color w:val="auto"/>
      <w:u w:val="none"/>
    </w:rPr>
  </w:style>
  <w:style w:type="paragraph" w:styleId="ListParagraph">
    <w:name w:val="List Paragraph"/>
    <w:basedOn w:val="Normal"/>
    <w:uiPriority w:val="99"/>
    <w:unhideWhenUsed/>
    <w:qFormat/>
    <w:rsid w:val="001F73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harvard.edu/IPCoop/88hugh2.html" TargetMode="External"/><Relationship Id="rId3" Type="http://schemas.openxmlformats.org/officeDocument/2006/relationships/styles" Target="styles.xml"/><Relationship Id="rId7" Type="http://schemas.openxmlformats.org/officeDocument/2006/relationships/hyperlink" Target="https://cyber.harvard.edu/IPCoop/88hugh2.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itannica.com/topic/Kantianis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yber.harvard.edu/IPCoop/88hugh2.html" TargetMode="External"/><Relationship Id="rId4" Type="http://schemas.openxmlformats.org/officeDocument/2006/relationships/settings" Target="settings.xml"/><Relationship Id="rId9" Type="http://schemas.openxmlformats.org/officeDocument/2006/relationships/hyperlink" Target="https://cyber.harvard.edu/IPCoop/88hugh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2181</Words>
  <Characters>12437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2022-01-08T19:14:00Z</dcterms:created>
  <dcterms:modified xsi:type="dcterms:W3CDTF">2022-01-08T20:38:00Z</dcterms:modified>
</cp:coreProperties>
</file>