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AFB2E7" w14:textId="77777777" w:rsidR="005E33D2" w:rsidRDefault="005E33D2" w:rsidP="005E33D2">
      <w:pPr>
        <w:pStyle w:val="Heading2"/>
      </w:pPr>
      <w:r>
        <w:t>Shell</w:t>
      </w:r>
    </w:p>
    <w:p w14:paraId="1F6F4E91" w14:textId="77777777" w:rsidR="005E33D2" w:rsidRPr="00AF469D" w:rsidRDefault="005E33D2" w:rsidP="005E33D2">
      <w:pPr>
        <w:keepNext/>
        <w:keepLines/>
        <w:spacing w:before="40" w:after="0" w:line="240" w:lineRule="auto"/>
        <w:outlineLvl w:val="3"/>
        <w:rPr>
          <w:rFonts w:eastAsia="MS Gothic" w:cs="Times New Roman"/>
          <w:b/>
          <w:iCs/>
          <w:sz w:val="26"/>
        </w:rPr>
      </w:pPr>
      <w:r w:rsidRPr="00AF469D">
        <w:rPr>
          <w:rFonts w:eastAsia="MS Gothic" w:cs="Times New Roman"/>
          <w:b/>
          <w:iCs/>
          <w:sz w:val="26"/>
        </w:rPr>
        <w:t xml:space="preserve">A. Interpretation: Debaters must disclose </w:t>
      </w:r>
      <w:r>
        <w:rPr>
          <w:rFonts w:eastAsia="MS Gothic" w:cs="Times New Roman"/>
          <w:b/>
          <w:iCs/>
          <w:sz w:val="26"/>
        </w:rPr>
        <w:t>their contact information on the 2021-2022</w:t>
      </w:r>
      <w:r w:rsidRPr="00AF469D">
        <w:rPr>
          <w:rFonts w:eastAsia="MS Gothic" w:cs="Times New Roman"/>
          <w:b/>
          <w:iCs/>
          <w:sz w:val="26"/>
        </w:rPr>
        <w:t xml:space="preserve"> NDCA</w:t>
      </w:r>
      <w:r>
        <w:rPr>
          <w:rFonts w:eastAsia="MS Gothic" w:cs="Times New Roman"/>
          <w:b/>
          <w:iCs/>
          <w:sz w:val="26"/>
        </w:rPr>
        <w:t xml:space="preserve"> LD</w:t>
      </w:r>
      <w:r w:rsidRPr="00AF469D">
        <w:rPr>
          <w:rFonts w:eastAsia="MS Gothic" w:cs="Times New Roman"/>
          <w:b/>
          <w:iCs/>
          <w:sz w:val="26"/>
        </w:rPr>
        <w:t xml:space="preserve"> wiki page</w:t>
      </w:r>
      <w:r>
        <w:rPr>
          <w:rFonts w:eastAsia="MS Gothic" w:cs="Times New Roman"/>
          <w:b/>
          <w:iCs/>
          <w:sz w:val="26"/>
        </w:rPr>
        <w:t xml:space="preserve"> </w:t>
      </w:r>
      <w:r w:rsidRPr="00AF469D">
        <w:rPr>
          <w:rFonts w:eastAsia="MS Gothic" w:cs="Times New Roman"/>
          <w:b/>
          <w:iCs/>
          <w:sz w:val="26"/>
        </w:rPr>
        <w:t>under their own name</w:t>
      </w:r>
      <w:r>
        <w:rPr>
          <w:rFonts w:eastAsia="MS Gothic" w:cs="Times New Roman"/>
          <w:b/>
          <w:iCs/>
          <w:sz w:val="26"/>
        </w:rPr>
        <w:t>.</w:t>
      </w:r>
    </w:p>
    <w:p w14:paraId="0C25D3E4" w14:textId="77777777" w:rsidR="005E33D2" w:rsidRDefault="005E33D2" w:rsidP="005E33D2">
      <w:pPr>
        <w:keepNext/>
        <w:keepLines/>
        <w:spacing w:before="40" w:after="0" w:line="240" w:lineRule="auto"/>
        <w:outlineLvl w:val="3"/>
        <w:rPr>
          <w:rFonts w:eastAsia="MS Gothic" w:cs="Times New Roman"/>
          <w:b/>
          <w:iCs/>
          <w:sz w:val="26"/>
        </w:rPr>
      </w:pPr>
      <w:r w:rsidRPr="00AF469D">
        <w:rPr>
          <w:rFonts w:eastAsia="MS Gothic" w:cs="Times New Roman"/>
          <w:b/>
          <w:iCs/>
          <w:sz w:val="26"/>
        </w:rPr>
        <w:t xml:space="preserve">B. Violation: </w:t>
      </w:r>
      <w:r>
        <w:rPr>
          <w:rFonts w:eastAsia="MS Gothic" w:cs="Times New Roman"/>
          <w:b/>
          <w:iCs/>
          <w:sz w:val="26"/>
        </w:rPr>
        <w:t>You don’t have contact info</w:t>
      </w:r>
    </w:p>
    <w:p w14:paraId="223E82AF" w14:textId="77777777" w:rsidR="005E33D2" w:rsidRPr="00AF469D" w:rsidRDefault="005E33D2" w:rsidP="005E33D2">
      <w:pPr>
        <w:keepNext/>
        <w:keepLines/>
        <w:spacing w:before="40" w:after="0" w:line="240" w:lineRule="auto"/>
        <w:outlineLvl w:val="3"/>
        <w:rPr>
          <w:rFonts w:eastAsia="MS Gothic" w:cs="Times New Roman"/>
          <w:b/>
          <w:iCs/>
          <w:sz w:val="26"/>
        </w:rPr>
      </w:pPr>
      <w:r>
        <w:rPr>
          <w:rFonts w:eastAsia="MS Gothic" w:cs="Times New Roman"/>
          <w:b/>
          <w:iCs/>
          <w:noProof/>
          <w:sz w:val="26"/>
        </w:rPr>
        <w:drawing>
          <wp:inline distT="0" distB="0" distL="0" distR="0" wp14:anchorId="6B5F708C" wp14:editId="476DA7C4">
            <wp:extent cx="12194540" cy="6862445"/>
            <wp:effectExtent l="0" t="0" r="0" b="0"/>
            <wp:docPr id="3" name="Picture 3"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194540" cy="6862445"/>
                    </a:xfrm>
                    <a:prstGeom prst="rect">
                      <a:avLst/>
                    </a:prstGeom>
                    <a:noFill/>
                    <a:ln>
                      <a:noFill/>
                    </a:ln>
                  </pic:spPr>
                </pic:pic>
              </a:graphicData>
            </a:graphic>
          </wp:inline>
        </w:drawing>
      </w:r>
    </w:p>
    <w:p w14:paraId="53283789" w14:textId="77777777" w:rsidR="005E33D2" w:rsidRPr="00AF469D" w:rsidRDefault="005E33D2" w:rsidP="005E33D2">
      <w:pPr>
        <w:keepNext/>
        <w:keepLines/>
        <w:spacing w:before="40" w:after="0" w:line="240" w:lineRule="auto"/>
        <w:outlineLvl w:val="3"/>
        <w:rPr>
          <w:rFonts w:eastAsia="MS Gothic" w:cs="Times New Roman"/>
          <w:b/>
          <w:iCs/>
          <w:sz w:val="26"/>
        </w:rPr>
      </w:pPr>
      <w:r w:rsidRPr="00AF469D">
        <w:rPr>
          <w:rFonts w:eastAsia="MS Gothic" w:cs="Times New Roman"/>
          <w:b/>
          <w:iCs/>
          <w:sz w:val="26"/>
        </w:rPr>
        <w:t>C. Standards:</w:t>
      </w:r>
    </w:p>
    <w:p w14:paraId="48E752F1" w14:textId="77777777" w:rsidR="005E33D2" w:rsidRPr="00E37C20" w:rsidRDefault="005E33D2" w:rsidP="005E33D2">
      <w:pPr>
        <w:pStyle w:val="Heading4"/>
        <w:rPr>
          <w:rFonts w:eastAsia="MS Gothic"/>
        </w:rPr>
      </w:pPr>
      <w:r w:rsidRPr="00E37C20">
        <w:rPr>
          <w:rFonts w:eastAsia="MS Gothic"/>
        </w:rPr>
        <w:t>Standards:</w:t>
      </w:r>
    </w:p>
    <w:p w14:paraId="6D65CF06" w14:textId="044EB3E3" w:rsidR="005E33D2" w:rsidRPr="00E37C20" w:rsidRDefault="005E33D2" w:rsidP="005E33D2">
      <w:pPr>
        <w:pStyle w:val="Heading4"/>
        <w:rPr>
          <w:rFonts w:eastAsia="MS Gothic"/>
        </w:rPr>
      </w:pPr>
      <w:r w:rsidRPr="00E37C20">
        <w:rPr>
          <w:rFonts w:eastAsia="MS Gothic"/>
        </w:rPr>
        <w:t>1</w:t>
      </w:r>
      <w:r>
        <w:rPr>
          <w:rFonts w:eastAsia="MS Gothic"/>
        </w:rPr>
        <w:t>]</w:t>
      </w:r>
      <w:r w:rsidRPr="00E37C20">
        <w:rPr>
          <w:rFonts w:eastAsia="MS Gothic"/>
        </w:rPr>
        <w:t xml:space="preserve"> Safety – contact info's the only way to check trigger warnings before the round for what debaters are comfortable reading, anything else creates a hostile environment – for example, checking about scenes of violence authors may mention. Safety is a voting issue – we can't debate unless we feel safe to do so.</w:t>
      </w:r>
    </w:p>
    <w:p w14:paraId="1A0829DD" w14:textId="17EAA521" w:rsidR="005E33D2" w:rsidRDefault="005E33D2" w:rsidP="005E33D2">
      <w:pPr>
        <w:pStyle w:val="Heading4"/>
        <w:rPr>
          <w:rFonts w:eastAsia="MS Gothic"/>
        </w:rPr>
      </w:pPr>
      <w:r w:rsidRPr="00E37C20">
        <w:rPr>
          <w:rFonts w:eastAsia="MS Gothic"/>
        </w:rPr>
        <w:t>2</w:t>
      </w:r>
      <w:r>
        <w:rPr>
          <w:rFonts w:eastAsia="MS Gothic"/>
        </w:rPr>
        <w:t>]</w:t>
      </w:r>
      <w:r w:rsidRPr="00E37C20">
        <w:rPr>
          <w:rFonts w:eastAsia="MS Gothic"/>
        </w:rPr>
        <w:t xml:space="preserve"> Disclosure – Contact info is necessary to contact the other debater before the round – that's good – creates more nuanced argumentation since we have time to research and rigorously test arguments – even if disclosure is bad – we should have the opportunity to debate that in round.</w:t>
      </w:r>
    </w:p>
    <w:p w14:paraId="1FCDB137" w14:textId="5D5A23FF" w:rsidR="005E33D2" w:rsidRPr="00E57843" w:rsidRDefault="005E33D2" w:rsidP="00E57843">
      <w:pPr>
        <w:pStyle w:val="Heading4"/>
        <w:rPr>
          <w:shd w:val="clear" w:color="auto" w:fill="FFFFFF"/>
        </w:rPr>
      </w:pPr>
      <w:r>
        <w:rPr>
          <w:shd w:val="clear" w:color="auto" w:fill="FFFFFF"/>
        </w:rPr>
        <w:t xml:space="preserve">3] Novice Inclusion – gives novices </w:t>
      </w:r>
      <w:r>
        <w:rPr>
          <w:shd w:val="clear" w:color="auto" w:fill="FFFFFF"/>
        </w:rPr>
        <w:t>a way to contact you about your positions and learn from them and debaters would tell you before round about triggering positions that you’ve read before. Independent voter because inclusion is a gateway issue for debate to occur in the first place</w:t>
      </w:r>
      <w:r>
        <w:br/>
      </w:r>
      <w:r w:rsidR="00E57843">
        <w:rPr>
          <w:shd w:val="clear" w:color="auto" w:fill="FFFFFF"/>
        </w:rPr>
        <w:t>F,E</w:t>
      </w:r>
    </w:p>
    <w:p w14:paraId="7E2B807D" w14:textId="77777777" w:rsidR="005E33D2" w:rsidRPr="00007EC7" w:rsidRDefault="005E33D2" w:rsidP="005E33D2">
      <w:pPr>
        <w:pStyle w:val="Heading2"/>
      </w:pPr>
      <w:r>
        <w:t>Framework</w:t>
      </w:r>
    </w:p>
    <w:p w14:paraId="65ED2788" w14:textId="77777777" w:rsidR="005E33D2" w:rsidRPr="002549D1" w:rsidRDefault="005E33D2" w:rsidP="005E33D2">
      <w:pPr>
        <w:keepNext/>
        <w:keepLines/>
        <w:spacing w:before="40" w:after="0"/>
        <w:outlineLvl w:val="3"/>
        <w:rPr>
          <w:rFonts w:eastAsia="MS Gothic"/>
          <w:b/>
          <w:iCs/>
          <w:sz w:val="26"/>
        </w:rPr>
      </w:pPr>
      <w:r w:rsidRPr="002549D1">
        <w:rPr>
          <w:rFonts w:eastAsia="MS Gothic"/>
          <w:b/>
          <w:iCs/>
          <w:sz w:val="26"/>
        </w:rPr>
        <w:t xml:space="preserve">Volition, or the structure of the will, is a pre-condition for ethics and has intrinsic value – A) Proceduralism – the will is the mechanism by which every agent engages in any activity, which means regardless of the content of any ethical theory, the ability to will that theory is an intrinsic good B) Motivation – the structure of the will is the primary source of all our desires, reasons, and beliefs since it generates what counts as motivational to the subject C) Identity – the nature of the will is most constitutive to the creation of the subject since it determines what each subject considers intrinsic to its identity and what exists externally as an façade. </w:t>
      </w:r>
    </w:p>
    <w:p w14:paraId="56126A71" w14:textId="77777777" w:rsidR="005E33D2" w:rsidRPr="002549D1" w:rsidRDefault="005E33D2" w:rsidP="005E33D2">
      <w:pPr>
        <w:rPr>
          <w:rFonts w:eastAsia="Cambria"/>
          <w:b/>
        </w:rPr>
      </w:pPr>
    </w:p>
    <w:p w14:paraId="1B8A4952" w14:textId="77777777" w:rsidR="005E33D2" w:rsidRPr="002549D1" w:rsidRDefault="005E33D2" w:rsidP="005E33D2">
      <w:pPr>
        <w:keepNext/>
        <w:keepLines/>
        <w:spacing w:before="40" w:after="0"/>
        <w:outlineLvl w:val="3"/>
        <w:rPr>
          <w:rFonts w:eastAsia="MS Gothic"/>
          <w:b/>
          <w:iCs/>
          <w:sz w:val="26"/>
        </w:rPr>
      </w:pPr>
      <w:r w:rsidRPr="002549D1">
        <w:rPr>
          <w:rFonts w:eastAsia="MS Gothic"/>
          <w:b/>
          <w:iCs/>
          <w:sz w:val="26"/>
        </w:rPr>
        <w:t xml:space="preserve">However, ethical theories to evaluate the will face a dilemma – they are either paternally objectivist to the extent they restrict the will, or they are weakened by subjectivism to the extent that it’s impossible to make true moral claims. The only solution is a concept of alienation that understands the will in a functional capacity to relate to itself and the world – a criterion that is concerned with how one wills, rather than what one wills. Understanding the functionality of the will is impossible in a vacuum. This culminates in the act of appropriation – the ability to view yourself as a practical agent capable of taking up a project that actively changes your own subject and the role itself. </w:t>
      </w:r>
    </w:p>
    <w:p w14:paraId="232B8138" w14:textId="77777777" w:rsidR="005E33D2" w:rsidRPr="002549D1" w:rsidRDefault="005E33D2" w:rsidP="005E33D2">
      <w:pPr>
        <w:rPr>
          <w:rFonts w:eastAsia="Cambria"/>
        </w:rPr>
      </w:pPr>
    </w:p>
    <w:p w14:paraId="5708FE2F" w14:textId="77777777" w:rsidR="005E33D2" w:rsidRPr="002549D1" w:rsidRDefault="005E33D2" w:rsidP="005E33D2">
      <w:pPr>
        <w:keepNext/>
        <w:keepLines/>
        <w:spacing w:before="40" w:after="0"/>
        <w:outlineLvl w:val="3"/>
        <w:rPr>
          <w:rFonts w:eastAsia="MS Gothic"/>
          <w:b/>
          <w:iCs/>
          <w:sz w:val="26"/>
        </w:rPr>
      </w:pPr>
      <w:r w:rsidRPr="002549D1">
        <w:rPr>
          <w:rFonts w:eastAsia="MS Gothic"/>
          <w:b/>
          <w:iCs/>
          <w:sz w:val="26"/>
        </w:rPr>
        <w:t xml:space="preserve">Thus, the standard is consistency with non-alienated relations. Only this coheres the nature of who you are and prevents psychological violence. </w:t>
      </w:r>
    </w:p>
    <w:p w14:paraId="0F0C3DCC" w14:textId="77777777" w:rsidR="005E33D2" w:rsidRPr="002549D1" w:rsidRDefault="005E33D2" w:rsidP="005E33D2">
      <w:pPr>
        <w:keepNext/>
        <w:keepLines/>
        <w:spacing w:before="40" w:after="0"/>
        <w:outlineLvl w:val="3"/>
        <w:rPr>
          <w:rFonts w:eastAsia="MS Gothic"/>
          <w:b/>
          <w:iCs/>
          <w:sz w:val="26"/>
        </w:rPr>
      </w:pPr>
      <w:r w:rsidRPr="002549D1">
        <w:rPr>
          <w:rFonts w:eastAsia="MS Gothic"/>
          <w:b/>
          <w:iCs/>
          <w:sz w:val="26"/>
        </w:rPr>
        <w:t xml:space="preserve">Prefer additionally – </w:t>
      </w:r>
    </w:p>
    <w:p w14:paraId="63AB8416" w14:textId="77777777" w:rsidR="005E33D2" w:rsidRPr="00BB51A4" w:rsidRDefault="005E33D2" w:rsidP="005E33D2">
      <w:pPr>
        <w:keepNext/>
        <w:keepLines/>
        <w:spacing w:before="40" w:after="0"/>
        <w:outlineLvl w:val="3"/>
        <w:rPr>
          <w:rFonts w:eastAsia="Times New Roman" w:cs="Times New Roman"/>
          <w:b/>
          <w:iCs/>
          <w:sz w:val="26"/>
        </w:rPr>
      </w:pPr>
      <w:r w:rsidRPr="00BB51A4">
        <w:rPr>
          <w:rFonts w:eastAsia="Times New Roman"/>
          <w:b/>
          <w:iCs/>
          <w:sz w:val="26"/>
        </w:rPr>
        <w:t xml:space="preserve">1. </w:t>
      </w:r>
      <w:r>
        <w:rPr>
          <w:rFonts w:eastAsia="Times New Roman" w:cs="Times New Roman"/>
          <w:b/>
          <w:iCs/>
          <w:sz w:val="26"/>
        </w:rPr>
        <w:t>Debatability</w:t>
      </w:r>
      <w:r w:rsidRPr="00BB51A4">
        <w:rPr>
          <w:rFonts w:eastAsia="Times New Roman" w:cs="Times New Roman"/>
          <w:b/>
          <w:iCs/>
          <w:sz w:val="26"/>
        </w:rPr>
        <w:t xml:space="preserve"> –  Every exercise you engage in is an instance of using your volition to establish some relation to the world and only non-alienation can establish that relationship as normatively legitimate. </w:t>
      </w:r>
    </w:p>
    <w:p w14:paraId="45F73D0C" w14:textId="77777777" w:rsidR="005E33D2" w:rsidRPr="00BB51A4" w:rsidRDefault="005E33D2" w:rsidP="005E33D2">
      <w:pPr>
        <w:keepNext/>
        <w:keepLines/>
        <w:spacing w:before="40" w:after="0"/>
        <w:outlineLvl w:val="3"/>
        <w:rPr>
          <w:rFonts w:eastAsia="Times New Roman"/>
          <w:b/>
          <w:iCs/>
          <w:sz w:val="26"/>
        </w:rPr>
      </w:pPr>
      <w:r w:rsidRPr="00BB51A4">
        <w:rPr>
          <w:rFonts w:eastAsia="Times New Roman"/>
          <w:b/>
          <w:iCs/>
          <w:sz w:val="26"/>
        </w:rPr>
        <w:t xml:space="preserve">2. Action theory – Only viewing an agent as an active body capable of generating intentions can hold agents culpable and decipher the difference between actions and wishes. That’s a necessary feature of ethics since we must be able to warrant a coherent conception of what motivates our actions </w:t>
      </w:r>
      <w:proofErr w:type="gramStart"/>
      <w:r w:rsidRPr="00BB51A4">
        <w:rPr>
          <w:rFonts w:eastAsia="Times New Roman"/>
          <w:b/>
          <w:iCs/>
          <w:sz w:val="26"/>
        </w:rPr>
        <w:t>in order to</w:t>
      </w:r>
      <w:proofErr w:type="gramEnd"/>
      <w:r w:rsidRPr="00BB51A4">
        <w:rPr>
          <w:rFonts w:eastAsia="Times New Roman"/>
          <w:b/>
          <w:iCs/>
          <w:sz w:val="26"/>
        </w:rPr>
        <w:t xml:space="preserve"> provide a method to actually implement ethical principles. </w:t>
      </w:r>
    </w:p>
    <w:p w14:paraId="38EDD545" w14:textId="77777777" w:rsidR="005E33D2" w:rsidRPr="00BB51A4" w:rsidRDefault="005E33D2" w:rsidP="005E33D2">
      <w:pPr>
        <w:keepNext/>
        <w:keepLines/>
        <w:spacing w:before="40" w:after="0"/>
        <w:outlineLvl w:val="3"/>
        <w:rPr>
          <w:rFonts w:eastAsia="Times New Roman"/>
          <w:b/>
          <w:iCs/>
          <w:sz w:val="26"/>
        </w:rPr>
      </w:pPr>
      <w:r w:rsidRPr="00BB51A4">
        <w:rPr>
          <w:rFonts w:eastAsia="Times New Roman"/>
          <w:b/>
          <w:iCs/>
          <w:sz w:val="26"/>
        </w:rPr>
        <w:t xml:space="preserve">3. Epistemology – Only an understanding of appropriation can unify the distinction between theoretical and practical knowledge. Theoretical abstract concepts like 2+2=4 </w:t>
      </w:r>
      <w:proofErr w:type="gramStart"/>
      <w:r w:rsidRPr="00BB51A4">
        <w:rPr>
          <w:rFonts w:eastAsia="Times New Roman"/>
          <w:b/>
          <w:iCs/>
          <w:sz w:val="26"/>
        </w:rPr>
        <w:t>are</w:t>
      </w:r>
      <w:proofErr w:type="gramEnd"/>
      <w:r w:rsidRPr="00BB51A4">
        <w:rPr>
          <w:rFonts w:eastAsia="Times New Roman"/>
          <w:b/>
          <w:iCs/>
          <w:sz w:val="26"/>
        </w:rPr>
        <w:t xml:space="preserve"> true and necessary, but can only become useful once explained in context of how they actualize in the world through our intentions. That means absent an explanation of how that knowledge mixes with the world around us, it becomes useless. </w:t>
      </w:r>
    </w:p>
    <w:p w14:paraId="171B7EBA" w14:textId="77777777" w:rsidR="005E33D2" w:rsidRDefault="005E33D2" w:rsidP="005E33D2">
      <w:pPr>
        <w:pStyle w:val="Heading2"/>
      </w:pPr>
      <w:r>
        <w:t>Offense</w:t>
      </w:r>
    </w:p>
    <w:p w14:paraId="14D96410" w14:textId="77777777" w:rsidR="005E33D2" w:rsidRPr="00291878" w:rsidRDefault="005E33D2" w:rsidP="005E33D2">
      <w:pPr>
        <w:keepNext/>
        <w:keepLines/>
        <w:spacing w:before="40" w:after="0"/>
        <w:outlineLvl w:val="3"/>
        <w:rPr>
          <w:rFonts w:eastAsia="MS Gothic" w:cs="Times New Roman"/>
          <w:b/>
          <w:iCs/>
          <w:sz w:val="26"/>
        </w:rPr>
      </w:pPr>
      <w:r w:rsidRPr="00146D55">
        <w:rPr>
          <w:rFonts w:eastAsia="MS Gothic"/>
          <w:b/>
          <w:iCs/>
          <w:sz w:val="26"/>
        </w:rPr>
        <w:t xml:space="preserve">Contention – I defend </w:t>
      </w:r>
      <w:r>
        <w:rPr>
          <w:rFonts w:eastAsia="MS Gothic"/>
          <w:b/>
          <w:iCs/>
          <w:sz w:val="26"/>
        </w:rPr>
        <w:t>a just government ought to recognize worker’s right to strike.</w:t>
      </w:r>
      <w:r w:rsidRPr="00146D55">
        <w:rPr>
          <w:rFonts w:eastAsia="MS Gothic" w:cs="Times New Roman"/>
          <w:b/>
          <w:iCs/>
          <w:sz w:val="26"/>
        </w:rPr>
        <w:t xml:space="preserve"> </w:t>
      </w:r>
      <w:r>
        <w:rPr>
          <w:rFonts w:eastAsia="MS Gothic" w:cs="Times New Roman"/>
          <w:b/>
          <w:iCs/>
          <w:sz w:val="26"/>
        </w:rPr>
        <w:t>Ill defend normal means for implementation.</w:t>
      </w:r>
    </w:p>
    <w:p w14:paraId="72E08004" w14:textId="77777777" w:rsidR="005E33D2" w:rsidRDefault="005E33D2" w:rsidP="005E33D2">
      <w:pPr>
        <w:pStyle w:val="Heading4"/>
      </w:pPr>
      <w:r>
        <w:t>1] Right to strike is necessary to not be alienated – multiple warrants</w:t>
      </w:r>
    </w:p>
    <w:p w14:paraId="299C213A" w14:textId="77777777" w:rsidR="005E33D2" w:rsidRPr="00007EC7" w:rsidRDefault="005E33D2" w:rsidP="005E33D2">
      <w:pPr>
        <w:pStyle w:val="Heading4"/>
        <w:rPr>
          <w:b w:val="0"/>
          <w:bCs/>
          <w:sz w:val="18"/>
          <w:szCs w:val="18"/>
        </w:rPr>
      </w:pPr>
      <w:r w:rsidRPr="00007EC7">
        <w:rPr>
          <w:b w:val="0"/>
          <w:sz w:val="18"/>
          <w:szCs w:val="18"/>
        </w:rPr>
        <w:t xml:space="preserve">Brian </w:t>
      </w:r>
      <w:r w:rsidRPr="00007EC7">
        <w:t>Kohler</w:t>
      </w:r>
      <w:r w:rsidRPr="00007EC7">
        <w:rPr>
          <w:b w:val="0"/>
          <w:sz w:val="18"/>
          <w:szCs w:val="18"/>
        </w:rPr>
        <w:t xml:space="preserve">, “The fifth day of the COP25 conference” , February 16, </w:t>
      </w:r>
      <w:r w:rsidRPr="00007EC7">
        <w:t>2015</w:t>
      </w:r>
      <w:r w:rsidRPr="00007EC7">
        <w:rPr>
          <w:b w:val="0"/>
          <w:sz w:val="18"/>
          <w:szCs w:val="18"/>
        </w:rPr>
        <w:t>, [http://www.industriall-union.org/5-reasons-why-we-need-the-right-to-strike] // swickle</w:t>
      </w:r>
    </w:p>
    <w:p w14:paraId="65B366A4" w14:textId="77777777" w:rsidR="005E33D2" w:rsidRPr="00007EC7" w:rsidRDefault="005E33D2" w:rsidP="005E33D2">
      <w:pPr>
        <w:keepNext/>
        <w:keepLines/>
        <w:spacing w:before="40" w:after="0" w:line="256" w:lineRule="auto"/>
        <w:outlineLvl w:val="3"/>
        <w:rPr>
          <w:rFonts w:asciiTheme="minorHAnsi" w:eastAsia="Times New Roman" w:hAnsiTheme="minorHAnsi" w:cstheme="minorHAnsi"/>
          <w:color w:val="000000"/>
          <w:sz w:val="14"/>
        </w:rPr>
      </w:pPr>
      <w:r w:rsidRPr="00007EC7">
        <w:rPr>
          <w:rFonts w:asciiTheme="minorHAnsi" w:eastAsia="Times New Roman" w:hAnsiTheme="minorHAnsi" w:cstheme="minorHAnsi"/>
          <w:color w:val="000000"/>
          <w:sz w:val="14"/>
        </w:rPr>
        <w:t xml:space="preserve">16 </w:t>
      </w:r>
      <w:proofErr w:type="gramStart"/>
      <w:r w:rsidRPr="00007EC7">
        <w:rPr>
          <w:rFonts w:asciiTheme="minorHAnsi" w:eastAsia="Times New Roman" w:hAnsiTheme="minorHAnsi" w:cstheme="minorHAnsi"/>
          <w:color w:val="000000"/>
          <w:sz w:val="14"/>
        </w:rPr>
        <w:t>February,</w:t>
      </w:r>
      <w:proofErr w:type="gramEnd"/>
      <w:r w:rsidRPr="00007EC7">
        <w:rPr>
          <w:rFonts w:asciiTheme="minorHAnsi" w:eastAsia="Times New Roman" w:hAnsiTheme="minorHAnsi" w:cstheme="minorHAnsi"/>
          <w:color w:val="000000"/>
          <w:sz w:val="14"/>
        </w:rPr>
        <w:t xml:space="preserve"> 2015</w:t>
      </w:r>
      <w:r w:rsidRPr="00007EC7">
        <w:rPr>
          <w:rFonts w:asciiTheme="minorHAnsi" w:eastAsia="Times New Roman" w:hAnsiTheme="minorHAnsi" w:cstheme="minorHAnsi"/>
          <w:color w:val="000000"/>
          <w:u w:val="single"/>
        </w:rPr>
        <w:t xml:space="preserve"> The </w:t>
      </w:r>
      <w:r w:rsidRPr="007B6798">
        <w:rPr>
          <w:rFonts w:asciiTheme="minorHAnsi" w:eastAsia="Times New Roman" w:hAnsiTheme="minorHAnsi" w:cstheme="minorHAnsi"/>
          <w:color w:val="000000"/>
          <w:u w:val="single"/>
        </w:rPr>
        <w:t xml:space="preserve">fundamental </w:t>
      </w:r>
      <w:r w:rsidRPr="007B6798">
        <w:rPr>
          <w:rFonts w:asciiTheme="minorHAnsi" w:eastAsia="Times New Roman" w:hAnsiTheme="minorHAnsi" w:cstheme="minorHAnsi"/>
          <w:u w:val="single"/>
        </w:rPr>
        <w:t xml:space="preserve">right to strike </w:t>
      </w:r>
      <w:r w:rsidRPr="007B6798">
        <w:rPr>
          <w:rFonts w:asciiTheme="minorHAnsi" w:eastAsia="Times New Roman" w:hAnsiTheme="minorHAnsi" w:cstheme="minorHAnsi"/>
          <w:color w:val="000000"/>
          <w:u w:val="single"/>
        </w:rPr>
        <w:t>is under</w:t>
      </w:r>
      <w:r w:rsidRPr="00007EC7">
        <w:rPr>
          <w:rFonts w:asciiTheme="minorHAnsi" w:eastAsia="Times New Roman" w:hAnsiTheme="minorHAnsi" w:cstheme="minorHAnsi"/>
          <w:color w:val="000000"/>
          <w:u w:val="single"/>
        </w:rPr>
        <w:t xml:space="preserve"> attack from employers and governments at the International </w:t>
      </w:r>
      <w:proofErr w:type="spellStart"/>
      <w:r w:rsidRPr="00007EC7">
        <w:rPr>
          <w:rFonts w:asciiTheme="minorHAnsi" w:eastAsia="Times New Roman" w:hAnsiTheme="minorHAnsi" w:cstheme="minorHAnsi"/>
          <w:color w:val="000000"/>
          <w:u w:val="single"/>
        </w:rPr>
        <w:t>Labour</w:t>
      </w:r>
      <w:proofErr w:type="spellEnd"/>
      <w:r w:rsidRPr="00007EC7">
        <w:rPr>
          <w:rFonts w:asciiTheme="minorHAnsi" w:eastAsia="Times New Roman" w:hAnsiTheme="minorHAnsi" w:cstheme="minorHAnsi"/>
          <w:color w:val="000000"/>
          <w:u w:val="single"/>
        </w:rPr>
        <w:t xml:space="preserve"> Organization (ILO), which sets global standards on </w:t>
      </w:r>
      <w:proofErr w:type="spellStart"/>
      <w:r w:rsidRPr="00007EC7">
        <w:rPr>
          <w:rFonts w:asciiTheme="minorHAnsi" w:eastAsia="Times New Roman" w:hAnsiTheme="minorHAnsi" w:cstheme="minorHAnsi"/>
          <w:color w:val="000000"/>
          <w:u w:val="single"/>
        </w:rPr>
        <w:t>labour</w:t>
      </w:r>
      <w:proofErr w:type="spellEnd"/>
      <w:r w:rsidRPr="00007EC7">
        <w:rPr>
          <w:rFonts w:asciiTheme="minorHAnsi" w:eastAsia="Times New Roman" w:hAnsiTheme="minorHAnsi" w:cstheme="minorHAnsi"/>
          <w:color w:val="000000"/>
          <w:u w:val="single"/>
        </w:rPr>
        <w:t xml:space="preserve"> rights</w:t>
      </w:r>
      <w:r w:rsidRPr="00007EC7">
        <w:rPr>
          <w:rFonts w:asciiTheme="minorHAnsi" w:eastAsia="Times New Roman" w:hAnsiTheme="minorHAnsi" w:cstheme="minorHAnsi"/>
          <w:color w:val="000000"/>
          <w:sz w:val="14"/>
        </w:rPr>
        <w:t>. Eliminating this human right would have serious repercussions on us all. Here are five key reasons why we need the right to strike:</w:t>
      </w:r>
      <w:r w:rsidRPr="00007EC7">
        <w:rPr>
          <w:rFonts w:asciiTheme="minorHAnsi" w:eastAsia="Times New Roman" w:hAnsiTheme="minorHAnsi" w:cstheme="minorHAnsi"/>
          <w:color w:val="000000"/>
          <w:u w:val="single"/>
        </w:rPr>
        <w:t xml:space="preserve"> </w:t>
      </w:r>
      <w:r w:rsidRPr="00007EC7">
        <w:rPr>
          <w:rFonts w:asciiTheme="minorHAnsi" w:eastAsia="Times New Roman" w:hAnsiTheme="minorHAnsi" w:cstheme="minorHAnsi"/>
          <w:color w:val="000000"/>
          <w:highlight w:val="yellow"/>
          <w:u w:val="single"/>
        </w:rPr>
        <w:t>Striking is</w:t>
      </w:r>
      <w:r w:rsidRPr="00007EC7">
        <w:rPr>
          <w:rFonts w:asciiTheme="minorHAnsi" w:eastAsia="Times New Roman" w:hAnsiTheme="minorHAnsi" w:cstheme="minorHAnsi"/>
          <w:color w:val="000000"/>
          <w:u w:val="single"/>
        </w:rPr>
        <w:t xml:space="preserve"> a last resort but sometimes </w:t>
      </w:r>
      <w:r w:rsidRPr="00007EC7">
        <w:rPr>
          <w:rFonts w:asciiTheme="minorHAnsi" w:eastAsia="Times New Roman" w:hAnsiTheme="minorHAnsi" w:cstheme="minorHAnsi"/>
          <w:color w:val="000000"/>
          <w:highlight w:val="yellow"/>
          <w:u w:val="single"/>
        </w:rPr>
        <w:t>the only tool for workers to protect themselves</w:t>
      </w:r>
      <w:r w:rsidRPr="00007EC7">
        <w:rPr>
          <w:rFonts w:asciiTheme="minorHAnsi" w:eastAsia="Times New Roman" w:hAnsiTheme="minorHAnsi" w:cstheme="minorHAnsi"/>
          <w:color w:val="000000"/>
          <w:u w:val="single"/>
        </w:rPr>
        <w:t xml:space="preserve">. To </w:t>
      </w:r>
      <w:r w:rsidRPr="00007EC7">
        <w:rPr>
          <w:rFonts w:asciiTheme="minorHAnsi" w:eastAsia="Times New Roman" w:hAnsiTheme="minorHAnsi" w:cstheme="minorHAnsi"/>
          <w:color w:val="000000"/>
          <w:highlight w:val="yellow"/>
          <w:u w:val="single"/>
        </w:rPr>
        <w:t>avoid being at the complete mercy of employers</w:t>
      </w:r>
      <w:r w:rsidRPr="00007EC7">
        <w:rPr>
          <w:rFonts w:asciiTheme="minorHAnsi" w:eastAsia="Times New Roman" w:hAnsiTheme="minorHAnsi" w:cstheme="minorHAnsi"/>
          <w:color w:val="000000"/>
          <w:u w:val="single"/>
        </w:rPr>
        <w:t xml:space="preserve">. To </w:t>
      </w:r>
      <w:r w:rsidRPr="00007EC7">
        <w:rPr>
          <w:rFonts w:asciiTheme="minorHAnsi" w:eastAsia="Times New Roman" w:hAnsiTheme="minorHAnsi" w:cstheme="minorHAnsi"/>
          <w:color w:val="000000"/>
          <w:highlight w:val="yellow"/>
          <w:u w:val="single"/>
        </w:rPr>
        <w:t>give more of a balance between worker and employer</w:t>
      </w:r>
      <w:r w:rsidRPr="00007EC7">
        <w:rPr>
          <w:rFonts w:asciiTheme="minorHAnsi" w:eastAsia="Times New Roman" w:hAnsiTheme="minorHAnsi" w:cstheme="minorHAnsi"/>
          <w:color w:val="000000"/>
          <w:u w:val="single"/>
        </w:rPr>
        <w:t xml:space="preserve"> power.</w:t>
      </w:r>
      <w:r w:rsidRPr="00007EC7">
        <w:rPr>
          <w:rFonts w:asciiTheme="minorHAnsi" w:eastAsia="Times New Roman" w:hAnsiTheme="minorHAnsi" w:cstheme="minorHAnsi"/>
          <w:color w:val="000000"/>
          <w:sz w:val="14"/>
        </w:rPr>
        <w:t xml:space="preserve"> </w:t>
      </w:r>
      <w:r w:rsidRPr="00007EC7">
        <w:rPr>
          <w:rFonts w:asciiTheme="minorHAnsi" w:eastAsia="Times New Roman" w:hAnsiTheme="minorHAnsi" w:cstheme="minorHAnsi"/>
          <w:color w:val="000000"/>
          <w:u w:val="single"/>
        </w:rPr>
        <w:t xml:space="preserve">Without it, more and more </w:t>
      </w:r>
      <w:r w:rsidRPr="00007EC7">
        <w:rPr>
          <w:rFonts w:asciiTheme="minorHAnsi" w:eastAsia="Times New Roman" w:hAnsiTheme="minorHAnsi" w:cstheme="minorHAnsi"/>
          <w:color w:val="000000"/>
          <w:highlight w:val="yellow"/>
          <w:u w:val="single"/>
        </w:rPr>
        <w:t>governments will</w:t>
      </w:r>
      <w:r w:rsidRPr="00007EC7">
        <w:rPr>
          <w:rFonts w:asciiTheme="minorHAnsi" w:eastAsia="Times New Roman" w:hAnsiTheme="minorHAnsi" w:cstheme="minorHAnsi"/>
          <w:color w:val="000000"/>
          <w:u w:val="single"/>
        </w:rPr>
        <w:t xml:space="preserve"> ban industrial action and </w:t>
      </w:r>
      <w:r w:rsidRPr="00007EC7">
        <w:rPr>
          <w:rFonts w:asciiTheme="minorHAnsi" w:eastAsia="Times New Roman" w:hAnsiTheme="minorHAnsi" w:cstheme="minorHAnsi"/>
          <w:color w:val="000000"/>
          <w:highlight w:val="yellow"/>
          <w:u w:val="single"/>
        </w:rPr>
        <w:t>punish people who dare to strike</w:t>
      </w:r>
      <w:r w:rsidRPr="00007EC7">
        <w:rPr>
          <w:rFonts w:asciiTheme="minorHAnsi" w:eastAsia="Times New Roman" w:hAnsiTheme="minorHAnsi" w:cstheme="minorHAnsi"/>
          <w:color w:val="000000"/>
          <w:u w:val="single"/>
        </w:rPr>
        <w:t>.</w:t>
      </w:r>
      <w:r w:rsidRPr="00007EC7">
        <w:rPr>
          <w:rFonts w:asciiTheme="minorHAnsi" w:eastAsia="Times New Roman" w:hAnsiTheme="minorHAnsi" w:cstheme="minorHAnsi"/>
          <w:color w:val="000000"/>
          <w:sz w:val="14"/>
        </w:rPr>
        <w:t xml:space="preserve"> </w:t>
      </w:r>
      <w:r w:rsidRPr="00007EC7">
        <w:rPr>
          <w:rFonts w:asciiTheme="minorHAnsi" w:eastAsia="Times New Roman" w:hAnsiTheme="minorHAnsi" w:cstheme="minorHAnsi"/>
          <w:color w:val="000000"/>
          <w:u w:val="single"/>
        </w:rPr>
        <w:t xml:space="preserve">Most strikes are </w:t>
      </w:r>
      <w:proofErr w:type="gramStart"/>
      <w:r w:rsidRPr="00007EC7">
        <w:rPr>
          <w:rFonts w:asciiTheme="minorHAnsi" w:eastAsia="Times New Roman" w:hAnsiTheme="minorHAnsi" w:cstheme="minorHAnsi"/>
          <w:color w:val="000000"/>
          <w:u w:val="single"/>
        </w:rPr>
        <w:t>over pay</w:t>
      </w:r>
      <w:proofErr w:type="gramEnd"/>
      <w:r w:rsidRPr="00007EC7">
        <w:rPr>
          <w:rFonts w:asciiTheme="minorHAnsi" w:eastAsia="Times New Roman" w:hAnsiTheme="minorHAnsi" w:cstheme="minorHAnsi"/>
          <w:color w:val="000000"/>
          <w:u w:val="single"/>
        </w:rPr>
        <w:t xml:space="preserve"> and better working conditions.</w:t>
      </w:r>
      <w:r w:rsidRPr="00007EC7">
        <w:rPr>
          <w:rFonts w:asciiTheme="minorHAnsi" w:eastAsia="Times New Roman" w:hAnsiTheme="minorHAnsi" w:cstheme="minorHAnsi"/>
          <w:color w:val="000000"/>
          <w:sz w:val="14"/>
        </w:rPr>
        <w:t xml:space="preserve"> </w:t>
      </w:r>
      <w:r w:rsidRPr="00007EC7">
        <w:rPr>
          <w:rFonts w:asciiTheme="minorHAnsi" w:eastAsia="Times New Roman" w:hAnsiTheme="minorHAnsi" w:cstheme="minorHAnsi"/>
          <w:color w:val="000000"/>
          <w:highlight w:val="yellow"/>
          <w:u w:val="single"/>
        </w:rPr>
        <w:t>Without the threat of strike</w:t>
      </w:r>
      <w:r w:rsidRPr="00007EC7">
        <w:rPr>
          <w:rFonts w:asciiTheme="minorHAnsi" w:eastAsia="Times New Roman" w:hAnsiTheme="minorHAnsi" w:cstheme="minorHAnsi"/>
          <w:color w:val="000000"/>
          <w:u w:val="single"/>
        </w:rPr>
        <w:t xml:space="preserve"> action, </w:t>
      </w:r>
      <w:r w:rsidRPr="00007EC7">
        <w:rPr>
          <w:rFonts w:asciiTheme="minorHAnsi" w:eastAsia="Times New Roman" w:hAnsiTheme="minorHAnsi" w:cstheme="minorHAnsi"/>
          <w:color w:val="000000"/>
          <w:highlight w:val="yellow"/>
          <w:u w:val="single"/>
        </w:rPr>
        <w:t>corporations will be able to make bigger profits, while working conditions will get worse</w:t>
      </w:r>
      <w:r w:rsidRPr="00007EC7">
        <w:rPr>
          <w:rFonts w:asciiTheme="minorHAnsi" w:eastAsia="Times New Roman" w:hAnsiTheme="minorHAnsi" w:cstheme="minorHAnsi"/>
          <w:color w:val="000000"/>
          <w:sz w:val="14"/>
        </w:rPr>
        <w:t xml:space="preserve">. Making a stand </w:t>
      </w:r>
      <w:proofErr w:type="gramStart"/>
      <w:r w:rsidRPr="00007EC7">
        <w:rPr>
          <w:rFonts w:asciiTheme="minorHAnsi" w:eastAsia="Times New Roman" w:hAnsiTheme="minorHAnsi" w:cstheme="minorHAnsi"/>
          <w:color w:val="000000"/>
          <w:sz w:val="14"/>
        </w:rPr>
        <w:t>On</w:t>
      </w:r>
      <w:proofErr w:type="gramEnd"/>
      <w:r w:rsidRPr="00007EC7">
        <w:rPr>
          <w:rFonts w:asciiTheme="minorHAnsi" w:eastAsia="Times New Roman" w:hAnsiTheme="minorHAnsi" w:cstheme="minorHAnsi"/>
          <w:color w:val="000000"/>
          <w:sz w:val="14"/>
        </w:rPr>
        <w:t xml:space="preserve"> 18 February, ahead of a key ILO meeting on the right to strike from 23-25 February, unions and workers around the world will be protesting to safeguard this fundamental right. Employers’ groups and certain governments are challenging the long-accepted belief that ILO Convention 87 on Freedom of Association, which is ratified by 153 countries, up-holds the right to strike.</w:t>
      </w:r>
    </w:p>
    <w:p w14:paraId="2E7580BD" w14:textId="77777777" w:rsidR="005E33D2" w:rsidRPr="00146D55" w:rsidRDefault="005E33D2" w:rsidP="005E33D2">
      <w:pPr>
        <w:keepNext/>
        <w:keepLines/>
        <w:spacing w:before="40" w:after="0"/>
        <w:outlineLvl w:val="3"/>
        <w:rPr>
          <w:rFonts w:eastAsiaTheme="majorEastAsia" w:cstheme="majorBidi"/>
          <w:b/>
          <w:iCs/>
          <w:sz w:val="26"/>
        </w:rPr>
      </w:pPr>
      <w:r>
        <w:rPr>
          <w:rFonts w:eastAsiaTheme="majorEastAsia" w:cstheme="majorBidi"/>
          <w:b/>
          <w:iCs/>
          <w:sz w:val="26"/>
        </w:rPr>
        <w:t xml:space="preserve">2] </w:t>
      </w:r>
      <w:r w:rsidRPr="00146D55">
        <w:rPr>
          <w:rFonts w:eastAsiaTheme="majorEastAsia" w:cstheme="majorBidi"/>
          <w:b/>
          <w:iCs/>
          <w:sz w:val="26"/>
        </w:rPr>
        <w:t>The right to strike increases mutual recognition</w:t>
      </w:r>
    </w:p>
    <w:p w14:paraId="6CD8A05C" w14:textId="77777777" w:rsidR="005E33D2" w:rsidRPr="00146D55" w:rsidRDefault="005E33D2" w:rsidP="005E33D2">
      <w:pPr>
        <w:rPr>
          <w:b/>
          <w:bCs/>
          <w:sz w:val="18"/>
          <w:szCs w:val="18"/>
          <w:u w:val="single"/>
        </w:rPr>
      </w:pPr>
      <w:r w:rsidRPr="00146D55">
        <w:rPr>
          <w:sz w:val="18"/>
          <w:szCs w:val="18"/>
        </w:rPr>
        <w:t xml:space="preserve">Richard D. </w:t>
      </w:r>
      <w:proofErr w:type="spellStart"/>
      <w:r w:rsidRPr="00146D55">
        <w:rPr>
          <w:b/>
          <w:bCs/>
          <w:sz w:val="26"/>
          <w:szCs w:val="26"/>
        </w:rPr>
        <w:t>Kahlenberg</w:t>
      </w:r>
      <w:proofErr w:type="spellEnd"/>
      <w:r w:rsidRPr="00146D55">
        <w:rPr>
          <w:sz w:val="18"/>
          <w:szCs w:val="18"/>
        </w:rPr>
        <w:t xml:space="preserve">, January 6, </w:t>
      </w:r>
      <w:r w:rsidRPr="00146D55">
        <w:rPr>
          <w:b/>
          <w:bCs/>
          <w:sz w:val="26"/>
          <w:szCs w:val="26"/>
        </w:rPr>
        <w:t>2016</w:t>
      </w:r>
      <w:r w:rsidRPr="00146D55">
        <w:rPr>
          <w:sz w:val="18"/>
          <w:szCs w:val="18"/>
        </w:rPr>
        <w:t xml:space="preserve">, “How Defunding Public Sector Unions Will Diminish Our Democracy” </w:t>
      </w:r>
      <w:r w:rsidRPr="00146D55">
        <w:rPr>
          <w:sz w:val="18"/>
          <w:szCs w:val="18"/>
          <w:u w:val="single"/>
        </w:rPr>
        <w:t>[</w:t>
      </w:r>
      <w:r w:rsidRPr="00146D55">
        <w:rPr>
          <w:sz w:val="18"/>
          <w:szCs w:val="18"/>
        </w:rPr>
        <w:t>tcf.org/content/report/how-defunding-public-sector-unions-will-diminish-our-democracy/?session=1.] // swickle</w:t>
      </w:r>
    </w:p>
    <w:p w14:paraId="4D8CD11F" w14:textId="77777777" w:rsidR="005E33D2" w:rsidRDefault="005E33D2" w:rsidP="005E33D2">
      <w:pPr>
        <w:rPr>
          <w:bCs/>
          <w:iCs/>
          <w:u w:val="single"/>
        </w:rPr>
      </w:pPr>
      <w:r w:rsidRPr="00146D55">
        <w:rPr>
          <w:bCs/>
          <w:iCs/>
          <w:u w:val="single"/>
        </w:rPr>
        <w:t xml:space="preserve">Strong </w:t>
      </w:r>
      <w:r w:rsidRPr="00146D55">
        <w:rPr>
          <w:bCs/>
          <w:iCs/>
          <w:highlight w:val="yellow"/>
          <w:u w:val="single"/>
        </w:rPr>
        <w:t xml:space="preserve">unions </w:t>
      </w:r>
      <w:r w:rsidRPr="00146D55">
        <w:rPr>
          <w:bCs/>
          <w:highlight w:val="yellow"/>
          <w:u w:val="single"/>
        </w:rPr>
        <w:t>helped</w:t>
      </w:r>
      <w:r w:rsidRPr="00146D55">
        <w:rPr>
          <w:bCs/>
          <w:u w:val="single"/>
        </w:rPr>
        <w:t xml:space="preserve"> build the middle class</w:t>
      </w:r>
      <w:r w:rsidRPr="00146D55">
        <w:rPr>
          <w:bCs/>
          <w:sz w:val="16"/>
        </w:rPr>
        <w:t xml:space="preserve"> in America after the Great </w:t>
      </w:r>
      <w:proofErr w:type="gramStart"/>
      <w:r w:rsidRPr="00146D55">
        <w:rPr>
          <w:bCs/>
          <w:sz w:val="16"/>
        </w:rPr>
        <w:t>Depression, and</w:t>
      </w:r>
      <w:proofErr w:type="gramEnd"/>
      <w:r w:rsidRPr="00146D55">
        <w:rPr>
          <w:bCs/>
          <w:sz w:val="16"/>
        </w:rPr>
        <w:t xml:space="preserve"> </w:t>
      </w:r>
      <w:r w:rsidRPr="00146D55">
        <w:rPr>
          <w:bCs/>
          <w:u w:val="single"/>
        </w:rPr>
        <w:t xml:space="preserve">continue to have a positive effect on </w:t>
      </w:r>
      <w:r w:rsidRPr="00146D55">
        <w:rPr>
          <w:bCs/>
          <w:highlight w:val="yellow"/>
          <w:u w:val="single"/>
        </w:rPr>
        <w:t>ameliorating</w:t>
      </w:r>
      <w:r w:rsidRPr="00146D55">
        <w:rPr>
          <w:bCs/>
          <w:u w:val="single"/>
        </w:rPr>
        <w:t xml:space="preserve"> </w:t>
      </w:r>
      <w:r w:rsidRPr="00146D55">
        <w:rPr>
          <w:bCs/>
          <w:highlight w:val="yellow"/>
          <w:u w:val="single"/>
        </w:rPr>
        <w:t>extreme inequalities of wealth</w:t>
      </w:r>
      <w:r w:rsidRPr="00146D55">
        <w:rPr>
          <w:bCs/>
          <w:sz w:val="16"/>
        </w:rPr>
        <w:t xml:space="preserve">. </w:t>
      </w:r>
      <w:r w:rsidRPr="00146D55">
        <w:rPr>
          <w:bCs/>
          <w:u w:val="single"/>
        </w:rPr>
        <w:t>By</w:t>
      </w:r>
      <w:r w:rsidRPr="00146D55">
        <w:rPr>
          <w:bCs/>
          <w:iCs/>
          <w:u w:val="single"/>
        </w:rPr>
        <w:t xml:space="preserve"> </w:t>
      </w:r>
      <w:r w:rsidRPr="00146D55">
        <w:rPr>
          <w:bCs/>
          <w:iCs/>
          <w:highlight w:val="yellow"/>
          <w:u w:val="single"/>
        </w:rPr>
        <w:t>bargaining for fair wages</w:t>
      </w:r>
      <w:r w:rsidRPr="00146D55">
        <w:rPr>
          <w:bCs/>
          <w:iCs/>
          <w:u w:val="single"/>
        </w:rPr>
        <w:t xml:space="preserve"> and benefits</w:t>
      </w:r>
      <w:r w:rsidRPr="00146D55">
        <w:rPr>
          <w:bCs/>
          <w:iCs/>
          <w:sz w:val="16"/>
        </w:rPr>
        <w:t xml:space="preserve">, </w:t>
      </w:r>
      <w:r w:rsidRPr="00146D55">
        <w:rPr>
          <w:bCs/>
          <w:iCs/>
          <w:u w:val="single"/>
        </w:rPr>
        <w:t xml:space="preserve">unions in the public and private sector </w:t>
      </w:r>
      <w:r w:rsidRPr="00146D55">
        <w:rPr>
          <w:bCs/>
          <w:iCs/>
          <w:highlight w:val="yellow"/>
          <w:u w:val="single"/>
        </w:rPr>
        <w:t>help foster</w:t>
      </w:r>
      <w:r w:rsidRPr="00146D55">
        <w:rPr>
          <w:bCs/>
          <w:iCs/>
          <w:u w:val="single"/>
        </w:rPr>
        <w:t xml:space="preserve"> broadly shared </w:t>
      </w:r>
      <w:r w:rsidRPr="00146D55">
        <w:rPr>
          <w:bCs/>
          <w:iCs/>
          <w:highlight w:val="yellow"/>
          <w:u w:val="single"/>
        </w:rPr>
        <w:t>prosperity</w:t>
      </w:r>
      <w:r w:rsidRPr="00146D55">
        <w:rPr>
          <w:bCs/>
          <w:iCs/>
          <w:sz w:val="16"/>
        </w:rPr>
        <w:t xml:space="preserve">. Research finds, for example, that </w:t>
      </w:r>
      <w:r w:rsidRPr="00146D55">
        <w:rPr>
          <w:bCs/>
          <w:iCs/>
          <w:u w:val="single"/>
        </w:rPr>
        <w:t xml:space="preserve">unions </w:t>
      </w:r>
      <w:r w:rsidRPr="00146D55">
        <w:rPr>
          <w:bCs/>
          <w:iCs/>
          <w:highlight w:val="yellow"/>
          <w:u w:val="single"/>
        </w:rPr>
        <w:t>compress wage differences between management and labor</w:t>
      </w:r>
      <w:r w:rsidRPr="00146D55">
        <w:rPr>
          <w:bCs/>
          <w:iCs/>
          <w:sz w:val="16"/>
        </w:rPr>
        <w:t xml:space="preserve">. According to one study, “controlling for variation in human resource practices, </w:t>
      </w:r>
      <w:r w:rsidRPr="00146D55">
        <w:rPr>
          <w:bCs/>
          <w:iCs/>
          <w:highlight w:val="yellow"/>
          <w:u w:val="single"/>
        </w:rPr>
        <w:t>union</w:t>
      </w:r>
      <w:r w:rsidRPr="00146D55">
        <w:rPr>
          <w:bCs/>
          <w:iCs/>
          <w:u w:val="single"/>
        </w:rPr>
        <w:t xml:space="preserve">ized establishments have an </w:t>
      </w:r>
      <w:r w:rsidRPr="00146D55">
        <w:rPr>
          <w:bCs/>
          <w:iCs/>
          <w:highlight w:val="yellow"/>
          <w:u w:val="single"/>
        </w:rPr>
        <w:t>average</w:t>
      </w:r>
      <w:r w:rsidRPr="00146D55">
        <w:rPr>
          <w:bCs/>
          <w:iCs/>
          <w:u w:val="single"/>
        </w:rPr>
        <w:t xml:space="preserve"> of </w:t>
      </w:r>
      <w:r w:rsidRPr="00146D55">
        <w:rPr>
          <w:bCs/>
          <w:iCs/>
          <w:highlight w:val="yellow"/>
          <w:u w:val="single"/>
        </w:rPr>
        <w:t>23.2 percentage point lower management-to-worker pay ratio</w:t>
      </w:r>
      <w:r w:rsidRPr="00146D55">
        <w:rPr>
          <w:bCs/>
          <w:iCs/>
          <w:u w:val="single"/>
        </w:rPr>
        <w:t xml:space="preserve"> relative to non-union workplaces</w:t>
      </w:r>
      <w:r w:rsidRPr="00146D55">
        <w:rPr>
          <w:bCs/>
          <w:iCs/>
          <w:sz w:val="16"/>
        </w:rPr>
        <w:t>.”</w:t>
      </w:r>
      <w:r w:rsidRPr="00146D55">
        <w:rPr>
          <w:bCs/>
          <w:sz w:val="16"/>
        </w:rPr>
        <w:t xml:space="preserve">26 By the same token, as the Center for American Progress’s David </w:t>
      </w:r>
      <w:proofErr w:type="spellStart"/>
      <w:r w:rsidRPr="00146D55">
        <w:rPr>
          <w:bCs/>
          <w:sz w:val="16"/>
        </w:rPr>
        <w:t>Madland</w:t>
      </w:r>
      <w:proofErr w:type="spellEnd"/>
      <w:r w:rsidRPr="00146D55">
        <w:rPr>
          <w:bCs/>
          <w:sz w:val="16"/>
        </w:rPr>
        <w:t xml:space="preserve"> has vividly illustrated, </w:t>
      </w:r>
      <w:r w:rsidRPr="00146D55">
        <w:rPr>
          <w:bCs/>
          <w:u w:val="single"/>
        </w:rPr>
        <w:t>the decline in union density in the United States</w:t>
      </w:r>
      <w:r w:rsidRPr="00146D55">
        <w:rPr>
          <w:bCs/>
          <w:sz w:val="16"/>
        </w:rPr>
        <w:t xml:space="preserve"> between 1969 and 2009 </w:t>
      </w:r>
      <w:r w:rsidRPr="00146D55">
        <w:rPr>
          <w:bCs/>
          <w:u w:val="single"/>
        </w:rPr>
        <w:t>has been accompanied by a strikingly similar decline in the share of income going to the middle class</w:t>
      </w:r>
      <w:r w:rsidRPr="00146D55">
        <w:rPr>
          <w:bCs/>
          <w:sz w:val="16"/>
        </w:rPr>
        <w:t xml:space="preserve"> (the middle three-fifths of the income distribution; see Figure 1). &amp;</w:t>
      </w:r>
      <w:proofErr w:type="spellStart"/>
      <w:r w:rsidRPr="00146D55">
        <w:rPr>
          <w:bCs/>
          <w:sz w:val="16"/>
        </w:rPr>
        <w:t>nbsp;The</w:t>
      </w:r>
      <w:proofErr w:type="spellEnd"/>
      <w:r w:rsidRPr="00146D55">
        <w:rPr>
          <w:bCs/>
          <w:sz w:val="16"/>
        </w:rPr>
        <w:t xml:space="preserve"> middle class is hollowing out: in 1971, 61 percent of Americans were middle class, but a December 2015 Pew Research Center report found that a slight majority of Americans now live in low- or upper-income households.27 Although there are many reasons for middle-class wage stagnation—including globalization and the rise in technology—Lawrence Mishel of the Economic Policy Institute finds that the decline in union bargaining power is “the single largest factor suppressing wage growth for middle-wage workers over the last few decades.” The International Monetary Fund, likewise, has linked decline in unions worldwide with rises in income inequality.28 Figure 1. </w:t>
      </w:r>
      <w:proofErr w:type="spellStart"/>
      <w:r w:rsidRPr="00146D55">
        <w:rPr>
          <w:bCs/>
          <w:sz w:val="16"/>
        </w:rPr>
        <w:t>chartDOWNLOAD</w:t>
      </w:r>
      <w:proofErr w:type="spellEnd"/>
      <w:r w:rsidRPr="00146D55">
        <w:rPr>
          <w:bCs/>
          <w:sz w:val="16"/>
        </w:rPr>
        <w:t xml:space="preserve"> </w:t>
      </w:r>
      <w:proofErr w:type="gramStart"/>
      <w:r w:rsidRPr="00146D55">
        <w:rPr>
          <w:bCs/>
          <w:sz w:val="16"/>
        </w:rPr>
        <w:t>International</w:t>
      </w:r>
      <w:proofErr w:type="gramEnd"/>
      <w:r w:rsidRPr="00146D55">
        <w:rPr>
          <w:bCs/>
          <w:sz w:val="16"/>
        </w:rPr>
        <w:t xml:space="preserve"> studies also connect the relatively low levels of U.S. union density (when compared with other nations) and the higher level of economic inequality found in the United States. According to a 2011 analysis by the Center for Economic and Policy Research looking at twenty-one wealthy nations, nine countries had more than 80 percent of their workers covered by collective bargaining agreements; nine had between 30 and 80 percent covered; and just three—the United States, Japan, and New Zealand—had coverage rates below 20 percent. Using data from the Central Intelligence Agency’s World Factbook on levels of income inequality, my colleague Moshe </w:t>
      </w:r>
      <w:proofErr w:type="spellStart"/>
      <w:r w:rsidRPr="00146D55">
        <w:rPr>
          <w:bCs/>
          <w:sz w:val="16"/>
        </w:rPr>
        <w:t>Marvit</w:t>
      </w:r>
      <w:proofErr w:type="spellEnd"/>
      <w:r w:rsidRPr="00146D55">
        <w:rPr>
          <w:bCs/>
          <w:sz w:val="16"/>
        </w:rPr>
        <w:t xml:space="preserve"> and I demonstrate in Why Labor Organizing Should Be a Civil Right that the three nations with the lowest collective bargaining coverage also were among the four countries with the highest degrees of income inequality, as measured by the Gini coefficient.29 Defunding public sector unions will only accelerate the extreme economic inequality that threatens our political democracy. </w:t>
      </w:r>
      <w:r w:rsidRPr="00146D55">
        <w:rPr>
          <w:bCs/>
          <w:u w:val="single"/>
        </w:rPr>
        <w:t>Unions Are Needed to Serve as Schools for Democracy Civic organizations that are run democratically can be an important mechanism for acculturating citizens to the inner workings of democracy</w:t>
      </w:r>
      <w:r w:rsidRPr="00146D55">
        <w:rPr>
          <w:bCs/>
          <w:sz w:val="16"/>
        </w:rPr>
        <w:t xml:space="preserve">. Unions are among the most important of these organizations, bringing together rank and file workers from a variety of ethnic, racial, and religious backgrounds, and serving as what Harvard sociologist Robert Putnam calls “schools for democracy.” </w:t>
      </w:r>
      <w:r w:rsidRPr="00146D55">
        <w:rPr>
          <w:bCs/>
          <w:u w:val="single"/>
        </w:rPr>
        <w:t xml:space="preserve">Union members learn skills that are essential to a well-functioning democracy: how to run meetings, debate one another, and organize for political action.30 </w:t>
      </w:r>
      <w:r w:rsidRPr="00146D55">
        <w:rPr>
          <w:bCs/>
          <w:iCs/>
          <w:u w:val="single"/>
        </w:rPr>
        <w:t xml:space="preserve">Labor </w:t>
      </w:r>
      <w:r w:rsidRPr="00146D55">
        <w:rPr>
          <w:bCs/>
          <w:iCs/>
          <w:highlight w:val="yellow"/>
          <w:u w:val="single"/>
        </w:rPr>
        <w:t>unions</w:t>
      </w:r>
      <w:r w:rsidRPr="00146D55">
        <w:rPr>
          <w:bCs/>
          <w:iCs/>
          <w:u w:val="single"/>
        </w:rPr>
        <w:t xml:space="preserve"> can also </w:t>
      </w:r>
      <w:r w:rsidRPr="00146D55">
        <w:rPr>
          <w:bCs/>
          <w:iCs/>
          <w:highlight w:val="yellow"/>
          <w:u w:val="single"/>
        </w:rPr>
        <w:t>help create a culture of participation among workers.</w:t>
      </w:r>
      <w:r w:rsidRPr="00146D55">
        <w:rPr>
          <w:bCs/>
          <w:iCs/>
          <w:u w:val="single"/>
        </w:rPr>
        <w:t xml:space="preserve"> </w:t>
      </w:r>
      <w:r w:rsidRPr="00146D55">
        <w:rPr>
          <w:bCs/>
          <w:iCs/>
          <w:highlight w:val="yellow"/>
          <w:u w:val="single"/>
        </w:rPr>
        <w:t>Being involved in workplace decisions</w:t>
      </w:r>
      <w:r w:rsidRPr="00146D55">
        <w:rPr>
          <w:bCs/>
          <w:iCs/>
          <w:u w:val="single"/>
        </w:rPr>
        <w:t xml:space="preserve"> and the give and take of </w:t>
      </w:r>
      <w:r w:rsidRPr="00146D55">
        <w:rPr>
          <w:bCs/>
          <w:iCs/>
          <w:highlight w:val="yellow"/>
          <w:u w:val="single"/>
        </w:rPr>
        <w:t>collective bargaining</w:t>
      </w:r>
      <w:r w:rsidRPr="00146D55">
        <w:rPr>
          <w:bCs/>
          <w:iCs/>
          <w:u w:val="single"/>
        </w:rPr>
        <w:t xml:space="preserve">, </w:t>
      </w:r>
      <w:r w:rsidRPr="00146D55">
        <w:rPr>
          <w:bCs/>
          <w:iCs/>
          <w:highlight w:val="yellow"/>
          <w:u w:val="single"/>
        </w:rPr>
        <w:t>voting on union contracts</w:t>
      </w:r>
      <w:r w:rsidRPr="00146D55">
        <w:rPr>
          <w:bCs/>
          <w:iCs/>
          <w:u w:val="single"/>
        </w:rPr>
        <w:t xml:space="preserve">, and </w:t>
      </w:r>
      <w:r w:rsidRPr="00146D55">
        <w:rPr>
          <w:bCs/>
          <w:iCs/>
          <w:highlight w:val="yellow"/>
          <w:u w:val="single"/>
        </w:rPr>
        <w:t>voting for union leadership</w:t>
      </w:r>
      <w:r w:rsidRPr="00146D55">
        <w:rPr>
          <w:bCs/>
          <w:iCs/>
          <w:u w:val="single"/>
        </w:rPr>
        <w:t xml:space="preserve"> have all been called </w:t>
      </w:r>
      <w:r w:rsidRPr="00146D55">
        <w:rPr>
          <w:bCs/>
          <w:iCs/>
          <w:highlight w:val="yellow"/>
          <w:u w:val="single"/>
        </w:rPr>
        <w:t>important drivers of “democratic acculturation.”</w:t>
      </w:r>
    </w:p>
    <w:p w14:paraId="2E3F7B16" w14:textId="77777777" w:rsidR="005E33D2" w:rsidRDefault="005E33D2" w:rsidP="005E33D2">
      <w:pPr>
        <w:pStyle w:val="Heading4"/>
      </w:pPr>
      <w:r>
        <w:rPr>
          <w:rFonts w:eastAsia="Times New Roman"/>
        </w:rPr>
        <w:t xml:space="preserve">3] </w:t>
      </w:r>
      <w:r w:rsidRPr="00DB36C0">
        <w:rPr>
          <w:rFonts w:eastAsia="Times New Roman"/>
        </w:rPr>
        <w:t xml:space="preserve">The aff rectifies conditions of alienation – </w:t>
      </w:r>
      <w:r>
        <w:rPr>
          <w:rFonts w:eastAsia="Times New Roman"/>
        </w:rPr>
        <w:t>A</w:t>
      </w:r>
      <w:r w:rsidRPr="00DB36C0">
        <w:rPr>
          <w:rFonts w:eastAsia="Times New Roman"/>
        </w:rPr>
        <w:t xml:space="preserve">) Standardization – voting neg is standardization because the aff provides the option to participate if they will to do so whereas the neg prevents individuals without access in the </w:t>
      </w:r>
      <w:proofErr w:type="spellStart"/>
      <w:r w:rsidRPr="00DB36C0">
        <w:rPr>
          <w:rFonts w:eastAsia="Times New Roman"/>
        </w:rPr>
        <w:t>squo</w:t>
      </w:r>
      <w:proofErr w:type="spellEnd"/>
      <w:r w:rsidRPr="00DB36C0">
        <w:rPr>
          <w:rFonts w:eastAsia="Times New Roman"/>
        </w:rPr>
        <w:t xml:space="preserve"> from engaging in a job</w:t>
      </w:r>
      <w:r w:rsidRPr="00DB7A98">
        <w:t xml:space="preserve"> </w:t>
      </w:r>
      <w:r>
        <w:t>B</w:t>
      </w:r>
      <w:r w:rsidRPr="00DB7A98">
        <w:t xml:space="preserve">) Fixation – </w:t>
      </w:r>
      <w:r>
        <w:t xml:space="preserve">absent a right to strike, we can never foster the development of an agent or company in the workplace C) Over-identification – absent a right to strike we are overidentified in the workplace with no leverage to push for individualized approaches to labor subjectivity. D) objectification – companies can objectify/ exploit workers if they </w:t>
      </w:r>
      <w:proofErr w:type="spellStart"/>
      <w:proofErr w:type="gramStart"/>
      <w:r>
        <w:t>cant</w:t>
      </w:r>
      <w:proofErr w:type="spellEnd"/>
      <w:proofErr w:type="gramEnd"/>
      <w:r>
        <w:t xml:space="preserve"> strike</w:t>
      </w:r>
    </w:p>
    <w:p w14:paraId="5461D940" w14:textId="77777777" w:rsidR="005E33D2" w:rsidRPr="00837233" w:rsidRDefault="005E33D2" w:rsidP="005E33D2">
      <w:pPr>
        <w:pStyle w:val="Heading4"/>
        <w:rPr>
          <w:rFonts w:eastAsia="MS Gothic" w:cs="Times New Roman"/>
          <w:sz w:val="12"/>
          <w:szCs w:val="12"/>
        </w:rPr>
      </w:pPr>
      <w:r>
        <w:t xml:space="preserve">4] </w:t>
      </w:r>
      <w:r w:rsidRPr="00837233">
        <w:rPr>
          <w:rFonts w:eastAsia="MS Gothic" w:cs="Times New Roman"/>
        </w:rPr>
        <w:t xml:space="preserve">Ethical theories are insular – they define the good and language to describe it in their own terms. </w:t>
      </w:r>
      <w:r w:rsidRPr="00837233">
        <w:rPr>
          <w:rFonts w:eastAsia="MS Gothic" w:cs="Times New Roman"/>
          <w:u w:val="single"/>
        </w:rPr>
        <w:t>Joyce 02,</w:t>
      </w:r>
      <w:r w:rsidRPr="00837233">
        <w:rPr>
          <w:rFonts w:eastAsia="MS Gothic" w:cs="Times New Roman"/>
        </w:rPr>
        <w:t xml:space="preserve"> </w:t>
      </w:r>
      <w:r w:rsidRPr="00837233">
        <w:rPr>
          <w:rFonts w:eastAsia="MS Gothic" w:cs="Times New Roman"/>
          <w:sz w:val="12"/>
          <w:szCs w:val="12"/>
        </w:rPr>
        <w:t xml:space="preserve">Joyce, Richard. Myth of Morality. Port Chester, NY, USA: Cambridge University Press, 2002. p 45-47. //Scopa </w:t>
      </w:r>
      <w:r w:rsidRPr="00837233">
        <w:rPr>
          <w:rFonts w:eastAsia="Calibri" w:cs="Times New Roman"/>
          <w:sz w:val="12"/>
        </w:rPr>
        <w:t xml:space="preserve">This distinction between what is accepted from within an institution, and “stepping out” of that institution and appraising it from an exterior perspective, is close to </w:t>
      </w:r>
      <w:proofErr w:type="spellStart"/>
      <w:r w:rsidRPr="00837233">
        <w:rPr>
          <w:rFonts w:eastAsia="Calibri" w:cs="Times New Roman"/>
          <w:sz w:val="12"/>
        </w:rPr>
        <w:t>Carnap’s</w:t>
      </w:r>
      <w:proofErr w:type="spellEnd"/>
      <w:r w:rsidRPr="00837233">
        <w:rPr>
          <w:rFonts w:eastAsia="Calibri" w:cs="Times New Roman"/>
          <w:sz w:val="12"/>
        </w:rPr>
        <w:t xml:space="preserve"> distinction between internal and external questions. 15 </w:t>
      </w:r>
      <w:r w:rsidRPr="00837233">
        <w:rPr>
          <w:rFonts w:eastAsia="Calibri" w:cs="Times New Roman"/>
          <w:sz w:val="12"/>
          <w:szCs w:val="12"/>
        </w:rPr>
        <w:t>Certain</w:t>
      </w:r>
      <w:r w:rsidRPr="00837233">
        <w:rPr>
          <w:rFonts w:eastAsia="Calibri" w:cs="Times New Roman"/>
        </w:rPr>
        <w:t xml:space="preserve"> </w:t>
      </w:r>
      <w:r w:rsidRPr="00837233">
        <w:rPr>
          <w:rFonts w:eastAsia="Calibri" w:cs="Times New Roman"/>
          <w:u w:val="single"/>
        </w:rPr>
        <w:t>“linguistic frameworks”</w:t>
      </w:r>
      <w:r w:rsidRPr="00837233">
        <w:rPr>
          <w:rFonts w:eastAsia="Calibri" w:cs="Times New Roman"/>
          <w:sz w:val="12"/>
        </w:rPr>
        <w:t xml:space="preserve"> (as Carnap calls them) </w:t>
      </w:r>
      <w:r w:rsidRPr="00837233">
        <w:rPr>
          <w:rFonts w:eastAsia="Calibri" w:cs="Times New Roman"/>
          <w:u w:val="single"/>
        </w:rPr>
        <w:t xml:space="preserve">bring </w:t>
      </w:r>
      <w:r w:rsidRPr="00837233">
        <w:rPr>
          <w:rFonts w:eastAsia="Calibri" w:cs="Times New Roman"/>
          <w:sz w:val="12"/>
        </w:rPr>
        <w:t>with them</w:t>
      </w:r>
      <w:r w:rsidRPr="00837233">
        <w:rPr>
          <w:rFonts w:eastAsia="Calibri" w:cs="Times New Roman"/>
        </w:rPr>
        <w:t xml:space="preserve"> </w:t>
      </w:r>
      <w:r w:rsidRPr="00837233">
        <w:rPr>
          <w:rFonts w:eastAsia="Calibri" w:cs="Times New Roman"/>
          <w:u w:val="single"/>
        </w:rPr>
        <w:t>new</w:t>
      </w:r>
      <w:r w:rsidRPr="00837233">
        <w:rPr>
          <w:rFonts w:eastAsia="Calibri" w:cs="Times New Roman"/>
        </w:rPr>
        <w:t xml:space="preserve"> </w:t>
      </w:r>
      <w:r w:rsidRPr="00837233">
        <w:rPr>
          <w:rFonts w:eastAsia="Calibri" w:cs="Times New Roman"/>
          <w:sz w:val="12"/>
          <w:szCs w:val="12"/>
        </w:rPr>
        <w:t xml:space="preserve">terms and </w:t>
      </w:r>
      <w:r w:rsidRPr="00837233">
        <w:rPr>
          <w:rFonts w:eastAsia="Calibri" w:cs="Times New Roman"/>
          <w:u w:val="single"/>
        </w:rPr>
        <w:t>ways of talking</w:t>
      </w:r>
      <w:r w:rsidRPr="00837233">
        <w:rPr>
          <w:rFonts w:eastAsia="Calibri" w:cs="Times New Roman"/>
          <w:sz w:val="12"/>
          <w:szCs w:val="12"/>
        </w:rPr>
        <w:t>: accepting the language of “things” licenses making assertions like “The shirt is in the cu</w:t>
      </w:r>
      <w:r w:rsidRPr="00837233">
        <w:rPr>
          <w:rFonts w:eastAsia="Calibri" w:cs="Times New Roman"/>
          <w:sz w:val="12"/>
        </w:rPr>
        <w:t>pboard”;</w:t>
      </w:r>
      <w:r w:rsidRPr="00837233">
        <w:rPr>
          <w:rFonts w:eastAsia="Calibri" w:cs="Times New Roman"/>
        </w:rPr>
        <w:t xml:space="preserve"> </w:t>
      </w:r>
      <w:r w:rsidRPr="00837233">
        <w:rPr>
          <w:rFonts w:eastAsia="Calibri" w:cs="Times New Roman"/>
          <w:u w:val="single"/>
        </w:rPr>
        <w:t xml:space="preserve">accepting </w:t>
      </w:r>
      <w:r w:rsidRPr="00837233">
        <w:rPr>
          <w:rFonts w:eastAsia="Calibri" w:cs="Times New Roman"/>
          <w:highlight w:val="yellow"/>
          <w:u w:val="single"/>
        </w:rPr>
        <w:t xml:space="preserve">mathematics allows one to </w:t>
      </w:r>
      <w:proofErr w:type="gramStart"/>
      <w:r w:rsidRPr="00837233">
        <w:rPr>
          <w:rFonts w:eastAsia="Calibri" w:cs="Times New Roman"/>
          <w:highlight w:val="yellow"/>
          <w:u w:val="single"/>
        </w:rPr>
        <w:t>say</w:t>
      </w:r>
      <w:proofErr w:type="gramEnd"/>
      <w:r w:rsidRPr="00837233">
        <w:rPr>
          <w:rFonts w:eastAsia="Calibri" w:cs="Times New Roman"/>
          <w:highlight w:val="yellow"/>
          <w:u w:val="single"/>
        </w:rPr>
        <w:t xml:space="preserve"> “There is a prime number greater than one</w:t>
      </w:r>
      <w:r w:rsidRPr="00837233">
        <w:rPr>
          <w:rFonts w:eastAsia="Calibri" w:cs="Times New Roman"/>
          <w:u w:val="single"/>
        </w:rPr>
        <w:t xml:space="preserve"> </w:t>
      </w:r>
      <w:r w:rsidRPr="00837233">
        <w:rPr>
          <w:rFonts w:eastAsia="Calibri" w:cs="Times New Roman"/>
          <w:highlight w:val="yellow"/>
          <w:u w:val="single"/>
        </w:rPr>
        <w:t>hundred”;</w:t>
      </w:r>
      <w:r w:rsidRPr="00837233">
        <w:rPr>
          <w:rFonts w:eastAsia="Calibri" w:cs="Times New Roman"/>
          <w:sz w:val="12"/>
          <w:szCs w:val="12"/>
        </w:rPr>
        <w:t xml:space="preserve"> accepting the language of propositions permits saying “Chicago is large is a true proposition,” etc. Internal to the framework in question, confirming or disconfirming the truth of these </w:t>
      </w:r>
      <w:r w:rsidRPr="00837233">
        <w:rPr>
          <w:rFonts w:eastAsia="Calibri" w:cs="Times New Roman"/>
          <w:sz w:val="12"/>
        </w:rPr>
        <w:t>propositions</w:t>
      </w:r>
      <w:r w:rsidRPr="00837233">
        <w:rPr>
          <w:rFonts w:eastAsia="Calibri" w:cs="Times New Roman"/>
          <w:sz w:val="12"/>
          <w:szCs w:val="12"/>
        </w:rPr>
        <w:t xml:space="preserve"> </w:t>
      </w:r>
      <w:r w:rsidRPr="00837233">
        <w:rPr>
          <w:rFonts w:eastAsia="Calibri" w:cs="Times New Roman"/>
          <w:sz w:val="12"/>
        </w:rPr>
        <w:t>is a trivi</w:t>
      </w:r>
      <w:r w:rsidRPr="00837233">
        <w:rPr>
          <w:rFonts w:eastAsia="Calibri" w:cs="Times New Roman"/>
          <w:sz w:val="12"/>
          <w:szCs w:val="12"/>
        </w:rPr>
        <w:t>al matter. But traditionally</w:t>
      </w:r>
      <w:r w:rsidRPr="00837233">
        <w:rPr>
          <w:rFonts w:eastAsia="Calibri" w:cs="Times New Roman"/>
        </w:rPr>
        <w:t xml:space="preserve"> </w:t>
      </w:r>
      <w:r w:rsidRPr="00837233">
        <w:rPr>
          <w:rFonts w:eastAsia="Calibri" w:cs="Times New Roman"/>
          <w:highlight w:val="yellow"/>
          <w:u w:val="single"/>
        </w:rPr>
        <w:t>philosophers</w:t>
      </w:r>
      <w:r w:rsidRPr="00837233">
        <w:rPr>
          <w:rFonts w:eastAsia="Calibri" w:cs="Times New Roman"/>
          <w:u w:val="single"/>
        </w:rPr>
        <w:t xml:space="preserve"> have interest</w:t>
      </w:r>
      <w:r w:rsidRPr="00837233">
        <w:rPr>
          <w:rFonts w:eastAsia="Calibri" w:cs="Times New Roman"/>
          <w:sz w:val="12"/>
        </w:rPr>
        <w:t xml:space="preserve">ed themselves </w:t>
      </w:r>
      <w:r w:rsidRPr="00837233">
        <w:rPr>
          <w:rFonts w:eastAsia="Calibri" w:cs="Times New Roman"/>
          <w:u w:val="single"/>
        </w:rPr>
        <w:t>in</w:t>
      </w:r>
      <w:r w:rsidRPr="00837233">
        <w:rPr>
          <w:rFonts w:eastAsia="Calibri" w:cs="Times New Roman"/>
        </w:rPr>
        <w:t xml:space="preserve"> </w:t>
      </w:r>
      <w:r w:rsidRPr="00837233">
        <w:rPr>
          <w:rFonts w:eastAsia="Calibri" w:cs="Times New Roman"/>
          <w:sz w:val="12"/>
          <w:szCs w:val="12"/>
        </w:rPr>
        <w:t xml:space="preserve">the external </w:t>
      </w:r>
      <w:r w:rsidRPr="00837233">
        <w:rPr>
          <w:rFonts w:eastAsia="Calibri" w:cs="Times New Roman"/>
          <w:highlight w:val="yellow"/>
          <w:u w:val="single"/>
        </w:rPr>
        <w:t>question</w:t>
      </w:r>
      <w:r w:rsidRPr="00837233">
        <w:rPr>
          <w:rFonts w:eastAsia="Calibri" w:cs="Times New Roman"/>
          <w:sz w:val="12"/>
          <w:szCs w:val="12"/>
        </w:rPr>
        <w:t xml:space="preserve"> – the issue of the adequacy of </w:t>
      </w:r>
      <w:r w:rsidRPr="00837233">
        <w:rPr>
          <w:rFonts w:eastAsia="Calibri" w:cs="Times New Roman"/>
          <w:u w:val="single"/>
        </w:rPr>
        <w:t>the framework itself:</w:t>
      </w:r>
      <w:r w:rsidRPr="00837233">
        <w:rPr>
          <w:rFonts w:eastAsia="Calibri" w:cs="Times New Roman"/>
        </w:rPr>
        <w:t xml:space="preserve"> </w:t>
      </w:r>
      <w:r w:rsidRPr="00837233">
        <w:rPr>
          <w:rFonts w:eastAsia="Calibri" w:cs="Times New Roman"/>
          <w:sz w:val="12"/>
        </w:rPr>
        <w:t>“Do objects exist?”, “Does the world exist?”, “</w:t>
      </w:r>
      <w:r w:rsidRPr="00837233">
        <w:rPr>
          <w:rFonts w:eastAsia="Calibri" w:cs="Times New Roman"/>
          <w:highlight w:val="yellow"/>
          <w:u w:val="single"/>
        </w:rPr>
        <w:t>Are there numbers?</w:t>
      </w:r>
      <w:r w:rsidRPr="00837233">
        <w:rPr>
          <w:rFonts w:eastAsia="Calibri" w:cs="Times New Roman"/>
          <w:sz w:val="12"/>
          <w:szCs w:val="12"/>
        </w:rPr>
        <w:t>”, “</w:t>
      </w:r>
      <w:r w:rsidRPr="00837233">
        <w:rPr>
          <w:rFonts w:eastAsia="Calibri" w:cs="Times New Roman"/>
          <w:sz w:val="12"/>
        </w:rPr>
        <w:t xml:space="preserve">Are the propositions?”, etc. </w:t>
      </w:r>
      <w:proofErr w:type="spellStart"/>
      <w:r w:rsidRPr="00837233">
        <w:rPr>
          <w:rFonts w:eastAsia="Calibri" w:cs="Times New Roman"/>
          <w:sz w:val="12"/>
        </w:rPr>
        <w:t>Carnap’s</w:t>
      </w:r>
      <w:proofErr w:type="spellEnd"/>
      <w:r w:rsidRPr="00837233">
        <w:rPr>
          <w:rFonts w:eastAsia="Calibri" w:cs="Times New Roman"/>
          <w:sz w:val="12"/>
        </w:rPr>
        <w:t xml:space="preserve"> argument is that </w:t>
      </w:r>
      <w:r w:rsidRPr="00837233">
        <w:rPr>
          <w:rFonts w:eastAsia="Calibri" w:cs="Times New Roman"/>
          <w:highlight w:val="yellow"/>
          <w:u w:val="single"/>
        </w:rPr>
        <w:t>the</w:t>
      </w:r>
      <w:r w:rsidRPr="00837233">
        <w:rPr>
          <w:rFonts w:eastAsia="Calibri" w:cs="Times New Roman"/>
        </w:rPr>
        <w:t xml:space="preserve"> </w:t>
      </w:r>
      <w:r w:rsidRPr="00837233">
        <w:rPr>
          <w:rFonts w:eastAsia="Calibri" w:cs="Times New Roman"/>
          <w:sz w:val="12"/>
        </w:rPr>
        <w:t>external</w:t>
      </w:r>
      <w:r w:rsidRPr="00837233">
        <w:rPr>
          <w:rFonts w:eastAsia="Calibri" w:cs="Times New Roman"/>
        </w:rPr>
        <w:t xml:space="preserve"> </w:t>
      </w:r>
      <w:r w:rsidRPr="00837233">
        <w:rPr>
          <w:rFonts w:eastAsia="Calibri" w:cs="Times New Roman"/>
          <w:highlight w:val="yellow"/>
          <w:u w:val="single"/>
        </w:rPr>
        <w:t>question</w:t>
      </w:r>
      <w:r w:rsidRPr="00837233">
        <w:rPr>
          <w:rFonts w:eastAsia="Calibri" w:cs="Times New Roman"/>
          <w:u w:val="single"/>
        </w:rPr>
        <w:t>,</w:t>
      </w:r>
      <w:r w:rsidRPr="00837233">
        <w:rPr>
          <w:rFonts w:eastAsia="Calibri" w:cs="Times New Roman"/>
        </w:rPr>
        <w:t xml:space="preserve"> </w:t>
      </w:r>
      <w:r w:rsidRPr="00837233">
        <w:rPr>
          <w:rFonts w:eastAsia="Calibri" w:cs="Times New Roman"/>
          <w:sz w:val="12"/>
          <w:szCs w:val="12"/>
        </w:rPr>
        <w:t>as it has been typically construed,</w:t>
      </w:r>
      <w:r w:rsidRPr="00837233">
        <w:rPr>
          <w:rFonts w:eastAsia="Calibri" w:cs="Times New Roman"/>
        </w:rPr>
        <w:t xml:space="preserve"> </w:t>
      </w:r>
      <w:r w:rsidRPr="00837233">
        <w:rPr>
          <w:rFonts w:eastAsia="Calibri" w:cs="Times New Roman"/>
          <w:highlight w:val="yellow"/>
          <w:u w:val="single"/>
        </w:rPr>
        <w:t>does not make sense. From a perspective that accepts mathematics, the answer</w:t>
      </w:r>
      <w:r w:rsidRPr="00837233">
        <w:rPr>
          <w:rFonts w:eastAsia="Calibri" w:cs="Times New Roman"/>
          <w:sz w:val="12"/>
          <w:szCs w:val="12"/>
        </w:rPr>
        <w:t xml:space="preserve"> to the question “Do numbers exist?” </w:t>
      </w:r>
      <w:r w:rsidRPr="00837233">
        <w:rPr>
          <w:rFonts w:eastAsia="Calibri" w:cs="Times New Roman"/>
          <w:highlight w:val="yellow"/>
          <w:u w:val="single"/>
        </w:rPr>
        <w:t>is</w:t>
      </w:r>
      <w:r w:rsidRPr="00837233">
        <w:rPr>
          <w:rFonts w:eastAsia="Calibri" w:cs="Times New Roman"/>
          <w:u w:val="single"/>
        </w:rPr>
        <w:t xml:space="preserve"> just</w:t>
      </w:r>
      <w:r w:rsidRPr="00837233">
        <w:rPr>
          <w:rFonts w:eastAsia="Calibri" w:cs="Times New Roman"/>
        </w:rPr>
        <w:t xml:space="preserve"> </w:t>
      </w:r>
      <w:r w:rsidRPr="00837233">
        <w:rPr>
          <w:rFonts w:eastAsia="Calibri" w:cs="Times New Roman"/>
          <w:sz w:val="12"/>
        </w:rPr>
        <w:t>trivially</w:t>
      </w:r>
      <w:r w:rsidRPr="00837233">
        <w:rPr>
          <w:rFonts w:eastAsia="Calibri" w:cs="Times New Roman"/>
        </w:rPr>
        <w:t xml:space="preserve"> </w:t>
      </w:r>
      <w:r w:rsidRPr="00837233">
        <w:rPr>
          <w:rFonts w:eastAsia="Calibri" w:cs="Times New Roman"/>
          <w:highlight w:val="yellow"/>
          <w:u w:val="single"/>
        </w:rPr>
        <w:t>“Yes.”</w:t>
      </w:r>
      <w:r w:rsidRPr="00837233">
        <w:rPr>
          <w:rFonts w:eastAsia="Calibri" w:cs="Times New Roman"/>
        </w:rPr>
        <w:t xml:space="preserve"> </w:t>
      </w:r>
      <w:r w:rsidRPr="00837233">
        <w:rPr>
          <w:rFonts w:eastAsia="Calibri" w:cs="Times New Roman"/>
          <w:sz w:val="12"/>
        </w:rPr>
        <w:t xml:space="preserve">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w:t>
      </w:r>
      <w:r w:rsidRPr="00837233">
        <w:rPr>
          <w:rFonts w:eastAsia="Calibri" w:cs="Times New Roman"/>
          <w:sz w:val="12"/>
          <w:szCs w:val="12"/>
        </w:rPr>
        <w:t>the efficiency, the fruitfulness,</w:t>
      </w:r>
      <w:r w:rsidRPr="00837233">
        <w:rPr>
          <w:rFonts w:eastAsia="Calibri" w:cs="Times New Roman"/>
          <w:sz w:val="12"/>
        </w:rPr>
        <w:t xml:space="preserve"> the usefulness,</w:t>
      </w:r>
      <w:r w:rsidRPr="00837233">
        <w:rPr>
          <w:rFonts w:eastAsia="Calibri" w:cs="Times New Roman"/>
        </w:rPr>
        <w:t xml:space="preserve"> </w:t>
      </w:r>
      <w:r w:rsidRPr="00837233">
        <w:rPr>
          <w:rFonts w:eastAsia="Calibri" w:cs="Times New Roman"/>
          <w:sz w:val="12"/>
        </w:rPr>
        <w:t xml:space="preserve">etc., of the </w:t>
      </w:r>
      <w:r w:rsidRPr="00837233">
        <w:rPr>
          <w:rFonts w:eastAsia="Calibri" w:cs="Times New Roman"/>
          <w:sz w:val="12"/>
          <w:szCs w:val="12"/>
        </w:rPr>
        <w:t>a</w:t>
      </w:r>
      <w:r w:rsidRPr="00837233">
        <w:rPr>
          <w:rFonts w:eastAsia="Calibri" w:cs="Times New Roman"/>
          <w:sz w:val="12"/>
        </w:rPr>
        <w:t>dopt</w:t>
      </w:r>
      <w:r w:rsidRPr="00837233">
        <w:rPr>
          <w:rFonts w:eastAsia="Calibri" w:cs="Times New Roman"/>
          <w:sz w:val="12"/>
          <w:szCs w:val="12"/>
        </w:rPr>
        <w:t>ion. But the (</w:t>
      </w:r>
      <w:r w:rsidRPr="00837233">
        <w:rPr>
          <w:rFonts w:eastAsia="Calibri" w:cs="Times New Roman"/>
          <w:sz w:val="12"/>
        </w:rPr>
        <w:t>traditional</w:t>
      </w:r>
      <w:r w:rsidRPr="00837233">
        <w:rPr>
          <w:rFonts w:eastAsia="Calibri" w:cs="Times New Roman"/>
          <w:sz w:val="12"/>
          <w:szCs w:val="12"/>
        </w:rPr>
        <w:t>)</w:t>
      </w:r>
      <w:r w:rsidRPr="00837233">
        <w:rPr>
          <w:rFonts w:eastAsia="Calibri" w:cs="Times New Roman"/>
        </w:rPr>
        <w:t xml:space="preserve"> </w:t>
      </w:r>
      <w:r w:rsidRPr="00837233">
        <w:rPr>
          <w:rFonts w:eastAsia="Calibri" w:cs="Times New Roman"/>
          <w:u w:val="single"/>
        </w:rPr>
        <w:t>philosopher’s questions</w:t>
      </w:r>
      <w:r w:rsidRPr="00837233">
        <w:rPr>
          <w:rFonts w:eastAsia="Calibri" w:cs="Times New Roman"/>
          <w:sz w:val="12"/>
        </w:rPr>
        <w:t xml:space="preserve"> – “But is mathematics true?”, “Are there really numbers?” – </w:t>
      </w:r>
      <w:r w:rsidRPr="00837233">
        <w:rPr>
          <w:rFonts w:eastAsia="Calibri" w:cs="Times New Roman"/>
          <w:u w:val="single"/>
        </w:rPr>
        <w:t>are pseudo-questions.</w:t>
      </w:r>
      <w:r w:rsidRPr="00837233">
        <w:rPr>
          <w:rFonts w:eastAsia="Calibri" w:cs="Times New Roman"/>
          <w:sz w:val="12"/>
        </w:rPr>
        <w:t xml:space="preserve"> By turning traditional philosophical questions into practical questions of the form “Shall I adopt...?”, Carnap is offering a noncognitive analysis of </w:t>
      </w:r>
      <w:r w:rsidRPr="00837233">
        <w:rPr>
          <w:rFonts w:eastAsia="Calibri" w:cs="Times New Roman"/>
          <w:sz w:val="12"/>
          <w:szCs w:val="12"/>
        </w:rPr>
        <w:t>metaphysics. Since</w:t>
      </w:r>
      <w:r w:rsidRPr="00837233">
        <w:rPr>
          <w:rFonts w:eastAsia="Calibri" w:cs="Times New Roman"/>
          <w:sz w:val="12"/>
        </w:rPr>
        <w:t xml:space="preserve"> I am claiming that we can critically inspect morality from an external perspective – that we can ask whether there are any non-institutional reasons accompanying moral injunctions – and that such questioning would not amount to a “Shall we adopt...?” query, </w:t>
      </w:r>
      <w:proofErr w:type="spellStart"/>
      <w:r w:rsidRPr="00837233">
        <w:rPr>
          <w:rFonts w:eastAsia="Calibri" w:cs="Times New Roman"/>
          <w:sz w:val="12"/>
        </w:rPr>
        <w:t>Carnap’s</w:t>
      </w:r>
      <w:proofErr w:type="spellEnd"/>
      <w:r w:rsidRPr="00837233">
        <w:rPr>
          <w:rFonts w:eastAsia="Calibri" w:cs="Times New Roman"/>
          <w:sz w:val="12"/>
        </w:rPr>
        <w:t xml:space="preserve"> position represents a threat. What arguments does Carnap offer to his conclusion? He starts with the example of the “thing language,” which involves reference to objects that exist in time and space.</w:t>
      </w:r>
      <w:r w:rsidRPr="00837233">
        <w:rPr>
          <w:rFonts w:eastAsia="Calibri" w:cs="Times New Roman"/>
        </w:rPr>
        <w:t xml:space="preserve"> </w:t>
      </w:r>
      <w:r w:rsidRPr="00837233">
        <w:rPr>
          <w:rFonts w:eastAsia="Calibri" w:cs="Times New Roman"/>
          <w:u w:val="single"/>
        </w:rPr>
        <w:t>To</w:t>
      </w:r>
      <w:r w:rsidRPr="00837233">
        <w:rPr>
          <w:rFonts w:eastAsia="Calibri" w:cs="Times New Roman"/>
        </w:rPr>
        <w:t xml:space="preserve"> </w:t>
      </w:r>
      <w:r w:rsidRPr="00837233">
        <w:rPr>
          <w:rFonts w:eastAsia="Calibri" w:cs="Times New Roman"/>
          <w:sz w:val="12"/>
        </w:rPr>
        <w:t>step out of the thing language and</w:t>
      </w:r>
      <w:r w:rsidRPr="00837233">
        <w:rPr>
          <w:rFonts w:eastAsia="Calibri" w:cs="Times New Roman"/>
        </w:rPr>
        <w:t xml:space="preserve"> </w:t>
      </w:r>
      <w:proofErr w:type="gramStart"/>
      <w:r w:rsidRPr="00837233">
        <w:rPr>
          <w:rFonts w:eastAsia="Calibri" w:cs="Times New Roman"/>
          <w:u w:val="single"/>
        </w:rPr>
        <w:t>ask</w:t>
      </w:r>
      <w:proofErr w:type="gramEnd"/>
      <w:r w:rsidRPr="00837233">
        <w:rPr>
          <w:rFonts w:eastAsia="Calibri" w:cs="Times New Roman"/>
          <w:u w:val="single"/>
        </w:rPr>
        <w:t xml:space="preserve"> “But does the world exist?” is a mistake,</w:t>
      </w:r>
      <w:r w:rsidRPr="00837233">
        <w:rPr>
          <w:rFonts w:eastAsia="Calibri" w:cs="Times New Roman"/>
          <w:sz w:val="12"/>
        </w:rPr>
        <w:t xml:space="preserve"> Carnap thinks, </w:t>
      </w:r>
      <w:r w:rsidRPr="00837233">
        <w:rPr>
          <w:rFonts w:eastAsia="Calibri" w:cs="Times New Roman"/>
          <w:highlight w:val="yellow"/>
          <w:u w:val="single"/>
        </w:rPr>
        <w:t xml:space="preserve">because the very notion </w:t>
      </w:r>
      <w:r w:rsidRPr="00837233">
        <w:rPr>
          <w:rFonts w:eastAsia="Calibri" w:cs="Times New Roman"/>
          <w:u w:val="single"/>
        </w:rPr>
        <w:t>of “existence”</w:t>
      </w:r>
      <w:r w:rsidRPr="00837233">
        <w:rPr>
          <w:rFonts w:eastAsia="Calibri" w:cs="Times New Roman"/>
          <w:sz w:val="12"/>
          <w:szCs w:val="12"/>
        </w:rPr>
        <w:t xml:space="preserve"> is a term which belongs to the thing language, and </w:t>
      </w:r>
      <w:r w:rsidRPr="00837233">
        <w:rPr>
          <w:rFonts w:eastAsia="Calibri" w:cs="Times New Roman"/>
          <w:highlight w:val="yellow"/>
          <w:u w:val="single"/>
        </w:rPr>
        <w:t>can be understood only within that framework</w:t>
      </w:r>
      <w:r w:rsidRPr="00837233">
        <w:rPr>
          <w:rFonts w:eastAsia="Calibri" w:cs="Times New Roman"/>
          <w:sz w:val="12"/>
          <w:szCs w:val="12"/>
        </w:rPr>
        <w:t xml:space="preserve">, “hence this concept cannot be meaningfully applied to the system itself.” 16 Moving on to the external question “Do numbers exist?” Carnap cannot use the same argument – he cannot say that “existence” is internal to the number language </w:t>
      </w:r>
      <w:r w:rsidRPr="00837233">
        <w:rPr>
          <w:rFonts w:eastAsia="Calibri" w:cs="Times New Roman"/>
          <w:sz w:val="12"/>
        </w:rPr>
        <w:t xml:space="preserve">and thus cannot be applied to the </w:t>
      </w:r>
      <w:proofErr w:type="gramStart"/>
      <w:r w:rsidRPr="00837233">
        <w:rPr>
          <w:rFonts w:eastAsia="Calibri" w:cs="Times New Roman"/>
          <w:sz w:val="12"/>
        </w:rPr>
        <w:t>system as a whole</w:t>
      </w:r>
      <w:proofErr w:type="gramEnd"/>
      <w:r w:rsidRPr="00837233">
        <w:rPr>
          <w:rFonts w:eastAsia="Calibri" w:cs="Times New Roman"/>
          <w:sz w:val="12"/>
        </w:rPr>
        <w:t xml:space="preserve">. </w:t>
      </w:r>
      <w:proofErr w:type="gramStart"/>
      <w:r w:rsidRPr="00837233">
        <w:rPr>
          <w:rFonts w:eastAsia="Calibri" w:cs="Times New Roman"/>
          <w:sz w:val="12"/>
        </w:rPr>
        <w:t>Instead</w:t>
      </w:r>
      <w:proofErr w:type="gramEnd"/>
      <w:r w:rsidRPr="00837233">
        <w:rPr>
          <w:rFonts w:eastAsia="Calibri" w:cs="Times New Roman"/>
          <w:sz w:val="12"/>
        </w:rPr>
        <w:t xml:space="preserve">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Pr="00837233">
        <w:rPr>
          <w:rFonts w:eastAsia="Calibri" w:cs="Times New Roman"/>
          <w:highlight w:val="yellow"/>
          <w:u w:val="single"/>
        </w:rPr>
        <w:t>persons who dispute</w:t>
      </w:r>
      <w:r w:rsidRPr="00837233">
        <w:rPr>
          <w:rFonts w:eastAsia="Calibri" w:cs="Times New Roman"/>
          <w:u w:val="single"/>
        </w:rPr>
        <w:t xml:space="preserve"> </w:t>
      </w:r>
      <w:r w:rsidRPr="00837233">
        <w:rPr>
          <w:rFonts w:eastAsia="Calibri" w:cs="Times New Roman"/>
          <w:sz w:val="12"/>
          <w:szCs w:val="12"/>
        </w:rPr>
        <w:t>whether propositions exist,</w:t>
      </w:r>
      <w:r w:rsidRPr="00837233">
        <w:rPr>
          <w:rFonts w:eastAsia="Calibri" w:cs="Times New Roman"/>
          <w:sz w:val="12"/>
        </w:rPr>
        <w:t xml:space="preserve"> </w:t>
      </w:r>
      <w:r w:rsidRPr="00837233">
        <w:rPr>
          <w:rFonts w:eastAsia="Calibri" w:cs="Times New Roman"/>
          <w:u w:val="single"/>
        </w:rPr>
        <w:t>whether properties exist,</w:t>
      </w:r>
      <w:r w:rsidRPr="00837233">
        <w:rPr>
          <w:rFonts w:eastAsia="Calibri" w:cs="Times New Roman"/>
          <w:sz w:val="12"/>
          <w:szCs w:val="12"/>
        </w:rPr>
        <w:t xml:space="preserve"> etc., do not know what they are arguing over, thus they</w:t>
      </w:r>
      <w:r w:rsidRPr="00837233">
        <w:rPr>
          <w:rFonts w:eastAsia="Calibri" w:cs="Times New Roman"/>
        </w:rPr>
        <w:t xml:space="preserve"> </w:t>
      </w:r>
      <w:r w:rsidRPr="00837233">
        <w:rPr>
          <w:rFonts w:eastAsia="Calibri" w:cs="Times New Roman"/>
          <w:highlight w:val="yellow"/>
          <w:u w:val="single"/>
        </w:rPr>
        <w:t>are not arguing over</w:t>
      </w:r>
      <w:r w:rsidRPr="00837233">
        <w:rPr>
          <w:rFonts w:eastAsia="Calibri" w:cs="Times New Roman"/>
          <w:u w:val="single"/>
        </w:rPr>
        <w:t xml:space="preserve"> the </w:t>
      </w:r>
      <w:r w:rsidRPr="00837233">
        <w:rPr>
          <w:rFonts w:eastAsia="Calibri" w:cs="Times New Roman"/>
          <w:highlight w:val="yellow"/>
          <w:u w:val="single"/>
        </w:rPr>
        <w:t>truth</w:t>
      </w:r>
      <w:r w:rsidRPr="00837233">
        <w:rPr>
          <w:rFonts w:eastAsia="Calibri" w:cs="Times New Roman"/>
          <w:u w:val="single"/>
        </w:rPr>
        <w:t xml:space="preserve"> of a proposition, </w:t>
      </w:r>
      <w:r w:rsidRPr="00837233">
        <w:rPr>
          <w:rFonts w:eastAsia="Calibri" w:cs="Times New Roman"/>
          <w:highlight w:val="yellow"/>
          <w:u w:val="single"/>
        </w:rPr>
        <w:t>but over</w:t>
      </w:r>
      <w:r w:rsidRPr="00837233">
        <w:rPr>
          <w:rFonts w:eastAsia="Calibri" w:cs="Times New Roman"/>
          <w:u w:val="single"/>
        </w:rPr>
        <w:t xml:space="preserve"> the </w:t>
      </w:r>
      <w:r w:rsidRPr="00837233">
        <w:rPr>
          <w:rFonts w:eastAsia="Calibri" w:cs="Times New Roman"/>
          <w:highlight w:val="yellow"/>
          <w:u w:val="single"/>
        </w:rPr>
        <w:t>practical value</w:t>
      </w:r>
      <w:r w:rsidRPr="00837233">
        <w:rPr>
          <w:rFonts w:eastAsia="Calibri" w:cs="Times New Roman"/>
          <w:u w:val="single"/>
        </w:rPr>
        <w:t xml:space="preserve"> of their</w:t>
      </w:r>
      <w:r w:rsidRPr="00837233">
        <w:rPr>
          <w:rFonts w:eastAsia="Calibri" w:cs="Times New Roman"/>
          <w:sz w:val="12"/>
          <w:szCs w:val="12"/>
        </w:rPr>
        <w:t xml:space="preserve"> respective </w:t>
      </w:r>
      <w:r w:rsidRPr="00837233">
        <w:rPr>
          <w:rFonts w:eastAsia="Calibri" w:cs="Times New Roman"/>
          <w:u w:val="single"/>
        </w:rPr>
        <w:t>positions.</w:t>
      </w:r>
      <w:r w:rsidRPr="00837233">
        <w:rPr>
          <w:rFonts w:eastAsia="Calibri" w:cs="Times New Roman"/>
          <w:sz w:val="12"/>
        </w:rPr>
        <w:t xml:space="preserve"> Carnap adds that this is so because there is nothing that both parties would possibly count as evidence that would sway the debate one way or the other.</w:t>
      </w:r>
    </w:p>
    <w:p w14:paraId="1088CFA0" w14:textId="2901E587" w:rsidR="002B013B" w:rsidRPr="007C129F" w:rsidRDefault="002B013B" w:rsidP="007C129F">
      <w:pPr>
        <w:pStyle w:val="Heading4"/>
        <w:rPr>
          <w:rFonts w:ascii="Times" w:hAnsi="Times"/>
          <w:bCs/>
          <w:sz w:val="10"/>
          <w:szCs w:val="20"/>
        </w:rPr>
      </w:pPr>
    </w:p>
    <w:sectPr w:rsidR="002B013B" w:rsidRPr="007C129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EB7D9" w14:textId="77777777" w:rsidR="008C3800" w:rsidRDefault="008C3800" w:rsidP="005E33D2">
      <w:pPr>
        <w:spacing w:after="0" w:line="240" w:lineRule="auto"/>
      </w:pPr>
      <w:r>
        <w:separator/>
      </w:r>
    </w:p>
  </w:endnote>
  <w:endnote w:type="continuationSeparator" w:id="0">
    <w:p w14:paraId="3B51AE73" w14:textId="77777777" w:rsidR="008C3800" w:rsidRDefault="008C3800" w:rsidP="005E33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8A3B11" w14:textId="77777777" w:rsidR="008C3800" w:rsidRDefault="008C3800" w:rsidP="005E33D2">
      <w:pPr>
        <w:spacing w:after="0" w:line="240" w:lineRule="auto"/>
      </w:pPr>
      <w:r>
        <w:separator/>
      </w:r>
    </w:p>
  </w:footnote>
  <w:footnote w:type="continuationSeparator" w:id="0">
    <w:p w14:paraId="2DF8FBA9" w14:textId="77777777" w:rsidR="008C3800" w:rsidRDefault="008C3800" w:rsidP="005E33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4"/>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E33D2"/>
    <w:rsid w:val="000139A3"/>
    <w:rsid w:val="00067488"/>
    <w:rsid w:val="00100833"/>
    <w:rsid w:val="00104529"/>
    <w:rsid w:val="00105942"/>
    <w:rsid w:val="00107396"/>
    <w:rsid w:val="00144A4C"/>
    <w:rsid w:val="00176AB0"/>
    <w:rsid w:val="00177B7D"/>
    <w:rsid w:val="0018322D"/>
    <w:rsid w:val="001B5776"/>
    <w:rsid w:val="001E527A"/>
    <w:rsid w:val="001F78CE"/>
    <w:rsid w:val="00251FC7"/>
    <w:rsid w:val="002855A7"/>
    <w:rsid w:val="002B013B"/>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E33D2"/>
    <w:rsid w:val="005E4B20"/>
    <w:rsid w:val="006065BD"/>
    <w:rsid w:val="00645FA9"/>
    <w:rsid w:val="00647866"/>
    <w:rsid w:val="00665003"/>
    <w:rsid w:val="006A2AD0"/>
    <w:rsid w:val="006C2375"/>
    <w:rsid w:val="006D4ECC"/>
    <w:rsid w:val="00722258"/>
    <w:rsid w:val="007243E5"/>
    <w:rsid w:val="00745C49"/>
    <w:rsid w:val="00766EA0"/>
    <w:rsid w:val="007A2226"/>
    <w:rsid w:val="007C129F"/>
    <w:rsid w:val="007F5B66"/>
    <w:rsid w:val="00823A1C"/>
    <w:rsid w:val="00845B9D"/>
    <w:rsid w:val="00860984"/>
    <w:rsid w:val="008B3ECB"/>
    <w:rsid w:val="008B4E85"/>
    <w:rsid w:val="008C1B2E"/>
    <w:rsid w:val="008C3800"/>
    <w:rsid w:val="0091627E"/>
    <w:rsid w:val="00931E66"/>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064CA"/>
    <w:rsid w:val="00C13773"/>
    <w:rsid w:val="00C17CC8"/>
    <w:rsid w:val="00C62D7A"/>
    <w:rsid w:val="00C83417"/>
    <w:rsid w:val="00C9604F"/>
    <w:rsid w:val="00CA19AA"/>
    <w:rsid w:val="00CC5298"/>
    <w:rsid w:val="00CD736E"/>
    <w:rsid w:val="00CD798D"/>
    <w:rsid w:val="00CE161E"/>
    <w:rsid w:val="00CF59A8"/>
    <w:rsid w:val="00D325A9"/>
    <w:rsid w:val="00D36A8A"/>
    <w:rsid w:val="00D61409"/>
    <w:rsid w:val="00D6691E"/>
    <w:rsid w:val="00D71170"/>
    <w:rsid w:val="00D85FB2"/>
    <w:rsid w:val="00DA1C92"/>
    <w:rsid w:val="00DA25D4"/>
    <w:rsid w:val="00DA6538"/>
    <w:rsid w:val="00E04BAA"/>
    <w:rsid w:val="00E15E75"/>
    <w:rsid w:val="00E5262C"/>
    <w:rsid w:val="00E57843"/>
    <w:rsid w:val="00EC7DC4"/>
    <w:rsid w:val="00ED30CF"/>
    <w:rsid w:val="00F176EF"/>
    <w:rsid w:val="00F45E10"/>
    <w:rsid w:val="00F6364A"/>
    <w:rsid w:val="00F9113A"/>
    <w:rsid w:val="00FB3D8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ECF63"/>
  <w15:chartTrackingRefBased/>
  <w15:docId w15:val="{E76AA537-1736-4CD2-8B40-6A709116A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B013B"/>
    <w:rPr>
      <w:rFonts w:ascii="Calibri" w:hAnsi="Calibri" w:cs="Calibri"/>
    </w:rPr>
  </w:style>
  <w:style w:type="paragraph" w:styleId="Heading1">
    <w:name w:val="heading 1"/>
    <w:aliases w:val="Pocket"/>
    <w:basedOn w:val="Normal"/>
    <w:next w:val="Normal"/>
    <w:link w:val="Heading1Char"/>
    <w:qFormat/>
    <w:rsid w:val="005E33D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E33D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E33D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3"/>
    <w:unhideWhenUsed/>
    <w:qFormat/>
    <w:rsid w:val="005E33D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E33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E33D2"/>
  </w:style>
  <w:style w:type="character" w:customStyle="1" w:styleId="Heading1Char">
    <w:name w:val="Heading 1 Char"/>
    <w:aliases w:val="Pocket Char"/>
    <w:basedOn w:val="DefaultParagraphFont"/>
    <w:link w:val="Heading1"/>
    <w:rsid w:val="005E33D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E33D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E33D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5E33D2"/>
    <w:rPr>
      <w:rFonts w:ascii="Calibri" w:eastAsiaTheme="majorEastAsia" w:hAnsi="Calibri" w:cstheme="majorBidi"/>
      <w:b/>
      <w:iCs/>
      <w:sz w:val="26"/>
    </w:rPr>
  </w:style>
  <w:style w:type="character" w:styleId="Emphasis">
    <w:name w:val="Emphasis"/>
    <w:basedOn w:val="DefaultParagraphFont"/>
    <w:uiPriority w:val="7"/>
    <w:qFormat/>
    <w:rsid w:val="005E33D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E33D2"/>
    <w:rPr>
      <w:b/>
      <w:bCs/>
      <w:sz w:val="26"/>
      <w:u w:val="single"/>
    </w:rPr>
  </w:style>
  <w:style w:type="character" w:customStyle="1" w:styleId="StyleUnderline">
    <w:name w:val="Style Underline"/>
    <w:aliases w:val="Underline"/>
    <w:basedOn w:val="DefaultParagraphFont"/>
    <w:uiPriority w:val="6"/>
    <w:qFormat/>
    <w:rsid w:val="005E33D2"/>
    <w:rPr>
      <w:b w:val="0"/>
      <w:sz w:val="22"/>
      <w:u w:val="single"/>
    </w:rPr>
  </w:style>
  <w:style w:type="character" w:styleId="Hyperlink">
    <w:name w:val="Hyperlink"/>
    <w:basedOn w:val="DefaultParagraphFont"/>
    <w:uiPriority w:val="99"/>
    <w:semiHidden/>
    <w:unhideWhenUsed/>
    <w:rsid w:val="005E33D2"/>
    <w:rPr>
      <w:color w:val="auto"/>
      <w:u w:val="none"/>
    </w:rPr>
  </w:style>
  <w:style w:type="character" w:styleId="FollowedHyperlink">
    <w:name w:val="FollowedHyperlink"/>
    <w:basedOn w:val="DefaultParagraphFont"/>
    <w:uiPriority w:val="99"/>
    <w:semiHidden/>
    <w:unhideWhenUsed/>
    <w:rsid w:val="005E33D2"/>
    <w:rPr>
      <w:color w:val="auto"/>
      <w:u w:val="none"/>
    </w:rPr>
  </w:style>
  <w:style w:type="paragraph" w:customStyle="1" w:styleId="FootnoteText1">
    <w:name w:val="Footnote Text1"/>
    <w:basedOn w:val="Normal"/>
    <w:next w:val="FootnoteText"/>
    <w:link w:val="FootnoteTextChar"/>
    <w:uiPriority w:val="99"/>
    <w:unhideWhenUsed/>
    <w:qFormat/>
    <w:rsid w:val="005E33D2"/>
    <w:pPr>
      <w:spacing w:after="0" w:line="240" w:lineRule="auto"/>
    </w:pPr>
    <w:rPr>
      <w:rFonts w:eastAsia="Cambria"/>
      <w:sz w:val="20"/>
      <w:szCs w:val="20"/>
    </w:rPr>
  </w:style>
  <w:style w:type="character" w:customStyle="1" w:styleId="FootnoteTextChar">
    <w:name w:val="Footnote Text Char"/>
    <w:basedOn w:val="DefaultParagraphFont"/>
    <w:link w:val="FootnoteText1"/>
    <w:uiPriority w:val="99"/>
    <w:rsid w:val="005E33D2"/>
    <w:rPr>
      <w:rFonts w:ascii="Calibri" w:eastAsia="Cambria" w:hAnsi="Calibri" w:cs="Calibri"/>
      <w:sz w:val="20"/>
      <w:szCs w:val="20"/>
    </w:rPr>
  </w:style>
  <w:style w:type="character" w:styleId="FootnoteReference">
    <w:name w:val="footnote reference"/>
    <w:aliases w:val="FN Ref,footnote reference,fr,o,FR,(NECG) Footnote Reference"/>
    <w:basedOn w:val="DefaultParagraphFont"/>
    <w:unhideWhenUsed/>
    <w:qFormat/>
    <w:rsid w:val="005E33D2"/>
    <w:rPr>
      <w:vertAlign w:val="superscript"/>
    </w:rPr>
  </w:style>
  <w:style w:type="paragraph" w:styleId="FootnoteText">
    <w:name w:val="footnote text"/>
    <w:basedOn w:val="Normal"/>
    <w:link w:val="FootnoteTextChar1"/>
    <w:uiPriority w:val="99"/>
    <w:semiHidden/>
    <w:unhideWhenUsed/>
    <w:rsid w:val="005E33D2"/>
    <w:pPr>
      <w:spacing w:after="0" w:line="240" w:lineRule="auto"/>
    </w:pPr>
    <w:rPr>
      <w:sz w:val="20"/>
      <w:szCs w:val="20"/>
    </w:rPr>
  </w:style>
  <w:style w:type="character" w:customStyle="1" w:styleId="FootnoteTextChar1">
    <w:name w:val="Footnote Text Char1"/>
    <w:basedOn w:val="DefaultParagraphFont"/>
    <w:link w:val="FootnoteText"/>
    <w:uiPriority w:val="99"/>
    <w:semiHidden/>
    <w:rsid w:val="005E33D2"/>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64</TotalTime>
  <Pages>1</Pages>
  <Words>2010</Words>
  <Characters>11463</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2</cp:revision>
  <dcterms:created xsi:type="dcterms:W3CDTF">2021-12-03T22:50:00Z</dcterms:created>
  <dcterms:modified xsi:type="dcterms:W3CDTF">2021-12-04T00:01:00Z</dcterms:modified>
</cp:coreProperties>
</file>