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15E44" w14:textId="406B9A11" w:rsidR="00D66D94" w:rsidRDefault="00D66D94" w:rsidP="00D66D94">
      <w:pPr>
        <w:keepNext/>
        <w:keepLines/>
        <w:pageBreakBefore/>
        <w:spacing w:before="40" w:after="0"/>
        <w:jc w:val="center"/>
        <w:outlineLvl w:val="1"/>
        <w:rPr>
          <w:rFonts w:eastAsia="Times New Roman"/>
          <w:b/>
          <w:sz w:val="44"/>
          <w:szCs w:val="26"/>
          <w:u w:val="double"/>
        </w:rPr>
      </w:pPr>
      <w:r>
        <w:rPr>
          <w:rFonts w:eastAsia="Times New Roman"/>
          <w:b/>
          <w:sz w:val="44"/>
          <w:szCs w:val="26"/>
          <w:u w:val="double"/>
        </w:rPr>
        <w:t>Shell</w:t>
      </w:r>
    </w:p>
    <w:p w14:paraId="6B895322" w14:textId="77777777" w:rsidR="00D66D94" w:rsidRPr="00D66D94" w:rsidRDefault="00D66D94" w:rsidP="00D66D94">
      <w:pPr>
        <w:keepNext/>
        <w:keepLines/>
        <w:spacing w:before="40" w:after="0" w:line="240" w:lineRule="auto"/>
        <w:outlineLvl w:val="3"/>
        <w:rPr>
          <w:rFonts w:eastAsia="MS Gothic" w:cs="Times New Roman"/>
          <w:b/>
          <w:iCs/>
          <w:color w:val="000000"/>
          <w:sz w:val="26"/>
        </w:rPr>
      </w:pPr>
      <w:r w:rsidRPr="00D66D94">
        <w:rPr>
          <w:rFonts w:eastAsia="MS Gothic" w:cs="Times New Roman"/>
          <w:b/>
          <w:iCs/>
          <w:sz w:val="26"/>
        </w:rPr>
        <w:t>A</w:t>
      </w:r>
      <w:r w:rsidRPr="00D66D94">
        <w:rPr>
          <w:rFonts w:eastAsia="MS Gothic" w:cs="Times New Roman"/>
          <w:b/>
          <w:iCs/>
          <w:color w:val="000000"/>
          <w:sz w:val="26"/>
        </w:rPr>
        <w:t xml:space="preserve">. Interpretation: Debaters must disclose all previously read positions on their LD NDCA wiki page under their own name with full citations, tags, and first three/last three words at least 30 minutes before the round </w:t>
      </w:r>
    </w:p>
    <w:p w14:paraId="0E47301F" w14:textId="69D22E76" w:rsidR="00D66D94" w:rsidRDefault="00D66D94" w:rsidP="00D66D94">
      <w:pPr>
        <w:keepNext/>
        <w:keepLines/>
        <w:spacing w:before="40" w:after="0" w:line="240" w:lineRule="auto"/>
        <w:outlineLvl w:val="3"/>
        <w:rPr>
          <w:rFonts w:eastAsia="MS Gothic" w:cs="Times New Roman"/>
          <w:b/>
          <w:iCs/>
          <w:color w:val="000000"/>
          <w:sz w:val="26"/>
        </w:rPr>
      </w:pPr>
      <w:r w:rsidRPr="00D66D94">
        <w:rPr>
          <w:rFonts w:eastAsia="MS Gothic" w:cs="Times New Roman"/>
          <w:b/>
          <w:iCs/>
          <w:color w:val="000000"/>
          <w:sz w:val="26"/>
        </w:rPr>
        <w:t xml:space="preserve">B. Violation: </w:t>
      </w:r>
      <w:r w:rsidR="007B37DF">
        <w:rPr>
          <w:rFonts w:eastAsia="MS Gothic" w:cs="Times New Roman"/>
          <w:b/>
          <w:iCs/>
          <w:color w:val="000000"/>
          <w:sz w:val="26"/>
        </w:rPr>
        <w:t>sc will send after</w:t>
      </w:r>
    </w:p>
    <w:p w14:paraId="3F4D5722" w14:textId="12C537EF" w:rsidR="007B37DF" w:rsidRPr="00D66D94" w:rsidRDefault="007B37DF" w:rsidP="00D66D94">
      <w:pPr>
        <w:keepNext/>
        <w:keepLines/>
        <w:spacing w:before="40" w:after="0" w:line="240" w:lineRule="auto"/>
        <w:outlineLvl w:val="3"/>
        <w:rPr>
          <w:rFonts w:eastAsia="MS Gothic" w:cs="Times New Roman"/>
          <w:b/>
          <w:iCs/>
          <w:color w:val="000000"/>
          <w:sz w:val="26"/>
        </w:rPr>
      </w:pPr>
      <w:r>
        <w:rPr>
          <w:rFonts w:eastAsia="MS Gothic" w:cs="Times New Roman"/>
          <w:b/>
          <w:iCs/>
          <w:noProof/>
          <w:color w:val="000000"/>
          <w:sz w:val="26"/>
        </w:rPr>
        <w:drawing>
          <wp:inline distT="0" distB="0" distL="0" distR="0" wp14:anchorId="7C9195C2" wp14:editId="28C46E39">
            <wp:extent cx="6283325" cy="52965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3325" cy="5296535"/>
                    </a:xfrm>
                    <a:prstGeom prst="rect">
                      <a:avLst/>
                    </a:prstGeom>
                    <a:noFill/>
                    <a:ln>
                      <a:noFill/>
                    </a:ln>
                  </pic:spPr>
                </pic:pic>
              </a:graphicData>
            </a:graphic>
          </wp:inline>
        </w:drawing>
      </w:r>
    </w:p>
    <w:p w14:paraId="522B4EC2" w14:textId="62795CD7" w:rsidR="00D66D94" w:rsidRPr="00D66D94" w:rsidRDefault="00D66D94" w:rsidP="00D66D94">
      <w:pPr>
        <w:keepNext/>
        <w:keepLines/>
        <w:spacing w:before="40" w:after="0" w:line="240" w:lineRule="auto"/>
        <w:outlineLvl w:val="3"/>
        <w:rPr>
          <w:rFonts w:eastAsia="MS Gothic" w:cs="Times New Roman"/>
          <w:b/>
          <w:iCs/>
          <w:color w:val="000000"/>
          <w:sz w:val="26"/>
        </w:rPr>
      </w:pPr>
      <w:r w:rsidRPr="00D66D94">
        <w:rPr>
          <w:rFonts w:eastAsia="MS Gothic" w:cs="Times New Roman"/>
          <w:b/>
          <w:iCs/>
          <w:color w:val="000000"/>
          <w:sz w:val="26"/>
        </w:rPr>
        <w:t>C. Standards:</w:t>
      </w:r>
    </w:p>
    <w:p w14:paraId="19FCF3C3" w14:textId="77777777" w:rsidR="00D66D94" w:rsidRPr="00D66D94" w:rsidRDefault="00D66D94" w:rsidP="00D66D94">
      <w:pPr>
        <w:keepNext/>
        <w:keepLines/>
        <w:spacing w:before="40" w:after="0" w:line="240" w:lineRule="auto"/>
        <w:outlineLvl w:val="3"/>
        <w:rPr>
          <w:rFonts w:eastAsia="MS Gothic" w:cs="Times New Roman"/>
          <w:b/>
          <w:iCs/>
          <w:color w:val="000000"/>
          <w:sz w:val="26"/>
        </w:rPr>
      </w:pPr>
      <w:r w:rsidRPr="00D66D94">
        <w:rPr>
          <w:rFonts w:eastAsia="MS Gothic" w:cs="Times New Roman"/>
          <w:b/>
          <w:iCs/>
          <w:color w:val="000000"/>
          <w:sz w:val="26"/>
        </w:rPr>
        <w:t>1. Academic Integrity – Disclosure deters mis-cutting evidence, power-tagging cards, and the abuse of brackets since it allows other debaters and your opponents the ability to recut your evidence and call you out if you are dishonest. Independent voter since a) it affects us outside of debate – now is the time we develop research habits and attitudes and if we can’t respect honest practices then you will suffer in the real-world and b) it destroys the constitutive purpose of debate as an educational activity if you can just make up or lie about evidence. Also means that you should disregard all of their evidence they read because their lack of disclosure means that I could not have checked before round to see if it was miscut, and it would infinitely skew my strategy to have to read through all of your cards in prep time.</w:t>
      </w:r>
    </w:p>
    <w:p w14:paraId="1820497F" w14:textId="77777777" w:rsidR="00D66D94" w:rsidRPr="00D66D94" w:rsidRDefault="00D66D94" w:rsidP="00D66D94">
      <w:pPr>
        <w:keepNext/>
        <w:keepLines/>
        <w:spacing w:before="40" w:after="0" w:line="240" w:lineRule="auto"/>
        <w:outlineLvl w:val="3"/>
        <w:rPr>
          <w:rFonts w:eastAsia="MS Gothic" w:cs="Times New Roman"/>
          <w:b/>
          <w:iCs/>
          <w:color w:val="000000"/>
          <w:sz w:val="26"/>
        </w:rPr>
      </w:pPr>
      <w:r w:rsidRPr="00D66D94">
        <w:rPr>
          <w:rFonts w:eastAsia="MS Gothic" w:cs="Times New Roman"/>
          <w:b/>
          <w:iCs/>
          <w:color w:val="000000"/>
          <w:sz w:val="26"/>
        </w:rPr>
        <w:t>2. Reciprocity – a lot of debaters already follow fair disclosure practices which means that those who don’t disclose get access to cites and cards for cases and blocks, which improves their ground and means that they can predict what others are running, but we can’t predict them. Outweighs their counter-interp because their arguments are only self-serving and don’t resolve communal freeriding. They disclosed in the past which proves that they are able to. Not doing so after previously disclosing supercharges the abuse because debaters will think that they just haven’t debated the topic because we “know” that they follows good disclosure practices.</w:t>
      </w:r>
    </w:p>
    <w:p w14:paraId="7B025FCE" w14:textId="300A534B" w:rsidR="00D66D94" w:rsidRDefault="00D66D94" w:rsidP="00D66D94">
      <w:pPr>
        <w:pStyle w:val="Heading4"/>
        <w:rPr>
          <w:rFonts w:eastAsia="Times New Roman"/>
        </w:rPr>
      </w:pPr>
      <w:r>
        <w:rPr>
          <w:rFonts w:eastAsia="Times New Roman"/>
        </w:rPr>
        <w:t>F</w:t>
      </w:r>
    </w:p>
    <w:p w14:paraId="172A21FD" w14:textId="103A7555" w:rsidR="00D66D94" w:rsidRPr="00D66D94" w:rsidRDefault="00D66D94" w:rsidP="00D66D94">
      <w:pPr>
        <w:pStyle w:val="Heading4"/>
      </w:pPr>
      <w:r>
        <w:t>E</w:t>
      </w:r>
    </w:p>
    <w:p w14:paraId="48098817" w14:textId="072FD595" w:rsidR="00D66D94" w:rsidRPr="00D66D94" w:rsidRDefault="00D66D94" w:rsidP="00D66D94">
      <w:pPr>
        <w:keepNext/>
        <w:keepLines/>
        <w:pageBreakBefore/>
        <w:spacing w:before="40" w:after="0"/>
        <w:jc w:val="center"/>
        <w:outlineLvl w:val="1"/>
        <w:rPr>
          <w:rFonts w:eastAsia="Times New Roman"/>
          <w:b/>
          <w:sz w:val="44"/>
          <w:szCs w:val="26"/>
          <w:u w:val="double"/>
        </w:rPr>
      </w:pPr>
      <w:r w:rsidRPr="00D66D94">
        <w:rPr>
          <w:rFonts w:eastAsia="Times New Roman"/>
          <w:b/>
          <w:sz w:val="44"/>
          <w:szCs w:val="26"/>
          <w:u w:val="double"/>
        </w:rPr>
        <w:t>Fwk</w:t>
      </w:r>
    </w:p>
    <w:p w14:paraId="30B6B8D7"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The meta-ethic is consistency with transcendental form of subjects.</w:t>
      </w:r>
    </w:p>
    <w:p w14:paraId="6CDDEBD1" w14:textId="77777777" w:rsidR="00D66D94" w:rsidRPr="00D66D94" w:rsidRDefault="00D66D94" w:rsidP="00D66D94">
      <w:pPr>
        <w:rPr>
          <w:rFonts w:eastAsia="Calibri"/>
          <w:b/>
          <w:szCs w:val="26"/>
        </w:rPr>
      </w:pPr>
    </w:p>
    <w:p w14:paraId="18AC975B"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30373D39" w14:textId="77777777" w:rsidR="00D66D94" w:rsidRPr="00D66D94" w:rsidRDefault="00D66D94" w:rsidP="00D66D94">
      <w:pPr>
        <w:spacing w:after="0" w:line="240" w:lineRule="auto"/>
        <w:rPr>
          <w:rFonts w:eastAsia="Arial"/>
          <w:b/>
          <w:color w:val="000000"/>
          <w:sz w:val="26"/>
          <w:szCs w:val="26"/>
        </w:rPr>
      </w:pPr>
    </w:p>
    <w:p w14:paraId="52349244" w14:textId="77777777" w:rsidR="00D66D94" w:rsidRPr="00D66D94" w:rsidRDefault="00D66D94" w:rsidP="00D66D94">
      <w:pPr>
        <w:keepNext/>
        <w:keepLines/>
        <w:spacing w:before="40" w:after="0"/>
        <w:outlineLvl w:val="3"/>
        <w:rPr>
          <w:rFonts w:eastAsia="Times New Roman"/>
          <w:b/>
          <w:iCs/>
          <w:sz w:val="24"/>
        </w:rPr>
      </w:pPr>
      <w:r w:rsidRPr="00D66D94">
        <w:rPr>
          <w:rFonts w:eastAsia="Times New Roman"/>
          <w:b/>
          <w:iCs/>
          <w:sz w:val="26"/>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D66D94">
        <w:rPr>
          <w:rFonts w:eastAsia="Times New Roman"/>
          <w:b/>
          <w:iCs/>
          <w:sz w:val="26"/>
          <w:u w:val="single"/>
        </w:rPr>
        <w:t>Jindal 99,</w:t>
      </w:r>
      <w:r w:rsidRPr="00D66D94">
        <w:rPr>
          <w:rFonts w:eastAsia="Times New Roman"/>
          <w:iCs/>
          <w:sz w:val="12"/>
        </w:rPr>
        <w:t xml:space="preserve"> Jindal, Bobby. Louisiana Law Review, 1999. Web. &lt;http://digitalcommons.law.lsu.edu/cgi/viewcontent.cgi?article=5780&amp;context=lalrev&gt;.//Scopa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D66D94">
        <w:rPr>
          <w:rFonts w:eastAsia="Times New Roman"/>
          <w:b/>
          <w:iCs/>
          <w:sz w:val="26"/>
          <w:u w:val="single"/>
        </w:rPr>
        <w:t>why one should be just is</w:t>
      </w:r>
      <w:r w:rsidRPr="00D66D94">
        <w:rPr>
          <w:rFonts w:eastAsia="Times New Roman"/>
          <w:iCs/>
          <w:sz w:val="12"/>
        </w:rPr>
        <w:t xml:space="preserve"> an </w:t>
      </w:r>
      <w:r w:rsidRPr="00D66D94">
        <w:rPr>
          <w:rFonts w:eastAsia="Times New Roman"/>
          <w:b/>
          <w:iCs/>
          <w:sz w:val="26"/>
          <w:u w:val="single"/>
        </w:rPr>
        <w:t>intelligible</w:t>
      </w:r>
      <w:r w:rsidRPr="00D66D94">
        <w:rPr>
          <w:rFonts w:eastAsia="Times New Roman"/>
          <w:iCs/>
          <w:sz w:val="12"/>
        </w:rPr>
        <w:t xml:space="preserve"> one to ask and deserves some response. This paper argues that the political-legal </w:t>
      </w:r>
      <w:r w:rsidRPr="00D66D94">
        <w:rPr>
          <w:rFonts w:eastAsia="Times New Roman"/>
          <w:b/>
          <w:iCs/>
          <w:sz w:val="26"/>
          <w:highlight w:val="yellow"/>
          <w:u w:val="single"/>
        </w:rPr>
        <w:t>obligation</w:t>
      </w:r>
      <w:r w:rsidRPr="00D66D94">
        <w:rPr>
          <w:rFonts w:eastAsia="Times New Roman"/>
          <w:b/>
          <w:iCs/>
          <w:sz w:val="26"/>
          <w:u w:val="single"/>
        </w:rPr>
        <w:t xml:space="preserve"> to be just </w:t>
      </w:r>
      <w:r w:rsidRPr="00D66D94">
        <w:rPr>
          <w:rFonts w:eastAsia="Times New Roman"/>
          <w:b/>
          <w:iCs/>
          <w:sz w:val="26"/>
          <w:highlight w:val="yellow"/>
          <w:u w:val="single"/>
        </w:rPr>
        <w:t>is derivative from</w:t>
      </w:r>
      <w:r w:rsidRPr="00D66D94">
        <w:rPr>
          <w:rFonts w:eastAsia="Times New Roman"/>
          <w:iCs/>
          <w:sz w:val="12"/>
        </w:rPr>
        <w:t xml:space="preserve"> man's more general duty to be moral, a commitment grounded in </w:t>
      </w:r>
      <w:r w:rsidRPr="00D66D94">
        <w:rPr>
          <w:rFonts w:eastAsia="Times New Roman"/>
          <w:iCs/>
          <w:sz w:val="12"/>
          <w:szCs w:val="12"/>
        </w:rPr>
        <w:t>intuitions</w:t>
      </w:r>
      <w:r w:rsidRPr="00D66D94">
        <w:rPr>
          <w:rFonts w:eastAsia="Times New Roman"/>
          <w:iCs/>
          <w:sz w:val="12"/>
        </w:rPr>
        <w:t xml:space="preserve"> which are themselves based on </w:t>
      </w:r>
      <w:r w:rsidRPr="00D66D94">
        <w:rPr>
          <w:rFonts w:eastAsia="Times New Roman"/>
          <w:b/>
          <w:iCs/>
          <w:sz w:val="26"/>
          <w:highlight w:val="yellow"/>
          <w:u w:val="single"/>
        </w:rPr>
        <w:t>transcendental values</w:t>
      </w:r>
      <w:r w:rsidRPr="00D66D94">
        <w:rPr>
          <w:rFonts w:eastAsia="Times New Roman"/>
          <w:iCs/>
          <w:sz w:val="12"/>
        </w:rPr>
        <w:t xml:space="preserve">, i.e., values that exist apart from a particular society. Those </w:t>
      </w:r>
      <w:r w:rsidRPr="00D66D94">
        <w:rPr>
          <w:rFonts w:eastAsia="Times New Roman"/>
          <w:b/>
          <w:iCs/>
          <w:sz w:val="26"/>
          <w:u w:val="single"/>
        </w:rPr>
        <w:t>political theories</w:t>
      </w:r>
      <w:r w:rsidRPr="00D66D94">
        <w:rPr>
          <w:rFonts w:eastAsia="Times New Roman"/>
          <w:iCs/>
          <w:sz w:val="12"/>
        </w:rPr>
        <w:t xml:space="preserve"> that lack a transcendental notion of morality </w:t>
      </w:r>
      <w:r w:rsidRPr="00D66D94">
        <w:rPr>
          <w:rFonts w:eastAsia="Times New Roman"/>
          <w:b/>
          <w:iCs/>
          <w:sz w:val="26"/>
          <w:u w:val="single"/>
        </w:rPr>
        <w:t xml:space="preserve">lack binding force; </w:t>
      </w:r>
      <w:r w:rsidRPr="00D66D94">
        <w:rPr>
          <w:rFonts w:eastAsia="Times New Roman"/>
          <w:b/>
          <w:iCs/>
          <w:sz w:val="26"/>
          <w:highlight w:val="yellow"/>
          <w:u w:val="single"/>
        </w:rPr>
        <w:t>the theorist who persuades without asserting truth is helpless</w:t>
      </w:r>
      <w:r w:rsidRPr="00D66D94">
        <w:rPr>
          <w:rFonts w:eastAsia="Times New Roman"/>
          <w:iCs/>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D66D94">
        <w:rPr>
          <w:rFonts w:eastAsia="Times New Roman"/>
          <w:b/>
          <w:iCs/>
          <w:sz w:val="26"/>
          <w:highlight w:val="yellow"/>
          <w:u w:val="single"/>
        </w:rPr>
        <w:t>Principles of justice not based on objective moral principles are arbitrary</w:t>
      </w:r>
      <w:r w:rsidRPr="00D66D94">
        <w:rPr>
          <w:rFonts w:eastAsia="Times New Roman"/>
          <w:b/>
          <w:iCs/>
          <w:sz w:val="26"/>
          <w:u w:val="single"/>
        </w:rPr>
        <w:t xml:space="preserve"> at best and prejudicial at worst, without binding</w:t>
      </w:r>
      <w:r w:rsidRPr="00D66D94">
        <w:rPr>
          <w:rFonts w:eastAsia="Times New Roman"/>
          <w:iCs/>
          <w:sz w:val="12"/>
        </w:rPr>
        <w:t xml:space="preserve"> authority or persuasive </w:t>
      </w:r>
      <w:r w:rsidRPr="00D66D94">
        <w:rPr>
          <w:rFonts w:eastAsia="Times New Roman"/>
          <w:b/>
          <w:iCs/>
          <w:sz w:val="26"/>
          <w:u w:val="single"/>
        </w:rPr>
        <w:t>moral force</w:t>
      </w:r>
      <w:r w:rsidRPr="00D66D94">
        <w:rPr>
          <w:rFonts w:eastAsia="Times New Roman"/>
          <w:iCs/>
          <w:sz w:val="12"/>
        </w:rPr>
        <w:t xml:space="preserve">. Though Rawls claims the "conception of justice is a practical social task rather than an epistemological or metaphysical problem,"1 </w:t>
      </w:r>
      <w:r w:rsidRPr="00D66D94">
        <w:rPr>
          <w:rFonts w:eastAsia="Times New Roman"/>
          <w:b/>
          <w:iCs/>
          <w:sz w:val="26"/>
          <w:highlight w:val="yellow"/>
          <w:u w:val="single"/>
        </w:rPr>
        <w:t>there must be some a priori, non-subjective commitment</w:t>
      </w:r>
      <w:r w:rsidRPr="00D66D94">
        <w:rPr>
          <w:rFonts w:eastAsia="Times New Roman"/>
          <w:iCs/>
          <w:sz w:val="12"/>
        </w:rPr>
        <w:t xml:space="preserve"> to justice, as well as positive laws, </w:t>
      </w:r>
      <w:r w:rsidRPr="00D66D94">
        <w:rPr>
          <w:rFonts w:eastAsia="Times New Roman"/>
          <w:b/>
          <w:iCs/>
          <w:sz w:val="26"/>
          <w:highlight w:val="yellow"/>
          <w:u w:val="single"/>
        </w:rPr>
        <w:t>that compels individuals to sacrifice</w:t>
      </w:r>
      <w:r w:rsidRPr="00D66D94">
        <w:rPr>
          <w:rFonts w:eastAsia="Times New Roman"/>
          <w:b/>
          <w:iCs/>
          <w:sz w:val="26"/>
          <w:u w:val="single"/>
        </w:rPr>
        <w:t xml:space="preserve"> their </w:t>
      </w:r>
      <w:r w:rsidRPr="00D66D94">
        <w:rPr>
          <w:rFonts w:eastAsia="Times New Roman"/>
          <w:b/>
          <w:iCs/>
          <w:sz w:val="26"/>
          <w:highlight w:val="yellow"/>
          <w:u w:val="single"/>
        </w:rPr>
        <w:t>self-interest</w:t>
      </w:r>
      <w:r w:rsidRPr="00D66D94">
        <w:rPr>
          <w:rFonts w:eastAsia="Times New Roman"/>
          <w:iCs/>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D66D94">
        <w:rPr>
          <w:rFonts w:eastAsia="Times New Roman"/>
          <w:b/>
          <w:iCs/>
          <w:sz w:val="26"/>
          <w:u w:val="single"/>
        </w:rPr>
        <w:t>The gap</w:t>
      </w:r>
      <w:r w:rsidRPr="00D66D94">
        <w:rPr>
          <w:rFonts w:eastAsia="Times New Roman"/>
          <w:iCs/>
          <w:sz w:val="12"/>
        </w:rPr>
        <w:t xml:space="preserve"> between "is" and "ought" </w:t>
      </w:r>
      <w:r w:rsidRPr="00D66D94">
        <w:rPr>
          <w:rFonts w:eastAsia="Times New Roman"/>
          <w:b/>
          <w:iCs/>
          <w:sz w:val="26"/>
          <w:u w:val="single"/>
        </w:rPr>
        <w:t>reflects the distance between</w:t>
      </w:r>
      <w:r w:rsidRPr="00D66D94">
        <w:rPr>
          <w:rFonts w:eastAsia="Times New Roman"/>
          <w:iCs/>
          <w:sz w:val="12"/>
        </w:rPr>
        <w:t xml:space="preserve"> factual claims and moral ones, between truth and motivation, between </w:t>
      </w:r>
      <w:r w:rsidRPr="00D66D94">
        <w:rPr>
          <w:rFonts w:eastAsia="Times New Roman"/>
          <w:b/>
          <w:iCs/>
          <w:sz w:val="26"/>
          <w:u w:val="single"/>
        </w:rPr>
        <w:t xml:space="preserve">description and obligation. </w:t>
      </w:r>
    </w:p>
    <w:p w14:paraId="45DC1D62" w14:textId="77777777" w:rsidR="00D66D94" w:rsidRPr="00D66D94" w:rsidRDefault="00D66D94" w:rsidP="00D66D94">
      <w:pPr>
        <w:rPr>
          <w:rFonts w:eastAsia="Calibri"/>
          <w:b/>
          <w:szCs w:val="26"/>
        </w:rPr>
      </w:pPr>
    </w:p>
    <w:p w14:paraId="28601AE9" w14:textId="77777777" w:rsidR="00D66D94" w:rsidRPr="00D66D94" w:rsidRDefault="00D66D94" w:rsidP="00D66D94">
      <w:pPr>
        <w:keepNext/>
        <w:keepLines/>
        <w:spacing w:before="40" w:after="0"/>
        <w:outlineLvl w:val="3"/>
        <w:rPr>
          <w:rFonts w:eastAsia="Times New Roman"/>
          <w:iCs/>
          <w:sz w:val="12"/>
          <w:szCs w:val="12"/>
        </w:rPr>
      </w:pPr>
      <w:r w:rsidRPr="00D66D94">
        <w:rPr>
          <w:rFonts w:eastAsia="Times New Roman"/>
          <w:b/>
          <w:iCs/>
          <w:sz w:val="26"/>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r w:rsidRPr="00D66D94">
        <w:rPr>
          <w:rFonts w:eastAsia="Times New Roman"/>
          <w:b/>
          <w:iCs/>
          <w:sz w:val="26"/>
          <w:u w:val="single"/>
        </w:rPr>
        <w:t>Heyüman 15,</w:t>
      </w:r>
      <w:r w:rsidRPr="00D66D94">
        <w:rPr>
          <w:rFonts w:eastAsia="Times New Roman"/>
          <w:b/>
          <w:iCs/>
          <w:sz w:val="26"/>
        </w:rPr>
        <w:t xml:space="preserve"> </w:t>
      </w:r>
      <w:hyperlink r:id="rId9" w:history="1">
        <w:r w:rsidRPr="00D66D94">
          <w:rPr>
            <w:rFonts w:eastAsia="Times New Roman" w:cs="Times New Roman"/>
            <w:iCs/>
            <w:sz w:val="12"/>
            <w:szCs w:val="12"/>
          </w:rPr>
          <w:t>http://ftp.oxfordphilsoc.org/Documents/StudentPrize/2015_H1b.pdf</w:t>
        </w:r>
      </w:hyperlink>
      <w:r w:rsidRPr="00D66D94">
        <w:rPr>
          <w:rFonts w:eastAsia="Times New Roman"/>
          <w:iCs/>
          <w:sz w:val="12"/>
          <w:szCs w:val="12"/>
        </w:rPr>
        <w:t xml:space="preserve"> //scopa</w:t>
      </w:r>
    </w:p>
    <w:p w14:paraId="09F51C1D" w14:textId="77777777" w:rsidR="00D66D94" w:rsidRPr="00D66D94" w:rsidRDefault="00D66D94" w:rsidP="00D66D94">
      <w:pPr>
        <w:rPr>
          <w:rFonts w:eastAsia="Calibri"/>
          <w:sz w:val="12"/>
        </w:rPr>
      </w:pPr>
      <w:r w:rsidRPr="00D66D94">
        <w:rPr>
          <w:rFonts w:eastAsia="Calibri"/>
          <w:b/>
          <w:highlight w:val="yellow"/>
          <w:u w:val="single"/>
        </w:rPr>
        <w:t>Forms</w:t>
      </w:r>
      <w:r w:rsidRPr="00D66D94">
        <w:rPr>
          <w:rFonts w:eastAsia="Calibri"/>
          <w:sz w:val="12"/>
        </w:rPr>
        <w:t xml:space="preserve"> can be thought of </w:t>
      </w:r>
      <w:r w:rsidRPr="00D66D94">
        <w:rPr>
          <w:rFonts w:eastAsia="Calibri"/>
          <w:b/>
          <w:u w:val="single"/>
        </w:rPr>
        <w:t>as abstract entities</w:t>
      </w:r>
      <w:r w:rsidRPr="00D66D94">
        <w:rPr>
          <w:rFonts w:eastAsia="Calibri"/>
          <w:sz w:val="12"/>
        </w:rPr>
        <w:t xml:space="preserve"> or qualities that </w:t>
      </w:r>
      <w:r w:rsidRPr="00D66D94">
        <w:rPr>
          <w:rFonts w:eastAsia="Calibri"/>
          <w:b/>
          <w:highlight w:val="yellow"/>
          <w:u w:val="single"/>
        </w:rPr>
        <w:t>are the essence of</w:t>
      </w:r>
      <w:r w:rsidRPr="00D66D94">
        <w:rPr>
          <w:rFonts w:eastAsia="Calibri"/>
          <w:b/>
          <w:u w:val="single"/>
        </w:rPr>
        <w:t xml:space="preserve"> sensible </w:t>
      </w:r>
      <w:r w:rsidRPr="00D66D94">
        <w:rPr>
          <w:rFonts w:eastAsia="Calibri"/>
          <w:b/>
          <w:highlight w:val="yellow"/>
          <w:u w:val="single"/>
        </w:rPr>
        <w:t>things</w:t>
      </w:r>
      <w:r w:rsidRPr="00D66D94">
        <w:rPr>
          <w:rFonts w:eastAsia="Calibri"/>
          <w:sz w:val="12"/>
        </w:rPr>
        <w:t xml:space="preserve">. Take, </w:t>
      </w:r>
      <w:r w:rsidRPr="00D66D94">
        <w:rPr>
          <w:rFonts w:eastAsia="Calibri"/>
          <w:b/>
          <w:u w:val="single"/>
        </w:rPr>
        <w:t>for example, an apple: Roundness, color and weight of the apple are all the properties that make up that apple, each of which is a separate form in itself</w:t>
      </w:r>
      <w:r w:rsidRPr="00D66D94">
        <w:rPr>
          <w:rFonts w:eastAsia="Calibri"/>
          <w:sz w:val="12"/>
        </w:rPr>
        <w:t xml:space="preserve">. According to Plato, two apples are “round” because they both partake in the form of “roundness”. This “partaking” in any form is what makes things share similar attributes. </w:t>
      </w:r>
      <w:r w:rsidRPr="00D66D94">
        <w:rPr>
          <w:rFonts w:eastAsia="Calibri"/>
          <w:b/>
          <w:highlight w:val="yellow"/>
          <w:u w:val="single"/>
        </w:rPr>
        <w:t>All material objects owe their existence to</w:t>
      </w:r>
      <w:r w:rsidRPr="00D66D94">
        <w:rPr>
          <w:rFonts w:eastAsia="Calibri"/>
          <w:b/>
          <w:u w:val="single"/>
        </w:rPr>
        <w:t xml:space="preserve"> these </w:t>
      </w:r>
      <w:r w:rsidRPr="00D66D94">
        <w:rPr>
          <w:rFonts w:eastAsia="Calibri"/>
          <w:b/>
          <w:highlight w:val="yellow"/>
          <w:u w:val="single"/>
        </w:rPr>
        <w:t>forms</w:t>
      </w:r>
      <w:r w:rsidRPr="00D66D94">
        <w:rPr>
          <w:rFonts w:eastAsia="Calibri"/>
          <w:b/>
          <w:u w:val="single"/>
        </w:rPr>
        <w:t>; whereas each form exists by itself, independently of the object that exemplifies the particular form</w:t>
      </w:r>
      <w:r w:rsidRPr="00D66D94">
        <w:rPr>
          <w:rFonts w:eastAsia="Calibri"/>
          <w:sz w:val="12"/>
        </w:rPr>
        <w:t xml:space="preserve">. In Phaedo, which is widely agreed to be the first dialogue Plato introduced the forms, forms are “marked as auto kath auto beings, beings that are what they are in virtue of themselves1 .” </w:t>
      </w:r>
      <w:r w:rsidRPr="00D66D94">
        <w:rPr>
          <w:rFonts w:eastAsia="Calibri"/>
          <w:b/>
          <w:highlight w:val="yellow"/>
          <w:u w:val="single"/>
        </w:rPr>
        <w:t>Forms</w:t>
      </w:r>
      <w:r w:rsidRPr="00D66D94">
        <w:rPr>
          <w:rFonts w:eastAsia="Calibri"/>
          <w:b/>
          <w:u w:val="single"/>
        </w:rPr>
        <w:t xml:space="preserve"> are transcendent to our material world in that they </w:t>
      </w:r>
      <w:r w:rsidRPr="00D66D94">
        <w:rPr>
          <w:rFonts w:eastAsia="Calibri"/>
          <w:b/>
          <w:highlight w:val="yellow"/>
          <w:u w:val="single"/>
        </w:rPr>
        <w:t>exist beyond space and time</w:t>
      </w:r>
      <w:r w:rsidRPr="00D66D94">
        <w:rPr>
          <w:rFonts w:eastAsia="Calibri"/>
          <w:b/>
          <w:u w:val="single"/>
        </w:rPr>
        <w:t>, whereas material objects occupy a specific place at a specific time</w:t>
      </w:r>
      <w:r w:rsidRPr="00D66D94">
        <w:rPr>
          <w:rFonts w:eastAsia="Calibri"/>
          <w:sz w:val="12"/>
        </w:rPr>
        <w:t xml:space="preserve">. Atemporal and aspatial features of forms have very important implications. First, this explains why </w:t>
      </w:r>
      <w:r w:rsidRPr="00D66D94">
        <w:rPr>
          <w:rFonts w:eastAsia="Calibri"/>
          <w:b/>
          <w:u w:val="single"/>
        </w:rPr>
        <w:t>the form of F does not change</w:t>
      </w:r>
      <w:r w:rsidRPr="00D66D94">
        <w:rPr>
          <w:rFonts w:eastAsia="Calibri"/>
          <w:sz w:val="12"/>
        </w:rPr>
        <w:t xml:space="preserve">, and remains stable beyond a spatio-temporal world while particulars are subject to continuous change. Second, </w:t>
      </w:r>
      <w:r w:rsidRPr="00D66D94">
        <w:rPr>
          <w:rFonts w:eastAsia="Calibri"/>
          <w:b/>
          <w:u w:val="single"/>
        </w:rPr>
        <w:t>since F does not exist in space, it can be instantiated in many particulars at once or need not even be instantiated to exist</w:t>
      </w:r>
      <w:r w:rsidRPr="00D66D94">
        <w:rPr>
          <w:rFonts w:eastAsia="Calibri"/>
          <w:sz w:val="12"/>
        </w:rPr>
        <w:t xml:space="preserve">. The forms are also pure. The roundness of an apple is one of its properties and roundness is only “roundness” in its pure and perfect form. Unlike forms, </w:t>
      </w:r>
      <w:r w:rsidRPr="00D66D94">
        <w:rPr>
          <w:rFonts w:eastAsia="Calibri"/>
          <w:b/>
          <w:u w:val="single"/>
        </w:rPr>
        <w:t>material objects are impure, imperfect</w:t>
      </w:r>
      <w:r w:rsidRPr="00D66D94">
        <w:rPr>
          <w:rFonts w:eastAsia="Calibri"/>
          <w:sz w:val="12"/>
        </w:rPr>
        <w:t xml:space="preserve">, and are complex combinations of several forms. </w:t>
      </w:r>
      <w:r w:rsidRPr="00D66D94">
        <w:rPr>
          <w:rFonts w:eastAsia="Calibri"/>
          <w:b/>
          <w:highlight w:val="yellow"/>
          <w:u w:val="single"/>
        </w:rPr>
        <w:t>Being is the ontological relation that ties the form</w:t>
      </w:r>
      <w:r w:rsidRPr="00D66D94">
        <w:rPr>
          <w:rFonts w:eastAsia="Calibri"/>
          <w:b/>
          <w:u w:val="single"/>
        </w:rPr>
        <w:t xml:space="preserve"> of F </w:t>
      </w:r>
      <w:r w:rsidRPr="00D66D94">
        <w:rPr>
          <w:rFonts w:eastAsia="Calibri"/>
          <w:b/>
          <w:highlight w:val="yellow"/>
          <w:u w:val="single"/>
        </w:rPr>
        <w:t>to its essence</w:t>
      </w:r>
      <w:r w:rsidRPr="00D66D94">
        <w:rPr>
          <w:rFonts w:eastAsia="Calibri"/>
          <w:b/>
          <w:u w:val="single"/>
        </w:rPr>
        <w:t xml:space="preserve">, and each form of F is of one essence </w:t>
      </w:r>
      <w:r w:rsidRPr="00D66D94">
        <w:rPr>
          <w:rFonts w:eastAsia="Calibri"/>
          <w:sz w:val="12"/>
        </w:rPr>
        <w:t xml:space="preserve">(monoeides). It follows from these principles that each form self-predicates; each form of F is itself F. The form of beauty is itself beautiful, and Helen would not be beautiful if the form of Beauty were not beautiful itself. </w:t>
      </w:r>
      <w:r w:rsidRPr="00D66D94">
        <w:rPr>
          <w:rFonts w:eastAsia="Calibri"/>
          <w:b/>
          <w:u w:val="single"/>
        </w:rPr>
        <w:t xml:space="preserve">The </w:t>
      </w:r>
      <w:r w:rsidRPr="00D66D94">
        <w:rPr>
          <w:rFonts w:eastAsia="Calibri"/>
          <w:b/>
          <w:highlight w:val="yellow"/>
          <w:u w:val="single"/>
        </w:rPr>
        <w:t>forms</w:t>
      </w:r>
      <w:r w:rsidRPr="00D66D94">
        <w:rPr>
          <w:rFonts w:eastAsia="Calibri"/>
          <w:b/>
          <w:u w:val="single"/>
        </w:rPr>
        <w:t xml:space="preserve"> are real, sublime entities that </w:t>
      </w:r>
      <w:r w:rsidRPr="00D66D94">
        <w:rPr>
          <w:rFonts w:eastAsia="Calibri"/>
          <w:b/>
          <w:highlight w:val="yellow"/>
          <w:u w:val="single"/>
        </w:rPr>
        <w:t>belong to an intelligible realm</w:t>
      </w:r>
      <w:r w:rsidRPr="00D66D94">
        <w:rPr>
          <w:rFonts w:eastAsia="Calibri"/>
          <w:b/>
          <w:u w:val="single"/>
        </w:rPr>
        <w:t xml:space="preserve"> that can </w:t>
      </w:r>
      <w:r w:rsidRPr="00D66D94">
        <w:rPr>
          <w:rFonts w:eastAsia="Calibri"/>
          <w:b/>
          <w:highlight w:val="yellow"/>
          <w:u w:val="single"/>
        </w:rPr>
        <w:t>only</w:t>
      </w:r>
      <w:r w:rsidRPr="00D66D94">
        <w:rPr>
          <w:rFonts w:eastAsia="Calibri"/>
          <w:b/>
          <w:u w:val="single"/>
        </w:rPr>
        <w:t xml:space="preserve"> be </w:t>
      </w:r>
      <w:r w:rsidRPr="00D66D94">
        <w:rPr>
          <w:rFonts w:eastAsia="Calibri"/>
          <w:b/>
          <w:highlight w:val="yellow"/>
          <w:u w:val="single"/>
        </w:rPr>
        <w:t>grasped by reason</w:t>
      </w:r>
      <w:r w:rsidRPr="00D66D94">
        <w:rPr>
          <w:rFonts w:eastAsia="Calibri"/>
          <w:b/>
          <w:u w:val="single"/>
        </w:rPr>
        <w:t>. They are not subject to change; are stable and enduring, while particulars/material objects belong to this material world of change</w:t>
      </w:r>
      <w:r w:rsidRPr="00D66D94">
        <w:rPr>
          <w:rFonts w:eastAsia="Calibri"/>
          <w:sz w:val="12"/>
        </w:rPr>
        <w:t xml:space="preserve">, becoming and perishing in a Heraclitean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Sinem Hümeydan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D66D94">
        <w:rPr>
          <w:rFonts w:eastAsia="Calibri"/>
          <w:b/>
          <w:u w:val="single"/>
        </w:rPr>
        <w:t xml:space="preserve">The visible realm is </w:t>
      </w:r>
      <w:r w:rsidRPr="00D66D94">
        <w:rPr>
          <w:rFonts w:eastAsia="Calibri"/>
          <w:b/>
          <w:highlight w:val="yellow"/>
          <w:u w:val="single"/>
        </w:rPr>
        <w:t>the physical world</w:t>
      </w:r>
      <w:r w:rsidRPr="00D66D94">
        <w:rPr>
          <w:rFonts w:eastAsia="Calibri"/>
          <w:b/>
          <w:u w:val="single"/>
        </w:rPr>
        <w:t xml:space="preserve"> that </w:t>
      </w:r>
      <w:r w:rsidRPr="00D66D94">
        <w:rPr>
          <w:rFonts w:eastAsia="Calibri"/>
          <w:b/>
          <w:highlight w:val="yellow"/>
          <w:u w:val="single"/>
        </w:rPr>
        <w:t>is perceived through senses</w:t>
      </w:r>
      <w:r w:rsidRPr="00D66D94">
        <w:rPr>
          <w:rFonts w:eastAsia="Calibri"/>
          <w:b/>
          <w:u w:val="single"/>
        </w:rPr>
        <w:t xml:space="preserve">, and is </w:t>
      </w:r>
      <w:r w:rsidRPr="00D66D94">
        <w:rPr>
          <w:rFonts w:eastAsia="Calibri"/>
          <w:b/>
          <w:highlight w:val="yellow"/>
          <w:u w:val="single"/>
        </w:rPr>
        <w:t>susceptible to “becoming” and “ceasing to be”</w:t>
      </w:r>
      <w:r w:rsidRPr="00D66D94">
        <w:rPr>
          <w:rFonts w:eastAsia="Calibri"/>
          <w:b/>
          <w:u w:val="single"/>
        </w:rPr>
        <w:t>. On the contrary, the intelligible realm represents the ultimate reality, is enduring, and is accessible only via reasoning</w:t>
      </w:r>
      <w:r w:rsidRPr="00D66D94">
        <w:rPr>
          <w:rFonts w:eastAsia="Calibri"/>
          <w:sz w:val="1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D66D94">
        <w:rPr>
          <w:rFonts w:eastAsia="Calibri"/>
          <w:b/>
          <w:u w:val="single"/>
        </w:rPr>
        <w:t xml:space="preserve">what we perceive through </w:t>
      </w:r>
      <w:r w:rsidRPr="00D66D94">
        <w:rPr>
          <w:rFonts w:eastAsia="Calibri"/>
          <w:b/>
          <w:highlight w:val="yellow"/>
          <w:u w:val="single"/>
        </w:rPr>
        <w:t>our deceptive senses</w:t>
      </w:r>
      <w:r w:rsidRPr="00D66D94">
        <w:rPr>
          <w:rFonts w:eastAsia="Calibri"/>
          <w:b/>
          <w:u w:val="single"/>
        </w:rPr>
        <w:t xml:space="preserve"> in this world of appearence </w:t>
      </w:r>
      <w:r w:rsidRPr="00D66D94">
        <w:rPr>
          <w:rFonts w:eastAsia="Calibri"/>
          <w:b/>
          <w:highlight w:val="yellow"/>
          <w:u w:val="single"/>
        </w:rPr>
        <w:t>are</w:t>
      </w:r>
      <w:r w:rsidRPr="00D66D94">
        <w:rPr>
          <w:rFonts w:eastAsia="Calibri"/>
          <w:b/>
          <w:u w:val="single"/>
        </w:rPr>
        <w:t xml:space="preserve"> merely </w:t>
      </w:r>
      <w:r w:rsidRPr="00D66D94">
        <w:rPr>
          <w:rFonts w:eastAsia="Calibri"/>
          <w:b/>
          <w:highlight w:val="yellow"/>
          <w:u w:val="single"/>
        </w:rPr>
        <w:t>shadows of reality, one cannot have any genuine knowledge of these things</w:t>
      </w:r>
      <w:r w:rsidRPr="00D66D94">
        <w:rPr>
          <w:rFonts w:eastAsia="Calibri"/>
          <w:b/>
          <w:u w:val="single"/>
        </w:rPr>
        <w:t>, but can only have beliefs/opinions</w:t>
      </w:r>
      <w:r w:rsidRPr="00D66D94">
        <w:rPr>
          <w:rFonts w:eastAsia="Calibri"/>
          <w:sz w:val="12"/>
        </w:rPr>
        <w:t xml:space="preserve"> about these objects. In other words, Plato thinks that one can only have “knowledge of forms and of Forms one can only have knowledge3 .” Because forms are the only objects of knowledge, individuals should endeavour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D66D94">
        <w:rPr>
          <w:rFonts w:eastAsia="Calibri"/>
          <w:b/>
          <w:highlight w:val="yellow"/>
          <w:u w:val="single"/>
        </w:rPr>
        <w:t>what we perceive</w:t>
      </w:r>
      <w:r w:rsidRPr="00D66D94">
        <w:rPr>
          <w:rFonts w:eastAsia="Calibri"/>
          <w:b/>
          <w:u w:val="single"/>
        </w:rPr>
        <w:t xml:space="preserve"> via our senses </w:t>
      </w:r>
      <w:r w:rsidRPr="00D66D94">
        <w:rPr>
          <w:rFonts w:eastAsia="Calibri"/>
          <w:b/>
          <w:highlight w:val="yellow"/>
          <w:u w:val="single"/>
        </w:rPr>
        <w:t>is</w:t>
      </w:r>
      <w:r w:rsidRPr="00D66D94">
        <w:rPr>
          <w:rFonts w:eastAsia="Calibri"/>
          <w:b/>
          <w:u w:val="single"/>
        </w:rPr>
        <w:t xml:space="preserve"> usually </w:t>
      </w:r>
      <w:r w:rsidRPr="00D66D94">
        <w:rPr>
          <w:rFonts w:eastAsia="Calibri"/>
          <w:b/>
          <w:highlight w:val="yellow"/>
          <w:u w:val="single"/>
        </w:rPr>
        <w:t>deceitful, the objects</w:t>
      </w:r>
      <w:r w:rsidRPr="00D66D94">
        <w:rPr>
          <w:rFonts w:eastAsia="Calibri"/>
          <w:b/>
          <w:u w:val="single"/>
        </w:rPr>
        <w:t xml:space="preserve"> of experience </w:t>
      </w:r>
      <w:r w:rsidRPr="00D66D94">
        <w:rPr>
          <w:rFonts w:eastAsia="Calibri"/>
          <w:b/>
          <w:highlight w:val="yellow"/>
          <w:u w:val="single"/>
        </w:rPr>
        <w:t>cannot be real entities</w:t>
      </w:r>
      <w:r w:rsidRPr="00D66D94">
        <w:rPr>
          <w:rFonts w:eastAsia="Calibri"/>
          <w:sz w:val="12"/>
        </w:rPr>
        <w:t xml:space="preserve">. Besides, </w:t>
      </w:r>
      <w:r w:rsidRPr="00D66D94">
        <w:rPr>
          <w:rFonts w:eastAsia="Calibri"/>
          <w:b/>
          <w:highlight w:val="yellow"/>
          <w:u w:val="single"/>
        </w:rPr>
        <w:t>it is possible to form different subjective views</w:t>
      </w:r>
      <w:r w:rsidRPr="00D66D94">
        <w:rPr>
          <w:rFonts w:eastAsia="Calibri"/>
          <w:b/>
          <w:u w:val="single"/>
        </w:rPr>
        <w:t xml:space="preserve"> of the same objects; </w:t>
      </w:r>
      <w:r w:rsidRPr="00D66D94">
        <w:rPr>
          <w:rFonts w:eastAsia="Calibri"/>
          <w:b/>
          <w:highlight w:val="yellow"/>
          <w:u w:val="single"/>
        </w:rPr>
        <w:t>depending on</w:t>
      </w:r>
      <w:r w:rsidRPr="00D66D94">
        <w:rPr>
          <w:rFonts w:eastAsia="Calibri"/>
          <w:b/>
          <w:u w:val="single"/>
        </w:rPr>
        <w:t xml:space="preserve"> the </w:t>
      </w:r>
      <w:r w:rsidRPr="00D66D94">
        <w:rPr>
          <w:rFonts w:eastAsia="Calibri"/>
          <w:b/>
          <w:highlight w:val="yellow"/>
          <w:u w:val="single"/>
        </w:rPr>
        <w:t>perceptual or mental states of the observer</w:t>
      </w:r>
      <w:r w:rsidRPr="00D66D94">
        <w:rPr>
          <w:rFonts w:eastAsia="Calibri"/>
          <w:sz w:val="1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1B44323E" w14:textId="77777777" w:rsidR="00D66D94" w:rsidRPr="00D66D94" w:rsidRDefault="00D66D94" w:rsidP="00D66D94">
      <w:pPr>
        <w:rPr>
          <w:rFonts w:eastAsia="Calibri"/>
          <w:b/>
          <w:szCs w:val="26"/>
        </w:rPr>
      </w:pPr>
    </w:p>
    <w:p w14:paraId="224846B9"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 xml:space="preserve">Prefer – </w:t>
      </w:r>
    </w:p>
    <w:p w14:paraId="49CDE4A6" w14:textId="77777777" w:rsidR="00D66D94" w:rsidRPr="00D66D94" w:rsidRDefault="00D66D94" w:rsidP="00D66D94">
      <w:pPr>
        <w:rPr>
          <w:rFonts w:eastAsia="Calibri"/>
          <w:b/>
          <w:szCs w:val="26"/>
        </w:rPr>
      </w:pPr>
    </w:p>
    <w:p w14:paraId="7AC98C0B"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210E76BD" w14:textId="77777777" w:rsidR="00D66D94" w:rsidRPr="00D66D94" w:rsidRDefault="00D66D94" w:rsidP="00D66D94">
      <w:pPr>
        <w:rPr>
          <w:rFonts w:eastAsia="Calibri"/>
        </w:rPr>
      </w:pPr>
    </w:p>
    <w:p w14:paraId="42EDE423"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Next, ethics are split between the deontic and the aretaic. Deontic theories guide ethics by looking at the actions of moral actors, whereas aretaic theories guide ethics by looking at the character of moral actors themselves. By developing good moral character, good actions will naturally follow.</w:t>
      </w:r>
    </w:p>
    <w:p w14:paraId="3B55E463" w14:textId="77777777" w:rsidR="00D66D94" w:rsidRPr="00D66D94" w:rsidRDefault="00D66D94" w:rsidP="00D66D94">
      <w:pPr>
        <w:shd w:val="clear" w:color="auto" w:fill="FFFFFF"/>
        <w:spacing w:after="150"/>
        <w:rPr>
          <w:rFonts w:eastAsia="Calibri"/>
          <w:color w:val="333333"/>
          <w:sz w:val="21"/>
          <w:szCs w:val="21"/>
        </w:rPr>
      </w:pPr>
    </w:p>
    <w:p w14:paraId="6927835A"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Prefer the aretaic:</w:t>
      </w:r>
    </w:p>
    <w:p w14:paraId="2BE70849" w14:textId="77777777" w:rsidR="00D66D94" w:rsidRPr="00D66D94" w:rsidRDefault="00D66D94" w:rsidP="00D66D94">
      <w:pPr>
        <w:keepNext/>
        <w:keepLines/>
        <w:spacing w:before="40" w:after="0"/>
        <w:outlineLvl w:val="3"/>
        <w:rPr>
          <w:rFonts w:eastAsia="Times New Roman" w:cstheme="majorBidi"/>
          <w:b/>
          <w:bCs/>
          <w:iCs/>
          <w:sz w:val="26"/>
        </w:rPr>
      </w:pPr>
      <w:r w:rsidRPr="00D66D94">
        <w:rPr>
          <w:rFonts w:eastAsia="Times New Roman" w:cstheme="majorBidi"/>
          <w:b/>
          <w:iCs/>
          <w:sz w:val="26"/>
        </w:rPr>
        <w:t>[1] Deontic theories collapse – If agents were conditioned properly, they would independently take the right actions, which proves there cannot be a net benefit to deontic theories</w:t>
      </w:r>
    </w:p>
    <w:p w14:paraId="5935A445" w14:textId="77777777" w:rsidR="00D66D94" w:rsidRPr="00D66D94" w:rsidRDefault="00D66D94" w:rsidP="00D66D94">
      <w:pPr>
        <w:keepNext/>
        <w:keepLines/>
        <w:spacing w:before="40" w:after="0"/>
        <w:outlineLvl w:val="3"/>
        <w:rPr>
          <w:rFonts w:eastAsia="Times New Roman" w:cstheme="majorBidi"/>
          <w:b/>
          <w:iCs/>
          <w:sz w:val="26"/>
        </w:rPr>
      </w:pPr>
      <w:r w:rsidRPr="00D66D94">
        <w:rPr>
          <w:rFonts w:eastAsia="Times New Roman" w:cstheme="majorBidi"/>
          <w:b/>
          <w:iCs/>
          <w:sz w:val="26"/>
        </w:rPr>
        <w:t xml:space="preserve">[2] Motivation – A. The aretaic improves citizens’ moral standing. People can always opt-out of a deontic theory but by focusing on the aretaic we improve the moral character of citizens, causing them to act ethically out of their own volition. </w:t>
      </w:r>
    </w:p>
    <w:p w14:paraId="79EBDD67" w14:textId="77777777" w:rsidR="00D66D94" w:rsidRPr="00D66D94" w:rsidRDefault="00D66D94" w:rsidP="00D66D94">
      <w:pPr>
        <w:rPr>
          <w:rFonts w:eastAsia="Calibri"/>
        </w:rPr>
      </w:pPr>
    </w:p>
    <w:p w14:paraId="6899BFA9" w14:textId="77777777" w:rsidR="00D66D94" w:rsidRPr="00D66D94" w:rsidRDefault="00D66D94" w:rsidP="00D66D94">
      <w:pPr>
        <w:keepNext/>
        <w:keepLines/>
        <w:spacing w:before="40" w:after="0"/>
        <w:outlineLvl w:val="3"/>
        <w:rPr>
          <w:rFonts w:eastAsia="Times New Roman" w:cstheme="majorBidi"/>
          <w:b/>
          <w:iCs/>
          <w:sz w:val="26"/>
        </w:rPr>
      </w:pPr>
      <w:r w:rsidRPr="00D66D94">
        <w:rPr>
          <w:rFonts w:eastAsia="Times New Roman" w:cstheme="majorBidi"/>
          <w:b/>
          <w:iCs/>
          <w:sz w:val="26"/>
        </w:rPr>
        <w:t>Next, the only ethics consistent with the aretaic is a virtue paradigm: This does not presuppose descriptive normative claims; we rather focus on developing agents to make them virtuous. Reader.</w:t>
      </w:r>
    </w:p>
    <w:p w14:paraId="6D5AB159" w14:textId="77777777" w:rsidR="00D66D94" w:rsidRPr="00D66D94" w:rsidRDefault="00D66D94" w:rsidP="00D66D94">
      <w:pPr>
        <w:rPr>
          <w:rFonts w:eastAsia="Calibri"/>
          <w:sz w:val="12"/>
        </w:rPr>
      </w:pPr>
      <w:r w:rsidRPr="00D66D94">
        <w:rPr>
          <w:rFonts w:eastAsia="Calibri"/>
        </w:rPr>
        <w:t>[Reader 2k (Reader, Soren. Late Professor of Philosophy, Durham University “New Directions in Ethics: Naturalism, Reasons, and Virtue.” Ethical Theory and Moral Practice, Vol. 3, No. 4, Dec. 2000.)] SHS ZS</w:t>
      </w:r>
      <w:r w:rsidRPr="00D66D94">
        <w:rPr>
          <w:rFonts w:eastAsia="Calibri"/>
          <w:sz w:val="12"/>
        </w:rPr>
        <w:br/>
      </w:r>
      <w:r w:rsidRPr="00D66D94">
        <w:rPr>
          <w:rFonts w:eastAsia="Calibri"/>
          <w:b/>
          <w:bCs/>
          <w:highlight w:val="green"/>
          <w:u w:val="single"/>
        </w:rPr>
        <w:t>Virtue is a</w:t>
      </w:r>
      <w:r w:rsidRPr="00D66D94">
        <w:rPr>
          <w:rFonts w:eastAsia="Calibri"/>
          <w:sz w:val="12"/>
        </w:rPr>
        <w:t xml:space="preserve"> free </w:t>
      </w:r>
      <w:r w:rsidRPr="00D66D94">
        <w:rPr>
          <w:rFonts w:eastAsia="Calibri"/>
          <w:b/>
          <w:bCs/>
          <w:highlight w:val="green"/>
          <w:u w:val="single"/>
        </w:rPr>
        <w:t>disposition to act in certain ways under certain conditions</w:t>
      </w:r>
      <w:r w:rsidRPr="00D66D94">
        <w:rPr>
          <w:rFonts w:eastAsia="Calibri"/>
          <w:sz w:val="12"/>
        </w:rPr>
        <w:t xml:space="preserve">. Virtue ethics claims that </w:t>
      </w:r>
      <w:r w:rsidRPr="00D66D94">
        <w:rPr>
          <w:rFonts w:eastAsia="Calibri"/>
          <w:b/>
          <w:bCs/>
          <w:highlight w:val="green"/>
          <w:u w:val="single"/>
        </w:rPr>
        <w:t>what</w:t>
      </w:r>
      <w:r w:rsidRPr="00D66D94">
        <w:rPr>
          <w:rFonts w:eastAsia="Calibri"/>
          <w:b/>
          <w:bCs/>
          <w:u w:val="single"/>
        </w:rPr>
        <w:t xml:space="preserve"> is to </w:t>
      </w:r>
      <w:r w:rsidRPr="00D66D94">
        <w:rPr>
          <w:rFonts w:eastAsia="Calibri"/>
          <w:b/>
          <w:bCs/>
          <w:highlight w:val="green"/>
          <w:u w:val="single"/>
        </w:rPr>
        <w:t>count as a good action</w:t>
      </w:r>
      <w:r w:rsidRPr="00D66D94">
        <w:rPr>
          <w:rFonts w:eastAsia="Calibri"/>
          <w:sz w:val="12"/>
        </w:rPr>
        <w:t xml:space="preserve"> or what is a good outcome </w:t>
      </w:r>
      <w:r w:rsidRPr="00D66D94">
        <w:rPr>
          <w:rFonts w:eastAsia="Calibri"/>
          <w:b/>
          <w:bCs/>
          <w:highlight w:val="green"/>
          <w:u w:val="single"/>
        </w:rPr>
        <w:t>is</w:t>
      </w:r>
      <w:r w:rsidRPr="00D66D94">
        <w:rPr>
          <w:rFonts w:eastAsia="Calibri"/>
          <w:sz w:val="12"/>
        </w:rPr>
        <w:t xml:space="preserve"> conceptually </w:t>
      </w:r>
      <w:r w:rsidRPr="00D66D94">
        <w:rPr>
          <w:rFonts w:eastAsia="Calibri"/>
          <w:b/>
          <w:bCs/>
          <w:highlight w:val="green"/>
          <w:u w:val="single"/>
        </w:rPr>
        <w:t>dependent on</w:t>
      </w:r>
      <w:r w:rsidRPr="00D66D94">
        <w:rPr>
          <w:rFonts w:eastAsia="Calibri"/>
          <w:b/>
          <w:bCs/>
          <w:u w:val="single"/>
        </w:rPr>
        <w:t xml:space="preserve"> claims about</w:t>
      </w:r>
      <w:r w:rsidRPr="00D66D94">
        <w:rPr>
          <w:rFonts w:eastAsia="Calibri"/>
          <w:sz w:val="12"/>
        </w:rPr>
        <w:t xml:space="preserve"> </w:t>
      </w:r>
      <w:r w:rsidRPr="00D66D94">
        <w:rPr>
          <w:rFonts w:eastAsia="Calibri"/>
          <w:b/>
          <w:bCs/>
          <w:highlight w:val="green"/>
          <w:u w:val="single"/>
        </w:rPr>
        <w:t>the virtue of an agent</w:t>
      </w:r>
      <w:r w:rsidRPr="00D66D94">
        <w:rPr>
          <w:rFonts w:eastAsia="Calibri"/>
          <w:sz w:val="12"/>
        </w:rPr>
        <w:t xml:space="preserve">. How is this dependence supposed to work? Where those after an explanatory account seek a conceptual connection with something like a normative 'in itself,’ </w:t>
      </w:r>
      <w:r w:rsidRPr="00D66D94">
        <w:rPr>
          <w:rFonts w:eastAsia="Calibri"/>
          <w:b/>
          <w:bCs/>
          <w:highlight w:val="green"/>
          <w:u w:val="single"/>
        </w:rPr>
        <w:t>virtue ethicists</w:t>
      </w:r>
      <w:r w:rsidRPr="00D66D94">
        <w:rPr>
          <w:rFonts w:eastAsia="Calibri"/>
          <w:sz w:val="12"/>
        </w:rPr>
        <w:t xml:space="preserve"> instead </w:t>
      </w:r>
      <w:r w:rsidRPr="00D66D94">
        <w:rPr>
          <w:rFonts w:eastAsia="Calibri"/>
          <w:b/>
          <w:bCs/>
          <w:highlight w:val="green"/>
          <w:u w:val="single"/>
        </w:rPr>
        <w:t>explore the</w:t>
      </w:r>
      <w:r w:rsidRPr="00D66D94">
        <w:rPr>
          <w:rFonts w:eastAsia="Calibri"/>
          <w:sz w:val="12"/>
        </w:rPr>
        <w:t xml:space="preserve"> concrete </w:t>
      </w:r>
      <w:r w:rsidRPr="00D66D94">
        <w:rPr>
          <w:rFonts w:eastAsia="Calibri"/>
          <w:b/>
          <w:bCs/>
          <w:u w:val="single"/>
        </w:rPr>
        <w:t xml:space="preserve">dependence of moral activity on the </w:t>
      </w:r>
      <w:r w:rsidRPr="00D66D94">
        <w:rPr>
          <w:rFonts w:eastAsia="Calibri"/>
          <w:b/>
          <w:bCs/>
          <w:highlight w:val="green"/>
          <w:u w:val="single"/>
        </w:rPr>
        <w:t>possibility of learning from</w:t>
      </w:r>
      <w:r w:rsidRPr="00D66D94">
        <w:rPr>
          <w:rFonts w:eastAsia="Calibri"/>
          <w:sz w:val="12"/>
        </w:rPr>
        <w:t xml:space="preserve"> already </w:t>
      </w:r>
      <w:r w:rsidRPr="00D66D94">
        <w:rPr>
          <w:rFonts w:eastAsia="Calibri"/>
          <w:b/>
          <w:bCs/>
          <w:highlight w:val="green"/>
          <w:u w:val="single"/>
        </w:rPr>
        <w:t>virtuous agents</w:t>
      </w:r>
      <w:r w:rsidRPr="00D66D94">
        <w:rPr>
          <w:rFonts w:eastAsia="Calibri"/>
          <w:sz w:val="12"/>
        </w:rPr>
        <w:t xml:space="preserve">. They hold that </w:t>
      </w:r>
      <w:r w:rsidRPr="00D66D94">
        <w:rPr>
          <w:rFonts w:eastAsia="Calibri"/>
          <w:b/>
          <w:bCs/>
          <w:highlight w:val="green"/>
          <w:u w:val="single"/>
        </w:rPr>
        <w:t>the key to moral rationality is</w:t>
      </w:r>
      <w:r w:rsidRPr="00D66D94">
        <w:rPr>
          <w:rFonts w:eastAsia="Calibri"/>
          <w:sz w:val="12"/>
        </w:rPr>
        <w:t xml:space="preserve"> found </w:t>
      </w:r>
      <w:r w:rsidRPr="00D66D94">
        <w:rPr>
          <w:rFonts w:eastAsia="Calibri"/>
          <w:b/>
          <w:bCs/>
          <w:u w:val="single"/>
        </w:rPr>
        <w:t xml:space="preserve">in </w:t>
      </w:r>
      <w:r w:rsidRPr="00D66D94">
        <w:rPr>
          <w:rFonts w:eastAsia="Calibri"/>
          <w:b/>
          <w:bCs/>
          <w:highlight w:val="green"/>
          <w:u w:val="single"/>
        </w:rPr>
        <w:t>moral education</w:t>
      </w:r>
      <w:r w:rsidRPr="00D66D94">
        <w:rPr>
          <w:rFonts w:eastAsia="Calibri"/>
          <w:sz w:val="12"/>
        </w:rPr>
        <w:t xml:space="preserve">. Ethics begins with the apprentice moral agent: the child, or the foreigner, or the damaged person in rehabilitation are all examples. These </w:t>
      </w:r>
      <w:r w:rsidRPr="00D66D94">
        <w:rPr>
          <w:rFonts w:eastAsia="Calibri"/>
          <w:b/>
          <w:bCs/>
          <w:highlight w:val="green"/>
          <w:u w:val="single"/>
        </w:rPr>
        <w:t>beginner-agents learn from</w:t>
      </w:r>
      <w:r w:rsidRPr="00D66D94">
        <w:rPr>
          <w:rFonts w:eastAsia="Calibri"/>
          <w:sz w:val="12"/>
        </w:rPr>
        <w:t xml:space="preserve"> the experienced, </w:t>
      </w:r>
      <w:r w:rsidRPr="00D66D94">
        <w:rPr>
          <w:rFonts w:eastAsia="Calibri"/>
          <w:b/>
          <w:bCs/>
          <w:highlight w:val="green"/>
          <w:u w:val="single"/>
        </w:rPr>
        <w:t>wise moral agent by copying</w:t>
      </w:r>
      <w:r w:rsidRPr="00D66D94">
        <w:rPr>
          <w:rFonts w:eastAsia="Calibri"/>
          <w:sz w:val="12"/>
        </w:rPr>
        <w:t xml:space="preserve">, by mimicking in </w:t>
      </w:r>
      <w:r w:rsidRPr="00D66D94">
        <w:rPr>
          <w:rFonts w:eastAsia="Calibri"/>
          <w:b/>
          <w:bCs/>
          <w:highlight w:val="green"/>
          <w:u w:val="single"/>
        </w:rPr>
        <w:t>their actions</w:t>
      </w:r>
      <w:r w:rsidRPr="00D66D94">
        <w:rPr>
          <w:rFonts w:eastAsia="Calibri"/>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66D94">
        <w:rPr>
          <w:rFonts w:eastAsia="Calibri"/>
          <w:b/>
          <w:bCs/>
          <w:u w:val="single"/>
        </w:rPr>
        <w:t>Virtue is learned by cottoning on to virtuous ways of doing things</w:t>
      </w:r>
      <w:r w:rsidRPr="00D66D94">
        <w:rPr>
          <w:rFonts w:eastAsia="Calibri"/>
          <w:sz w:val="12"/>
        </w:rPr>
        <w:t xml:space="preserve">, going on to do the same, </w:t>
      </w:r>
      <w:r w:rsidRPr="00D66D94">
        <w:rPr>
          <w:rFonts w:eastAsia="Calibri"/>
          <w:b/>
          <w:bCs/>
          <w:highlight w:val="green"/>
          <w:u w:val="single"/>
        </w:rPr>
        <w:t>then going on to do the same in new ways</w:t>
      </w:r>
      <w:r w:rsidRPr="00D66D94">
        <w:rPr>
          <w:rFonts w:eastAsia="Calibri"/>
          <w:sz w:val="12"/>
        </w:rPr>
        <w:t xml:space="preserve">, once they have mastered the skill.16 The way virtue and character is supposed to be basic here is simply displayed in the analogy: </w:t>
      </w:r>
      <w:r w:rsidRPr="00D66D94">
        <w:rPr>
          <w:rFonts w:eastAsia="Calibri"/>
          <w:b/>
          <w:bCs/>
          <w:u w:val="single"/>
        </w:rPr>
        <w:t>there is and can be nothing 'behind' the expertise of</w:t>
      </w:r>
      <w:r w:rsidRPr="00D66D94">
        <w:rPr>
          <w:rFonts w:eastAsia="Calibri"/>
          <w:sz w:val="12"/>
        </w:rPr>
        <w:t xml:space="preserve"> the phronimos </w:t>
      </w:r>
      <w:r w:rsidRPr="00D66D94">
        <w:rPr>
          <w:rFonts w:eastAsia="Calibri"/>
          <w:b/>
          <w:bCs/>
          <w:u w:val="single"/>
        </w:rPr>
        <w:t>which can explain or justify it</w:t>
      </w:r>
      <w:r w:rsidRPr="00D66D94">
        <w:rPr>
          <w:rFonts w:eastAsia="Calibri"/>
          <w:sz w:val="12"/>
        </w:rPr>
        <w:t xml:space="preserve">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14:paraId="4B52A64E"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Thus, the standard is promoting virtue.</w:t>
      </w:r>
    </w:p>
    <w:p w14:paraId="3CC2EBA8" w14:textId="77777777" w:rsidR="00D66D94" w:rsidRPr="00D66D94" w:rsidRDefault="00D66D94" w:rsidP="00D66D94">
      <w:pPr>
        <w:keepNext/>
        <w:keepLines/>
        <w:spacing w:before="40" w:after="0"/>
        <w:outlineLvl w:val="3"/>
        <w:rPr>
          <w:rFonts w:eastAsia="Times New Roman" w:cstheme="majorBidi"/>
          <w:b/>
          <w:iCs/>
          <w:sz w:val="26"/>
        </w:rPr>
      </w:pPr>
      <w:r w:rsidRPr="00D66D94">
        <w:rPr>
          <w:rFonts w:eastAsia="Times New Roman" w:cstheme="majorBidi"/>
          <w:b/>
          <w:iCs/>
          <w:sz w:val="26"/>
        </w:rPr>
        <w:t xml:space="preserve">1. Motivation – to follow a moral theory is to commit yourself to an attempting to become a better person through fostering virtue </w:t>
      </w:r>
    </w:p>
    <w:p w14:paraId="17F11658" w14:textId="7E342A90" w:rsidR="00D66D94" w:rsidRPr="00D66D94" w:rsidRDefault="00D66D94" w:rsidP="007B7BD9">
      <w:pPr>
        <w:keepNext/>
        <w:keepLines/>
        <w:spacing w:before="40" w:after="0"/>
        <w:outlineLvl w:val="3"/>
        <w:rPr>
          <w:rFonts w:eastAsia="Times New Roman" w:cs="Times New Roman"/>
          <w:b/>
          <w:iCs/>
          <w:sz w:val="26"/>
        </w:rPr>
      </w:pPr>
      <w:r w:rsidRPr="00D66D94">
        <w:rPr>
          <w:rFonts w:eastAsia="Times New Roman"/>
          <w:b/>
          <w:iCs/>
          <w:sz w:val="26"/>
        </w:rPr>
        <w:t xml:space="preserve">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 </w:t>
      </w:r>
    </w:p>
    <w:p w14:paraId="16F2DCCD" w14:textId="77777777" w:rsidR="00D66D94" w:rsidRPr="00D66D94" w:rsidRDefault="00D66D94" w:rsidP="00D66D94">
      <w:pPr>
        <w:keepNext/>
        <w:keepLines/>
        <w:pageBreakBefore/>
        <w:spacing w:before="40" w:after="0"/>
        <w:jc w:val="center"/>
        <w:outlineLvl w:val="1"/>
        <w:rPr>
          <w:rFonts w:eastAsia="Times New Roman" w:cs="Times New Roman"/>
          <w:b/>
          <w:sz w:val="44"/>
          <w:szCs w:val="26"/>
          <w:u w:val="double"/>
        </w:rPr>
      </w:pPr>
      <w:r w:rsidRPr="00D66D94">
        <w:rPr>
          <w:rFonts w:eastAsia="Times New Roman" w:cs="Times New Roman"/>
          <w:b/>
          <w:sz w:val="44"/>
          <w:szCs w:val="26"/>
          <w:u w:val="double"/>
        </w:rPr>
        <w:t>Offense</w:t>
      </w:r>
    </w:p>
    <w:p w14:paraId="7E0D6C1A"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I defend that the member nations of the World Trade Organization ought to reduce intellectual property protections for medicines.</w:t>
      </w:r>
    </w:p>
    <w:p w14:paraId="63F91429"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 xml:space="preserve">[1] IP rights structurally prevent all people from accessing the same intellectual virtues and violates the virtue of empathy by not giving life-saving medication to poorer nations. </w:t>
      </w:r>
    </w:p>
    <w:p w14:paraId="65874654" w14:textId="77777777" w:rsidR="00D66D94" w:rsidRPr="00D66D94" w:rsidRDefault="00D66D94" w:rsidP="00D66D94">
      <w:pPr>
        <w:rPr>
          <w:rFonts w:eastAsia="Calibri"/>
        </w:rPr>
      </w:pPr>
      <w:r w:rsidRPr="00D66D94">
        <w:rPr>
          <w:rFonts w:eastAsia="Calibri"/>
          <w:b/>
          <w:bCs/>
          <w:sz w:val="26"/>
          <w:szCs w:val="26"/>
        </w:rPr>
        <w:t>Morabito 15</w:t>
      </w:r>
      <w:r w:rsidRPr="00D66D94">
        <w:rPr>
          <w:rFonts w:eastAsia="Calibri"/>
        </w:rPr>
        <w:t xml:space="preserve"> - “Essay: Pharmaceuticals and Global Justice: Balancing Public Health and Intellectual Property Rights” by Marisa Morabito [https://scholarship.shu.edu/cgi/viewcontent.cgi?referer=https://scholar.google.com/&amp;httpsredir=1&amp;article=1808&amp;context=student_scholarship] //ahs emi</w:t>
      </w:r>
    </w:p>
    <w:p w14:paraId="11A1F1C4" w14:textId="77777777" w:rsidR="00D66D94" w:rsidRPr="00D66D94" w:rsidRDefault="00D66D94" w:rsidP="00D66D94">
      <w:pPr>
        <w:rPr>
          <w:rFonts w:eastAsia="Calibri"/>
          <w:sz w:val="12"/>
        </w:rPr>
      </w:pPr>
      <w:r w:rsidRPr="00D66D94">
        <w:rPr>
          <w:rFonts w:eastAsia="Calibri"/>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principles.lT Virtue ethics emphasizes character formation and habits to foster positive improvements in the world.18 A virtuous person wants to behave well and looks at a circumstance and decides what is right and wishes to behave according to what is right.le This view aligns with Nussbaum who takes a capabilities view which is based on the idea that well-being is "of vital moral importance [and]... </w:t>
      </w:r>
      <w:r w:rsidRPr="00D66D94">
        <w:rPr>
          <w:rFonts w:eastAsia="Calibri"/>
          <w:bCs/>
          <w:u w:val="single"/>
        </w:rPr>
        <w:t>individuals must have real opportunities to live well and to flourish as human beings.</w:t>
      </w:r>
      <w:r w:rsidRPr="00D66D94">
        <w:rPr>
          <w:rFonts w:eastAsia="Calibri"/>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D66D94">
        <w:rPr>
          <w:rFonts w:eastAsia="Calibri"/>
          <w:bCs/>
          <w:highlight w:val="yellow"/>
          <w:u w:val="single"/>
        </w:rPr>
        <w:t>IP rights "generate a material circumstance for a majority of the world in which we can't maximally exercise our intellectual capacities, and thus we fail as a species to maximally flourish."</w:t>
      </w:r>
      <w:r w:rsidRPr="00D66D94">
        <w:rPr>
          <w:rFonts w:eastAsia="Calibri"/>
          <w:sz w:val="12"/>
        </w:rPr>
        <w:t xml:space="preserve">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anti-retrovirals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D66D94">
        <w:rPr>
          <w:rFonts w:eastAsia="Calibri"/>
          <w:bCs/>
          <w:highlight w:val="yellow"/>
          <w:u w:val="single"/>
        </w:rPr>
        <w:t>The ongoing tension</w:t>
      </w:r>
      <w:r w:rsidRPr="00D66D94">
        <w:rPr>
          <w:rFonts w:eastAsia="Calibri"/>
          <w:bCs/>
          <w:u w:val="single"/>
        </w:rPr>
        <w:t xml:space="preserve"> </w:t>
      </w:r>
      <w:r w:rsidRPr="00D66D94">
        <w:rPr>
          <w:rFonts w:eastAsia="Calibri"/>
          <w:bCs/>
          <w:highlight w:val="yellow"/>
          <w:u w:val="single"/>
        </w:rPr>
        <w:t>between</w:t>
      </w:r>
      <w:r w:rsidRPr="00D66D94">
        <w:rPr>
          <w:rFonts w:eastAsia="Calibri"/>
          <w:bCs/>
          <w:u w:val="single"/>
        </w:rPr>
        <w:t xml:space="preserve"> the fight against </w:t>
      </w:r>
      <w:r w:rsidRPr="00D66D94">
        <w:rPr>
          <w:rFonts w:eastAsia="Calibri"/>
          <w:bCs/>
          <w:highlight w:val="yellow"/>
          <w:u w:val="single"/>
        </w:rPr>
        <w:t>poverty and IP rights</w:t>
      </w:r>
      <w:r w:rsidRPr="00D66D94">
        <w:rPr>
          <w:rFonts w:eastAsia="Calibri"/>
          <w:bCs/>
          <w:u w:val="single"/>
        </w:rPr>
        <w:t xml:space="preserve"> continues to </w:t>
      </w:r>
      <w:r w:rsidRPr="00D66D94">
        <w:rPr>
          <w:rFonts w:eastAsia="Calibri"/>
          <w:bCs/>
          <w:highlight w:val="yellow"/>
          <w:u w:val="single"/>
        </w:rPr>
        <w:t>persist at the mercy of</w:t>
      </w:r>
      <w:r w:rsidRPr="00D66D94">
        <w:rPr>
          <w:rFonts w:eastAsia="Calibri"/>
          <w:bCs/>
          <w:u w:val="single"/>
        </w:rPr>
        <w:t xml:space="preserve"> humans in </w:t>
      </w:r>
      <w:r w:rsidRPr="00D66D94">
        <w:rPr>
          <w:rFonts w:eastAsia="Calibri"/>
          <w:bCs/>
          <w:highlight w:val="yellow"/>
          <w:u w:val="single"/>
        </w:rPr>
        <w:t>poorer nations</w:t>
      </w:r>
      <w:r w:rsidRPr="00D66D94">
        <w:rPr>
          <w:rFonts w:eastAsia="Calibri"/>
          <w:bCs/>
          <w:u w:val="single"/>
        </w:rPr>
        <w:t xml:space="preserve"> who are </w:t>
      </w:r>
      <w:r w:rsidRPr="00D66D94">
        <w:rPr>
          <w:rFonts w:eastAsia="Calibri"/>
          <w:bCs/>
          <w:highlight w:val="yellow"/>
          <w:u w:val="single"/>
        </w:rPr>
        <w:t>unable to afford medications</w:t>
      </w:r>
      <w:r w:rsidRPr="00D66D94">
        <w:rPr>
          <w:rFonts w:eastAsia="Calibri"/>
          <w:bCs/>
          <w:u w:val="single"/>
        </w:rPr>
        <w:t xml:space="preserve"> to cure their illnesses and diseases </w:t>
      </w:r>
      <w:r w:rsidRPr="00D66D94">
        <w:rPr>
          <w:rFonts w:eastAsia="Calibri"/>
          <w:bCs/>
          <w:highlight w:val="yellow"/>
          <w:u w:val="single"/>
        </w:rPr>
        <w:t>which hinders maximum</w:t>
      </w:r>
      <w:r w:rsidRPr="00D66D94">
        <w:rPr>
          <w:rFonts w:eastAsia="Calibri"/>
          <w:bCs/>
          <w:u w:val="single"/>
        </w:rPr>
        <w:t xml:space="preserve"> human </w:t>
      </w:r>
      <w:r w:rsidRPr="00D66D94">
        <w:rPr>
          <w:rFonts w:eastAsia="Calibri"/>
          <w:b/>
          <w:iCs/>
          <w:highlight w:val="yellow"/>
          <w:u w:val="single"/>
        </w:rPr>
        <w:t>f</w:t>
      </w:r>
      <w:r w:rsidRPr="00D66D94">
        <w:rPr>
          <w:rFonts w:eastAsia="Calibri"/>
          <w:bCs/>
          <w:highlight w:val="yellow"/>
          <w:u w:val="single"/>
        </w:rPr>
        <w:t>lourishing and does not express good character.</w:t>
      </w:r>
      <w:r w:rsidRPr="00D66D94">
        <w:rPr>
          <w:rFonts w:eastAsia="Calibri"/>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D66D94">
        <w:rPr>
          <w:rFonts w:eastAsia="Calibri"/>
          <w:bCs/>
          <w:highlight w:val="yellow"/>
          <w:u w:val="single"/>
        </w:rPr>
        <w:t>every person should have the ability to live a flourishing life yet the IP movement has placed limitations on what a person can do</w:t>
      </w:r>
      <w:r w:rsidRPr="00D66D94">
        <w:rPr>
          <w:rFonts w:eastAsia="Calibri"/>
          <w:bCs/>
          <w:u w:val="single"/>
        </w:rPr>
        <w:t xml:space="preserve"> and be as a result of continued poverty.33</w:t>
      </w:r>
    </w:p>
    <w:p w14:paraId="0CC4993D"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[2] Communitarian open-source platforms for developing biotechnology cultivate charity-based virtues and intellectual virtues aimed at healing the world of ailments</w:t>
      </w:r>
    </w:p>
    <w:p w14:paraId="6D377301" w14:textId="77777777" w:rsidR="00D66D94" w:rsidRPr="00D66D94" w:rsidRDefault="00D66D94" w:rsidP="00D66D94">
      <w:pPr>
        <w:rPr>
          <w:rFonts w:eastAsia="Calibri"/>
        </w:rPr>
      </w:pPr>
      <w:r w:rsidRPr="00D66D94">
        <w:rPr>
          <w:rFonts w:eastAsia="Times New Roman"/>
          <w:b/>
          <w:bCs/>
          <w:sz w:val="26"/>
        </w:rPr>
        <w:t>Opderbeck 07</w:t>
      </w:r>
      <w:r w:rsidRPr="00D66D94">
        <w:rPr>
          <w:rFonts w:eastAsia="Calibri"/>
        </w:rPr>
        <w:t>, David W. Opderbeck, Maine Law Review Vol. 59 No.2 (2007) “A Virtue-Centered Approach to the Biotechnology Commons (Or, The Virtuous Penguin)” [https://digitalcommons.mainelaw.maine.edu/mlr/vol59/iss2/5/] Accessed 8/11/21 NPR</w:t>
      </w:r>
    </w:p>
    <w:p w14:paraId="0343CFE6" w14:textId="77777777" w:rsidR="00D66D94" w:rsidRPr="00D66D94" w:rsidRDefault="00D66D94" w:rsidP="00D66D94">
      <w:pPr>
        <w:rPr>
          <w:rFonts w:eastAsia="Calibri"/>
          <w:sz w:val="10"/>
        </w:rPr>
      </w:pPr>
      <w:r w:rsidRPr="00D66D94">
        <w:rPr>
          <w:rFonts w:eastAsia="Calibri"/>
          <w:sz w:val="10"/>
        </w:rPr>
        <w:t xml:space="preserve">The virtue ethics notions of community and practices seem to map well onto the open source space. As Yochai Benkler has noted, open source communities require a system of "social-psychological" rewards in order to flourish. 75 Such rewards can include the sort of "internal goods" found in Maclntyrian "practices." 76 For example, a coder working on an open source software project might participate, at least in part, for the joy and satisfaction inherent in creating an elegant solution to a technical problem. 77 In addition, mature open source projects do not proceed aimlessly, but include standards of excellence established by the community and usually canonized by an influential individual or small group of individuals. 78 Finally, a pillar of open source production is the systematic extension of the project through the continuous feedback provided by numerous distributed workers. 79 A tension might arise, however, between Maclntyre's emphasis on a community's authoritative text or voice and the notion of open source production as an enterprise comprised of essentially self-actualizing individuals. In fact, Yochai Benkler and Helen Nissenbaum emphasize the virtue of "autonomy" as a core aspect of a virtue ethics approach to commons-based peer production. 80 Benkler in particular emphasizes the ways in which open source peer production contributes to justice by allowing space for individual autonomy.81 But open source communities should not be conceived of as fractiously individualistic. A successful, long term open source community requires an authoritative voice or voices that regulate exchange, lend status to social-psychological rewards, and canonize valuable contributions to the project. 82 Open source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r w:rsidRPr="00D66D94">
        <w:rPr>
          <w:rFonts w:eastAsia="Calibri"/>
          <w:bCs/>
          <w:highlight w:val="yellow"/>
          <w:u w:val="single"/>
        </w:rPr>
        <w:t>open source communities</w:t>
      </w:r>
      <w:r w:rsidRPr="00D66D94">
        <w:rPr>
          <w:rFonts w:eastAsia="Calibri"/>
          <w:sz w:val="10"/>
          <w:highlight w:val="yellow"/>
        </w:rPr>
        <w:t xml:space="preserve"> </w:t>
      </w:r>
      <w:r w:rsidRPr="00D66D94">
        <w:rPr>
          <w:rFonts w:eastAsia="Calibri"/>
          <w:sz w:val="10"/>
        </w:rPr>
        <w:t xml:space="preserve">are conceived in Maclntyrian terms, it is possible to identify </w:t>
      </w:r>
      <w:r w:rsidRPr="00D66D94">
        <w:rPr>
          <w:rFonts w:eastAsia="Calibri"/>
          <w:bCs/>
          <w:highlight w:val="yellow"/>
          <w:u w:val="single"/>
        </w:rPr>
        <w:t>virtues</w:t>
      </w:r>
      <w:r w:rsidRPr="00D66D94">
        <w:rPr>
          <w:rFonts w:eastAsia="Calibri"/>
          <w:sz w:val="10"/>
          <w:highlight w:val="yellow"/>
        </w:rPr>
        <w:t xml:space="preserve"> </w:t>
      </w:r>
      <w:r w:rsidRPr="00D66D94">
        <w:rPr>
          <w:rFonts w:eastAsia="Calibri"/>
          <w:sz w:val="10"/>
        </w:rPr>
        <w:t xml:space="preserve">that </w:t>
      </w:r>
      <w:r w:rsidRPr="00D66D94">
        <w:rPr>
          <w:rFonts w:eastAsia="Calibri"/>
          <w:bCs/>
          <w:highlight w:val="yellow"/>
          <w:u w:val="single"/>
        </w:rPr>
        <w:t>support the flourishing of such communities</w:t>
      </w:r>
      <w:r w:rsidRPr="00D66D94">
        <w:rPr>
          <w:rFonts w:eastAsia="Calibri"/>
          <w:sz w:val="10"/>
        </w:rPr>
        <w:t>. Benkler and Nissenbaum identify three "clusters" of virtues that relate to peer production: (1) "autonomy, independence, liberation"; 83 (2) "</w:t>
      </w:r>
      <w:r w:rsidRPr="00D66D94">
        <w:rPr>
          <w:rFonts w:eastAsia="Calibri"/>
          <w:bCs/>
          <w:highlight w:val="yellow"/>
          <w:u w:val="single"/>
        </w:rPr>
        <w:t>creativity</w:t>
      </w:r>
      <w:r w:rsidRPr="00D66D94">
        <w:rPr>
          <w:rFonts w:eastAsia="Calibri"/>
          <w:sz w:val="10"/>
        </w:rPr>
        <w:t>, productivity, industry"; 84 (3) "benevolence, charity, generosity, altruism"; 85 and "</w:t>
      </w:r>
      <w:r w:rsidRPr="00D66D94">
        <w:rPr>
          <w:rFonts w:eastAsia="Calibri"/>
          <w:bCs/>
          <w:highlight w:val="yellow"/>
          <w:u w:val="single"/>
        </w:rPr>
        <w:t>sociability</w:t>
      </w:r>
      <w:r w:rsidRPr="00D66D94">
        <w:rPr>
          <w:rFonts w:eastAsia="Calibri"/>
          <w:sz w:val="10"/>
        </w:rPr>
        <w:t xml:space="preserve">, camaraderie, friendship, </w:t>
      </w:r>
      <w:r w:rsidRPr="00D66D94">
        <w:rPr>
          <w:rFonts w:eastAsia="Calibri"/>
          <w:bCs/>
          <w:highlight w:val="yellow"/>
          <w:u w:val="single"/>
        </w:rPr>
        <w:t>cooperation</w:t>
      </w:r>
      <w:r w:rsidRPr="00D66D94">
        <w:rPr>
          <w:rFonts w:eastAsia="Calibri"/>
          <w:sz w:val="10"/>
        </w:rPr>
        <w:t xml:space="preserve">, </w:t>
      </w:r>
      <w:r w:rsidRPr="00D66D94">
        <w:rPr>
          <w:rFonts w:eastAsia="Calibri"/>
          <w:bCs/>
          <w:highlight w:val="yellow"/>
          <w:u w:val="single"/>
        </w:rPr>
        <w:t>civic virtue</w:t>
      </w:r>
      <w:r w:rsidRPr="00D66D94">
        <w:rPr>
          <w:rFonts w:eastAsia="Calibri"/>
          <w:sz w:val="10"/>
        </w:rPr>
        <w:t xml:space="preserve">." 86 The first cluster seems difficult to relate to the communitarian axis of virtue ethics. As an example of the "virtue" of autonomy, Benkler and Nissenbaum propose "independence from the wide-ranging commercial entities influencing our actions and choices as well as from the typical array of institutional entities, whether employers, banks, agents of government, or whoever." 87 In his important book The Wealth of Networks, Benkler stresses autonomy as a fundamental value promoted by open source production, but not from a virtue ethics framework. 88 In The Wealth of Networks, Benkler seems to approach the question of autonomy from a Kantian perspective. 89 "Autonomy" seems better suited to the Kantian perspective Benkler takes in The Wealth of Networks than to the virtue ethics approach he takes with Nissenbaum.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open source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Benkler and Nissenbaum's focus on "creativity, productivity, [and] industry" seems closer to the heart of virtue ethics. 91 They helpfully note that creativity, productivity, and industry can be considered part ofa Maclntyrian "practice. "92 </w:t>
      </w:r>
      <w:r w:rsidRPr="00D66D94">
        <w:rPr>
          <w:rFonts w:eastAsia="Calibri"/>
          <w:bCs/>
          <w:highlight w:val="yellow"/>
          <w:u w:val="single"/>
        </w:rPr>
        <w:t>Peer production provides additional avenues for individuals to engage in creative and productive work</w:t>
      </w:r>
      <w:r w:rsidRPr="00D66D94">
        <w:rPr>
          <w:rFonts w:eastAsia="Calibri"/>
          <w:sz w:val="10"/>
        </w:rPr>
        <w:t xml:space="preserve">, and thus can facilitate valuable practices. 93 In addition, Benkler and Nissenbaum note that peer production </w:t>
      </w:r>
      <w:r w:rsidRPr="00D66D94">
        <w:rPr>
          <w:rFonts w:eastAsia="Calibri"/>
          <w:bCs/>
          <w:highlight w:val="yellow"/>
          <w:u w:val="single"/>
        </w:rPr>
        <w:t xml:space="preserve">encourages </w:t>
      </w:r>
      <w:r w:rsidRPr="00D66D94">
        <w:rPr>
          <w:rFonts w:eastAsia="Calibri"/>
          <w:bCs/>
          <w:u w:val="single"/>
        </w:rPr>
        <w:t>the "</w:t>
      </w:r>
      <w:r w:rsidRPr="00D66D94">
        <w:rPr>
          <w:rFonts w:eastAsia="Calibri"/>
          <w:bCs/>
          <w:highlight w:val="yellow"/>
          <w:u w:val="single"/>
        </w:rPr>
        <w:t xml:space="preserve">other-regarding" virtues </w:t>
      </w:r>
      <w:r w:rsidRPr="00D66D94">
        <w:rPr>
          <w:rFonts w:eastAsia="Calibri"/>
          <w:bCs/>
          <w:u w:val="single"/>
        </w:rPr>
        <w:t xml:space="preserve">of "benevolence, charity, generosity, [and] altruism." 94 </w:t>
      </w:r>
      <w:r w:rsidRPr="00D66D94">
        <w:rPr>
          <w:rFonts w:eastAsia="Calibri"/>
          <w:bCs/>
          <w:highlight w:val="yellow"/>
          <w:u w:val="single"/>
        </w:rPr>
        <w:t xml:space="preserve">Participants </w:t>
      </w:r>
      <w:r w:rsidRPr="00D66D94">
        <w:rPr>
          <w:rFonts w:eastAsia="Calibri"/>
          <w:bCs/>
          <w:u w:val="single"/>
        </w:rPr>
        <w:t xml:space="preserve">in open source communities </w:t>
      </w:r>
      <w:r w:rsidRPr="00D66D94">
        <w:rPr>
          <w:rFonts w:eastAsia="Calibri"/>
          <w:bCs/>
          <w:highlight w:val="yellow"/>
          <w:u w:val="single"/>
        </w:rPr>
        <w:t xml:space="preserve">give time, resources, and talents </w:t>
      </w:r>
      <w:r w:rsidRPr="00D66D94">
        <w:rPr>
          <w:rFonts w:eastAsia="Calibri"/>
          <w:bCs/>
          <w:u w:val="single"/>
        </w:rPr>
        <w:t xml:space="preserve">to the project, ordinarily </w:t>
      </w:r>
      <w:r w:rsidRPr="00D66D94">
        <w:rPr>
          <w:rFonts w:eastAsia="Calibri"/>
          <w:bCs/>
          <w:highlight w:val="yellow"/>
          <w:u w:val="single"/>
        </w:rPr>
        <w:t xml:space="preserve">without </w:t>
      </w:r>
      <w:r w:rsidRPr="00D66D94">
        <w:rPr>
          <w:rFonts w:eastAsia="Calibri"/>
          <w:bCs/>
          <w:u w:val="single"/>
        </w:rPr>
        <w:t xml:space="preserve">direct </w:t>
      </w:r>
      <w:r w:rsidRPr="00D66D94">
        <w:rPr>
          <w:rFonts w:eastAsia="Calibri"/>
          <w:bCs/>
          <w:highlight w:val="yellow"/>
          <w:u w:val="single"/>
        </w:rPr>
        <w:t>financial remuneration</w:t>
      </w:r>
      <w:r w:rsidRPr="00D66D94">
        <w:rPr>
          <w:rFonts w:eastAsia="Calibri"/>
          <w:sz w:val="10"/>
        </w:rPr>
        <w:t xml:space="preserve">. 95 As Benkler and Nissenbaum note, however, the literature concerning open source culture is ambiguous concerning whether participants offer their time, resources, and talents for altruistic reasons or as part of an essentially self-interested medium of exchange. 96 Finally, Benkler and Nissenbaum focus on the virtues of "sociability, camaraderie, friendship, cooperation[, and] civic virtue." 97 It is here that their link between virtue ethics and peer production is perhaps most salient. This cluster of virtues involves providing resources to a community engaged in a common project with a common goal. The concept is similar, Benkler and Nissenbaum note, to the American founders' notion of politics as contribution to the public good. 98 Whatever their psychological motives, </w:t>
      </w:r>
      <w:r w:rsidRPr="00D66D94">
        <w:rPr>
          <w:rFonts w:eastAsia="Calibri"/>
          <w:bCs/>
          <w:u w:val="single"/>
        </w:rPr>
        <w:t xml:space="preserve">the multifarious </w:t>
      </w:r>
      <w:r w:rsidRPr="00D66D94">
        <w:rPr>
          <w:rFonts w:eastAsia="Calibri"/>
          <w:bCs/>
          <w:highlight w:val="yellow"/>
          <w:u w:val="single"/>
        </w:rPr>
        <w:t xml:space="preserve">contributors </w:t>
      </w:r>
      <w:r w:rsidRPr="00D66D94">
        <w:rPr>
          <w:rFonts w:eastAsia="Calibri"/>
          <w:bCs/>
          <w:u w:val="single"/>
        </w:rPr>
        <w:t xml:space="preserve">to an open source project </w:t>
      </w:r>
      <w:r w:rsidRPr="00D66D94">
        <w:rPr>
          <w:rFonts w:eastAsia="Calibri"/>
          <w:bCs/>
          <w:highlight w:val="yellow"/>
          <w:u w:val="single"/>
        </w:rPr>
        <w:t>provide small inputs of time, resources, and talent, which cumulate to a much larger good</w:t>
      </w:r>
      <w:r w:rsidRPr="00D66D94">
        <w:rPr>
          <w:rFonts w:eastAsia="Calibri"/>
          <w:sz w:val="10"/>
        </w:rPr>
        <w:t xml:space="preserve">. B. Virtue and Biotechnology as an Environmental and Public Health Community If virtue ethics concepts can apply generally to open source production, can they apply to biotechnology, and specifically to open source biotechnology? Benkler and Nissenbaum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Open source production, Benkler and Nissenbaum suggest, structurally incorporates virtues that lead to greater human freedom. If we fail to encourage open source production, "[ w ]e might miss the chance to benefit from a distinctive sociotechnical system that promotes not only cultural and intellectual production but constitutes a venue for human character development." 101 In this vein, we can view biotechnology, like the communications networks with which Benkler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open source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anticommons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d'etre of biotechnology. </w:t>
      </w:r>
      <w:r w:rsidRPr="00D66D94">
        <w:rPr>
          <w:rFonts w:eastAsia="Calibri"/>
          <w:bCs/>
          <w:highlight w:val="yellow"/>
          <w:u w:val="single"/>
        </w:rPr>
        <w:t>Biotechnology</w:t>
      </w:r>
      <w:r w:rsidRPr="00D66D94">
        <w:rPr>
          <w:rFonts w:eastAsia="Calibri"/>
          <w:sz w:val="10"/>
        </w:rPr>
        <w:t xml:space="preserve">, then, is more than a set of products; it </w:t>
      </w:r>
      <w:r w:rsidRPr="00D66D94">
        <w:rPr>
          <w:rFonts w:eastAsia="Calibri"/>
          <w:bCs/>
          <w:u w:val="single"/>
        </w:rPr>
        <w:t xml:space="preserve">is a Maclntyrian practice that seeks to </w:t>
      </w:r>
      <w:r w:rsidRPr="00D66D94">
        <w:rPr>
          <w:rFonts w:eastAsia="Calibri"/>
          <w:bCs/>
          <w:highlight w:val="yellow"/>
          <w:u w:val="single"/>
        </w:rPr>
        <w:t>improve human health and wellbeing</w:t>
      </w:r>
      <w:r w:rsidRPr="00D66D94">
        <w:rPr>
          <w:rFonts w:eastAsia="Calibri"/>
          <w:sz w:val="10"/>
        </w:rPr>
        <w:t xml:space="preserve">. In his keynote address at BIO's 2005 annual convention, BIO President and CEO James Greenwood told the conferees, "[Y]ou serve every man, woman and child on earth. And even more impressively, you serve the uncountable billions of humans who will inhabit this planet after we are gone." 107 Greenwood expressed the biotechnology community's vision, hyperbolically but no doubt sincerely, as follows: The convergence of systems biology, genomics, infomatics,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of[D]arwinian natural selection and its afflictions of disease. </w:t>
      </w:r>
      <w:r w:rsidRPr="00D66D94">
        <w:rPr>
          <w:rFonts w:eastAsia="Calibri"/>
          <w:bCs/>
          <w:highlight w:val="yellow"/>
          <w:u w:val="single"/>
        </w:rPr>
        <w:t>There is no more noble</w:t>
      </w:r>
      <w:r w:rsidRPr="00D66D94">
        <w:rPr>
          <w:rFonts w:eastAsia="Calibri"/>
          <w:bCs/>
          <w:u w:val="single"/>
        </w:rPr>
        <w:t>-and no more heroic-</w:t>
      </w:r>
      <w:r w:rsidRPr="00D66D94">
        <w:rPr>
          <w:rFonts w:eastAsia="Calibri"/>
          <w:bCs/>
          <w:highlight w:val="yellow"/>
          <w:u w:val="single"/>
        </w:rPr>
        <w:t>mission than this</w:t>
      </w:r>
      <w:r w:rsidRPr="00D66D94">
        <w:rPr>
          <w:rFonts w:eastAsia="Calibri"/>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patients, optimistic and earnest talking-head scientists projected against CS I-like blue-tinted backgrounds filled with wiggling microorganisms, and colorful images of Midwestern farms and Asian village weJls. The narration borders on messianic. At the video's close, the narrator tells us: </w:t>
      </w:r>
      <w:r w:rsidRPr="00D66D94">
        <w:rPr>
          <w:rFonts w:eastAsia="Calibri"/>
          <w:bCs/>
          <w:u w:val="single"/>
        </w:rPr>
        <w:t>Dreams begin with inspiration and flourish with determination and courage</w:t>
      </w:r>
      <w:r w:rsidRPr="00D66D94">
        <w:rPr>
          <w:rFonts w:eastAsia="Calibri"/>
          <w:sz w:val="10"/>
        </w:rPr>
        <w:t xml:space="preserve">. </w:t>
      </w:r>
      <w:r w:rsidRPr="00D66D94">
        <w:rPr>
          <w:rFonts w:eastAsia="Calibri"/>
          <w:bCs/>
          <w:u w:val="single"/>
        </w:rPr>
        <w:t>Such are the dreams of today's biotechnology leaders</w:t>
      </w:r>
      <w:r w:rsidRPr="00D66D94">
        <w:rPr>
          <w:rFonts w:eastAsia="Calibri"/>
          <w:sz w:val="10"/>
        </w:rPr>
        <w:t>. Their dream of improving the human condition offers hope to those who suffer, relief to those who are ill,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gonna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heath care and environmental issues. I will then offer some suggestions for how those perspectives could relate to biotechnology intellectual property policy.</w:t>
      </w:r>
    </w:p>
    <w:p w14:paraId="5B8B58A2" w14:textId="6F0C181E" w:rsidR="00D66D94" w:rsidRDefault="00D66D94" w:rsidP="00D66D94">
      <w:pPr>
        <w:keepNext/>
        <w:keepLines/>
        <w:spacing w:before="40" w:after="0"/>
        <w:outlineLvl w:val="3"/>
        <w:rPr>
          <w:rFonts w:eastAsia="Times New Roman"/>
          <w:b/>
          <w:iCs/>
          <w:sz w:val="26"/>
        </w:rPr>
      </w:pPr>
      <w:r w:rsidRPr="00D66D94">
        <w:rPr>
          <w:rFonts w:eastAsia="Times New Roman"/>
          <w:b/>
          <w:iCs/>
          <w:sz w:val="26"/>
        </w:rPr>
        <w:t xml:space="preserve">[3] Property rights are incoherent. Everything material intrinsically has a form that’s universally accessible to all people. That means individuals can’t claim ownership to something everyone has access to. </w:t>
      </w:r>
    </w:p>
    <w:p w14:paraId="3E062F62" w14:textId="791C19EA" w:rsidR="00D66D94" w:rsidRDefault="00D66D94" w:rsidP="00D66D94">
      <w:pPr>
        <w:pStyle w:val="Heading2"/>
        <w:rPr>
          <w:rFonts w:eastAsia="Times New Roman"/>
        </w:rPr>
      </w:pPr>
      <w:r>
        <w:rPr>
          <w:rFonts w:eastAsia="Times New Roman"/>
        </w:rPr>
        <w:t>ADV</w:t>
      </w:r>
    </w:p>
    <w:p w14:paraId="28E4707C" w14:textId="77777777" w:rsidR="00D66D94" w:rsidRPr="00D66D94" w:rsidRDefault="00D66D94" w:rsidP="00D66D94">
      <w:pPr>
        <w:keepNext/>
        <w:keepLines/>
        <w:spacing w:before="40" w:after="0"/>
        <w:outlineLvl w:val="3"/>
        <w:rPr>
          <w:rFonts w:eastAsia="Times New Roman" w:cs="Times New Roman"/>
          <w:b/>
          <w:iCs/>
          <w:sz w:val="26"/>
        </w:rPr>
      </w:pPr>
      <w:r w:rsidRPr="00D66D94">
        <w:rPr>
          <w:rFonts w:eastAsia="Times New Roman" w:cs="Times New Roman"/>
          <w:b/>
          <w:iCs/>
          <w:sz w:val="26"/>
        </w:rPr>
        <w:t xml:space="preserve">IP regimes are tied to rising biodiversity loss. </w:t>
      </w:r>
    </w:p>
    <w:p w14:paraId="5EBC1478" w14:textId="77777777" w:rsidR="00D66D94" w:rsidRPr="00D66D94" w:rsidRDefault="00D66D94" w:rsidP="00D66D94">
      <w:pPr>
        <w:rPr>
          <w:rFonts w:eastAsia="Calibri"/>
        </w:rPr>
      </w:pPr>
      <w:r w:rsidRPr="00D66D94">
        <w:rPr>
          <w:rFonts w:eastAsia="Calibri"/>
          <w:b/>
          <w:bCs/>
          <w:sz w:val="26"/>
          <w:szCs w:val="26"/>
        </w:rPr>
        <w:t xml:space="preserve">PAMUN 14 – </w:t>
      </w:r>
      <w:r w:rsidRPr="00D66D94">
        <w:rPr>
          <w:rFonts w:eastAsia="Calibri"/>
        </w:rPr>
        <w:t>“PAMUN Xviii Research Report— Question Of Intellectual Property And Biodiversity” [http://asp-edu.net/pamun/pamun2013/wp-content/uploads/2014/04/OK_EDITED_-UNCTAD-biodiversity-and-IP-1.pdf] // ahs emi</w:t>
      </w:r>
    </w:p>
    <w:p w14:paraId="706A2E1C" w14:textId="77777777" w:rsidR="00D66D94" w:rsidRPr="00D66D94" w:rsidRDefault="00D66D94" w:rsidP="00D66D94">
      <w:pPr>
        <w:rPr>
          <w:rFonts w:eastAsia="Calibri"/>
          <w:sz w:val="8"/>
        </w:rPr>
      </w:pPr>
      <w:r w:rsidRPr="00D66D94">
        <w:rPr>
          <w:rFonts w:eastAsia="Calibri"/>
          <w:sz w:val="8"/>
        </w:rPr>
        <w:t xml:space="preserve">During the last few years, </w:t>
      </w:r>
      <w:r w:rsidRPr="00D66D94">
        <w:rPr>
          <w:rFonts w:eastAsia="Calibri"/>
          <w:b/>
          <w:bCs/>
          <w:highlight w:val="yellow"/>
          <w:u w:val="single"/>
        </w:rPr>
        <w:t>biodiversity has been lost at an unprecedented rate</w:t>
      </w:r>
      <w:r w:rsidRPr="00D66D94">
        <w:rPr>
          <w:rFonts w:eastAsia="Calibri"/>
          <w:b/>
          <w:bCs/>
          <w:u w:val="single"/>
        </w:rPr>
        <w:t xml:space="preserve"> throughout the world </w:t>
      </w:r>
      <w:r w:rsidRPr="00D66D94">
        <w:rPr>
          <w:rFonts w:eastAsia="Calibri"/>
          <w:b/>
          <w:bCs/>
          <w:highlight w:val="yellow"/>
          <w:u w:val="single"/>
        </w:rPr>
        <w:t>in every ecosystem.</w:t>
      </w:r>
      <w:r w:rsidRPr="00D66D94">
        <w:rPr>
          <w:rFonts w:eastAsia="Calibri"/>
          <w:b/>
          <w:bCs/>
          <w:u w:val="single"/>
        </w:rPr>
        <w:t xml:space="preserve"> According to the FAO, about </w:t>
      </w:r>
      <w:r w:rsidRPr="00D66D94">
        <w:rPr>
          <w:rFonts w:eastAsia="Calibri"/>
          <w:b/>
          <w:bCs/>
          <w:highlight w:val="yellow"/>
          <w:u w:val="single"/>
        </w:rPr>
        <w:t>75% of</w:t>
      </w:r>
      <w:r w:rsidRPr="00D66D94">
        <w:rPr>
          <w:rFonts w:eastAsia="Calibri"/>
          <w:b/>
          <w:bCs/>
          <w:u w:val="single"/>
        </w:rPr>
        <w:t xml:space="preserve"> the </w:t>
      </w:r>
      <w:r w:rsidRPr="00D66D94">
        <w:rPr>
          <w:rFonts w:eastAsia="Calibri"/>
          <w:b/>
          <w:bCs/>
          <w:highlight w:val="yellow"/>
          <w:u w:val="single"/>
        </w:rPr>
        <w:t>genetic diversity</w:t>
      </w:r>
      <w:r w:rsidRPr="00D66D94">
        <w:rPr>
          <w:rFonts w:eastAsia="Calibri"/>
          <w:b/>
          <w:bCs/>
          <w:u w:val="single"/>
        </w:rPr>
        <w:t xml:space="preserve"> found in agricultural crops </w:t>
      </w:r>
      <w:r w:rsidRPr="00D66D94">
        <w:rPr>
          <w:rFonts w:eastAsia="Calibri"/>
          <w:b/>
          <w:bCs/>
          <w:highlight w:val="yellow"/>
          <w:u w:val="single"/>
        </w:rPr>
        <w:t>has been lost</w:t>
      </w:r>
      <w:r w:rsidRPr="00D66D94">
        <w:rPr>
          <w:rFonts w:eastAsia="Calibri"/>
          <w:b/>
          <w:bCs/>
          <w:u w:val="single"/>
        </w:rPr>
        <w:t xml:space="preserve"> over the last century,</w:t>
      </w:r>
      <w:r w:rsidRPr="00D66D94">
        <w:rPr>
          <w:rFonts w:eastAsia="Calibri"/>
          <w:sz w:val="8"/>
        </w:rPr>
        <w:t xml:space="preserve"> and this phenomenon continues. It is imperative that we conserve agricultural biodiversity: </w:t>
      </w:r>
      <w:r w:rsidRPr="00D66D94">
        <w:rPr>
          <w:rFonts w:eastAsia="Calibri"/>
          <w:b/>
          <w:bCs/>
          <w:highlight w:val="yellow"/>
          <w:u w:val="single"/>
        </w:rPr>
        <w:t>higher biodiversity</w:t>
      </w:r>
      <w:r w:rsidRPr="00D66D94">
        <w:rPr>
          <w:rFonts w:eastAsia="Calibri"/>
          <w:b/>
          <w:bCs/>
          <w:u w:val="single"/>
        </w:rPr>
        <w:t xml:space="preserve"> of agricultural crops helps </w:t>
      </w:r>
      <w:r w:rsidRPr="00D66D94">
        <w:rPr>
          <w:rFonts w:eastAsia="Calibri"/>
          <w:b/>
          <w:bCs/>
          <w:highlight w:val="yellow"/>
          <w:u w:val="single"/>
        </w:rPr>
        <w:t>increase yield stability</w:t>
      </w:r>
      <w:r w:rsidRPr="00D66D94">
        <w:rPr>
          <w:rFonts w:eastAsia="Calibri"/>
          <w:b/>
          <w:bCs/>
          <w:u w:val="single"/>
        </w:rPr>
        <w:t xml:space="preserve"> and </w:t>
      </w:r>
      <w:r w:rsidRPr="00D66D94">
        <w:rPr>
          <w:rFonts w:eastAsia="Calibri"/>
          <w:b/>
          <w:bCs/>
          <w:highlight w:val="yellow"/>
          <w:u w:val="single"/>
        </w:rPr>
        <w:t>soil fertility</w:t>
      </w:r>
      <w:r w:rsidRPr="00D66D94">
        <w:rPr>
          <w:rFonts w:eastAsia="Calibri"/>
          <w:b/>
          <w:bCs/>
          <w:u w:val="single"/>
        </w:rPr>
        <w:t xml:space="preserve"> and </w:t>
      </w:r>
      <w:r w:rsidRPr="00D66D94">
        <w:rPr>
          <w:rFonts w:eastAsia="Calibri"/>
          <w:b/>
          <w:bCs/>
          <w:highlight w:val="yellow"/>
          <w:u w:val="single"/>
        </w:rPr>
        <w:t>gives species the ability to adapt</w:t>
      </w:r>
      <w:r w:rsidRPr="00D66D94">
        <w:rPr>
          <w:rFonts w:eastAsia="Calibri"/>
          <w:b/>
          <w:bCs/>
          <w:u w:val="single"/>
        </w:rPr>
        <w:t xml:space="preserve"> to changing conditions.</w:t>
      </w:r>
      <w:r w:rsidRPr="00D66D94">
        <w:rPr>
          <w:rFonts w:eastAsia="Calibri"/>
          <w:sz w:val="8"/>
        </w:rPr>
        <w:t xml:space="preserve"> High agricultural biodiversity </w:t>
      </w:r>
      <w:r w:rsidRPr="00D66D94">
        <w:rPr>
          <w:rFonts w:eastAsia="Calibri"/>
          <w:b/>
          <w:bCs/>
          <w:highlight w:val="yellow"/>
          <w:u w:val="single"/>
        </w:rPr>
        <w:t>also</w:t>
      </w:r>
      <w:r w:rsidRPr="00D66D94">
        <w:rPr>
          <w:rFonts w:eastAsia="Calibri"/>
          <w:b/>
          <w:bCs/>
          <w:u w:val="single"/>
        </w:rPr>
        <w:t xml:space="preserve"> helps </w:t>
      </w:r>
      <w:r w:rsidRPr="00D66D94">
        <w:rPr>
          <w:rFonts w:eastAsia="Calibri"/>
          <w:b/>
          <w:bCs/>
          <w:highlight w:val="yellow"/>
          <w:u w:val="single"/>
        </w:rPr>
        <w:t>protect</w:t>
      </w:r>
      <w:r w:rsidRPr="00D66D94">
        <w:rPr>
          <w:rFonts w:eastAsia="Calibri"/>
          <w:b/>
          <w:bCs/>
          <w:u w:val="single"/>
        </w:rPr>
        <w:t xml:space="preserve"> our </w:t>
      </w:r>
      <w:r w:rsidRPr="00D66D94">
        <w:rPr>
          <w:rFonts w:eastAsia="Calibri"/>
          <w:b/>
          <w:bCs/>
          <w:highlight w:val="yellow"/>
          <w:u w:val="single"/>
        </w:rPr>
        <w:t>health by ensuring sustainable production</w:t>
      </w:r>
      <w:r w:rsidRPr="00D66D94">
        <w:rPr>
          <w:rFonts w:eastAsia="Calibri"/>
          <w:b/>
          <w:bCs/>
          <w:u w:val="single"/>
        </w:rPr>
        <w:t xml:space="preserve"> in medicinal plant use systems.</w:t>
      </w:r>
      <w:r w:rsidRPr="00D66D94">
        <w:rPr>
          <w:rFonts w:eastAsia="Calibri"/>
          <w:sz w:val="8"/>
        </w:rPr>
        <w:t xml:space="preserve"> Agricultural </w:t>
      </w:r>
      <w:r w:rsidRPr="00D66D94">
        <w:rPr>
          <w:rFonts w:eastAsia="Calibri"/>
          <w:b/>
          <w:bCs/>
          <w:u w:val="single"/>
        </w:rPr>
        <w:t xml:space="preserve">biodiversity loss and the present IPR legislation are inextricably tied. </w:t>
      </w:r>
      <w:r w:rsidRPr="00D66D94">
        <w:rPr>
          <w:rFonts w:eastAsia="Calibri"/>
          <w:b/>
          <w:bCs/>
          <w:highlight w:val="yellow"/>
          <w:u w:val="single"/>
        </w:rPr>
        <w:t>IPRs</w:t>
      </w:r>
      <w:r w:rsidRPr="00D66D94">
        <w:rPr>
          <w:rFonts w:eastAsia="Calibri"/>
          <w:b/>
          <w:bCs/>
          <w:u w:val="single"/>
        </w:rPr>
        <w:t xml:space="preserve"> continue to </w:t>
      </w:r>
      <w:r w:rsidRPr="00D66D94">
        <w:rPr>
          <w:rFonts w:eastAsia="Calibri"/>
          <w:b/>
          <w:bCs/>
          <w:highlight w:val="yellow"/>
          <w:u w:val="single"/>
        </w:rPr>
        <w:t>homogenise agricultural production</w:t>
      </w:r>
      <w:r w:rsidRPr="00D66D94">
        <w:rPr>
          <w:rFonts w:eastAsia="Calibri"/>
          <w:b/>
          <w:bCs/>
          <w:u w:val="single"/>
        </w:rPr>
        <w:t xml:space="preserve"> and medicinal plant use systems </w:t>
      </w:r>
      <w:r w:rsidRPr="00D66D94">
        <w:rPr>
          <w:rFonts w:eastAsia="Calibri"/>
          <w:b/>
          <w:bCs/>
          <w:highlight w:val="yellow"/>
          <w:u w:val="single"/>
        </w:rPr>
        <w:t>and</w:t>
      </w:r>
      <w:r w:rsidRPr="00D66D94">
        <w:rPr>
          <w:rFonts w:eastAsia="Calibri"/>
          <w:b/>
          <w:bCs/>
          <w:u w:val="single"/>
        </w:rPr>
        <w:t xml:space="preserve"> could </w:t>
      </w:r>
      <w:r w:rsidRPr="00D66D94">
        <w:rPr>
          <w:rFonts w:eastAsia="Calibri"/>
          <w:b/>
          <w:bCs/>
          <w:highlight w:val="yellow"/>
          <w:u w:val="single"/>
        </w:rPr>
        <w:t>reduce crop variety</w:t>
      </w:r>
      <w:r w:rsidRPr="00D66D94">
        <w:rPr>
          <w:rFonts w:eastAsia="Calibri"/>
          <w:b/>
          <w:bCs/>
          <w:u w:val="single"/>
        </w:rPr>
        <w:t xml:space="preserve"> development. </w:t>
      </w:r>
      <w:r w:rsidRPr="00D66D94">
        <w:rPr>
          <w:rFonts w:eastAsia="Calibri"/>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as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D66D94">
        <w:rPr>
          <w:rFonts w:eastAsia="Calibri"/>
          <w:b/>
          <w:bCs/>
          <w:u w:val="single"/>
        </w:rPr>
        <w:t xml:space="preserve">The </w:t>
      </w:r>
      <w:r w:rsidRPr="00D66D94">
        <w:rPr>
          <w:rFonts w:eastAsia="Calibri"/>
          <w:b/>
          <w:bCs/>
          <w:highlight w:val="yellow"/>
          <w:u w:val="single"/>
        </w:rPr>
        <w:t>privatization of IPRs</w:t>
      </w:r>
      <w:r w:rsidRPr="00D66D94">
        <w:rPr>
          <w:rFonts w:eastAsia="Calibri"/>
          <w:b/>
          <w:bCs/>
          <w:u w:val="single"/>
        </w:rPr>
        <w:t xml:space="preserve"> as a result of the TRIPS agreement has </w:t>
      </w:r>
      <w:r w:rsidRPr="00D66D94">
        <w:rPr>
          <w:rFonts w:eastAsia="Calibri"/>
          <w:b/>
          <w:bCs/>
          <w:highlight w:val="yellow"/>
          <w:u w:val="single"/>
        </w:rPr>
        <w:t>caused commercial</w:t>
      </w:r>
      <w:r w:rsidRPr="00D66D94">
        <w:rPr>
          <w:rFonts w:eastAsia="Calibri"/>
          <w:b/>
          <w:bCs/>
          <w:u w:val="single"/>
        </w:rPr>
        <w:t xml:space="preserve"> and industrial </w:t>
      </w:r>
      <w:r w:rsidRPr="00D66D94">
        <w:rPr>
          <w:rFonts w:eastAsia="Calibri"/>
          <w:b/>
          <w:bCs/>
          <w:highlight w:val="yellow"/>
          <w:u w:val="single"/>
        </w:rPr>
        <w:t>interests to control</w:t>
      </w:r>
      <w:r w:rsidRPr="00D66D94">
        <w:rPr>
          <w:rFonts w:eastAsia="Calibri"/>
          <w:b/>
          <w:bCs/>
          <w:u w:val="single"/>
        </w:rPr>
        <w:t xml:space="preserve"> the resources of </w:t>
      </w:r>
      <w:r w:rsidRPr="00D66D94">
        <w:rPr>
          <w:rFonts w:eastAsia="Calibri"/>
          <w:b/>
          <w:bCs/>
          <w:highlight w:val="yellow"/>
          <w:u w:val="single"/>
        </w:rPr>
        <w:t>developing countries that are rich in biodiversity, leading to biological uniformity</w:t>
      </w:r>
      <w:r w:rsidRPr="00D66D94">
        <w:rPr>
          <w:rFonts w:eastAsia="Calibri"/>
          <w:b/>
          <w:bCs/>
          <w:u w:val="single"/>
        </w:rPr>
        <w:t xml:space="preserve"> and in turn biodiversity loss </w:t>
      </w:r>
      <w:r w:rsidRPr="00D66D94">
        <w:rPr>
          <w:rFonts w:eastAsia="Calibri"/>
          <w:sz w:val="8"/>
        </w:rPr>
        <w:t xml:space="preserve">(explained below). Besides, </w:t>
      </w:r>
      <w:r w:rsidRPr="00D66D94">
        <w:rPr>
          <w:rFonts w:eastAsia="Calibri"/>
          <w:b/>
          <w:bCs/>
          <w:u w:val="single"/>
        </w:rPr>
        <w:t>these private commercial interests are encroaching upon common indigenous and local community knowledge</w:t>
      </w:r>
      <w:r w:rsidRPr="00D66D94">
        <w:rPr>
          <w:rFonts w:eastAsia="Calibri"/>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D66D94">
        <w:rPr>
          <w:rFonts w:eastAsia="Calibri"/>
          <w:b/>
          <w:bCs/>
          <w:u w:val="single"/>
        </w:rPr>
        <w:t xml:space="preserve">Farmers will be faced with </w:t>
      </w:r>
      <w:r w:rsidRPr="00D66D94">
        <w:rPr>
          <w:rFonts w:eastAsia="Calibri"/>
          <w:b/>
          <w:bCs/>
          <w:highlight w:val="yellow"/>
          <w:u w:val="single"/>
        </w:rPr>
        <w:t>production restrictions</w:t>
      </w:r>
      <w:r w:rsidRPr="00D66D94">
        <w:rPr>
          <w:rFonts w:eastAsia="Calibri"/>
          <w:b/>
          <w:bCs/>
          <w:u w:val="single"/>
        </w:rPr>
        <w:t xml:space="preserve">, while scientists will be faced with research restrictions. </w:t>
      </w:r>
      <w:r w:rsidRPr="00D66D94">
        <w:rPr>
          <w:rFonts w:eastAsia="Calibri"/>
          <w:sz w:val="8"/>
        </w:rPr>
        <w:t xml:space="preserve">All in all, the present IPR legislation not only </w:t>
      </w:r>
      <w:r w:rsidRPr="00D66D94">
        <w:rPr>
          <w:rFonts w:eastAsia="Calibri"/>
          <w:b/>
          <w:bCs/>
          <w:highlight w:val="yellow"/>
          <w:u w:val="single"/>
        </w:rPr>
        <w:t xml:space="preserve">discourages the growth of new </w:t>
      </w:r>
      <w:r w:rsidRPr="00D66D94">
        <w:rPr>
          <w:rFonts w:eastAsia="Calibri"/>
          <w:b/>
          <w:bCs/>
          <w:u w:val="single"/>
        </w:rPr>
        <w:t xml:space="preserve">and different </w:t>
      </w:r>
      <w:r w:rsidRPr="00D66D94">
        <w:rPr>
          <w:rFonts w:eastAsia="Calibri"/>
          <w:b/>
          <w:bCs/>
          <w:highlight w:val="yellow"/>
          <w:u w:val="single"/>
        </w:rPr>
        <w:t>plant varieties</w:t>
      </w:r>
      <w:r w:rsidRPr="00D66D94">
        <w:rPr>
          <w:rFonts w:eastAsia="Calibri"/>
          <w:b/>
          <w:bCs/>
          <w:u w:val="single"/>
        </w:rPr>
        <w:t xml:space="preserve">, but it also </w:t>
      </w:r>
      <w:r w:rsidRPr="00D66D94">
        <w:rPr>
          <w:rFonts w:eastAsia="Calibri"/>
          <w:b/>
          <w:bCs/>
          <w:highlight w:val="yellow"/>
          <w:u w:val="single"/>
        </w:rPr>
        <w:t xml:space="preserve">restricts </w:t>
      </w:r>
      <w:r w:rsidRPr="00D66D94">
        <w:rPr>
          <w:rFonts w:eastAsia="Calibri"/>
          <w:b/>
          <w:bCs/>
          <w:u w:val="single"/>
        </w:rPr>
        <w:t xml:space="preserve">researchers from </w:t>
      </w:r>
      <w:r w:rsidRPr="00D66D94">
        <w:rPr>
          <w:rFonts w:eastAsia="Calibri"/>
          <w:b/>
          <w:bCs/>
          <w:highlight w:val="yellow"/>
          <w:u w:val="single"/>
        </w:rPr>
        <w:t>freely using</w:t>
      </w:r>
      <w:r w:rsidRPr="00D66D94">
        <w:rPr>
          <w:rFonts w:eastAsia="Calibri"/>
          <w:b/>
          <w:bCs/>
          <w:u w:val="single"/>
        </w:rPr>
        <w:t xml:space="preserve"> the </w:t>
      </w:r>
      <w:r w:rsidRPr="00D66D94">
        <w:rPr>
          <w:rFonts w:eastAsia="Calibri"/>
          <w:b/>
          <w:bCs/>
          <w:highlight w:val="yellow"/>
          <w:u w:val="single"/>
        </w:rPr>
        <w:t xml:space="preserve">genetic information for research into diseases </w:t>
      </w:r>
      <w:r w:rsidRPr="00D66D94">
        <w:rPr>
          <w:rFonts w:eastAsia="Calibri"/>
          <w:b/>
          <w:bCs/>
          <w:u w:val="single"/>
        </w:rPr>
        <w:t>or for making new and more effective plant varieties.</w:t>
      </w:r>
      <w:r w:rsidRPr="00D66D94">
        <w:rPr>
          <w:rFonts w:eastAsia="Calibri"/>
          <w:sz w:val="8"/>
        </w:rPr>
        <w:t xml:space="preserve"> Hence, </w:t>
      </w:r>
      <w:r w:rsidRPr="00D66D94">
        <w:rPr>
          <w:rFonts w:eastAsia="Calibri"/>
          <w:b/>
          <w:bCs/>
          <w:u w:val="single"/>
        </w:rPr>
        <w:t>this</w:t>
      </w:r>
      <w:r w:rsidRPr="00D66D94">
        <w:rPr>
          <w:rFonts w:eastAsia="Calibri"/>
          <w:sz w:val="8"/>
        </w:rPr>
        <w:t xml:space="preserve"> reduces the availability of biodiversity and </w:t>
      </w:r>
      <w:r w:rsidRPr="00D66D94">
        <w:rPr>
          <w:rFonts w:eastAsia="Calibri"/>
          <w:b/>
          <w:bCs/>
          <w:u w:val="single"/>
        </w:rPr>
        <w:t>leads to the homogenization of agricultural production and plant use systems.</w:t>
      </w:r>
      <w:r w:rsidRPr="00D66D94">
        <w:rPr>
          <w:rFonts w:eastAsia="Calibri"/>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6D94">
        <w:rPr>
          <w:rFonts w:eastAsia="Calibri"/>
          <w:b/>
          <w:bCs/>
          <w:u w:val="single"/>
        </w:rPr>
        <w:t xml:space="preserve">These </w:t>
      </w:r>
      <w:r w:rsidRPr="00D66D94">
        <w:rPr>
          <w:rFonts w:eastAsia="Calibri"/>
          <w:b/>
          <w:bCs/>
          <w:highlight w:val="yellow"/>
          <w:u w:val="single"/>
        </w:rPr>
        <w:t>farmers are also not allowed to save, reuse, or even study the seeds</w:t>
      </w:r>
      <w:r w:rsidRPr="00D66D94">
        <w:rPr>
          <w:rFonts w:eastAsia="Calibri"/>
          <w:b/>
          <w:bCs/>
          <w:u w:val="single"/>
        </w:rPr>
        <w:t xml:space="preserve"> due to biotech IPR laws, greatly hindering natural diversity.</w:t>
      </w:r>
    </w:p>
    <w:p w14:paraId="3477E54E" w14:textId="77777777" w:rsidR="00D66D94" w:rsidRPr="00D66D94" w:rsidRDefault="00D66D94" w:rsidP="00D66D94">
      <w:pPr>
        <w:keepNext/>
        <w:keepLines/>
        <w:spacing w:before="40" w:after="0"/>
        <w:outlineLvl w:val="3"/>
        <w:rPr>
          <w:rFonts w:eastAsia="Times New Roman"/>
          <w:b/>
          <w:iCs/>
          <w:sz w:val="26"/>
        </w:rPr>
      </w:pPr>
      <w:r w:rsidRPr="00D66D94">
        <w:rPr>
          <w:rFonts w:eastAsia="Times New Roman"/>
          <w:b/>
          <w:iCs/>
          <w:sz w:val="26"/>
        </w:rPr>
        <w:t>This causes Extinction.</w:t>
      </w:r>
    </w:p>
    <w:p w14:paraId="76A4A1FF" w14:textId="77777777" w:rsidR="00D66D94" w:rsidRPr="00D66D94" w:rsidRDefault="00D66D94" w:rsidP="00D66D94">
      <w:pPr>
        <w:rPr>
          <w:rFonts w:eastAsia="Calibri"/>
          <w:sz w:val="16"/>
        </w:rPr>
      </w:pPr>
      <w:r w:rsidRPr="00D66D94">
        <w:rPr>
          <w:rFonts w:eastAsia="Calibri"/>
          <w:b/>
          <w:bCs/>
          <w:sz w:val="26"/>
          <w:u w:val="single"/>
        </w:rPr>
        <w:t>Schelske 20</w:t>
      </w:r>
      <w:r w:rsidRPr="00D66D94">
        <w:rPr>
          <w:rFonts w:eastAsia="Calibri"/>
        </w:rPr>
        <w:t xml:space="preserve"> </w:t>
      </w:r>
      <w:r w:rsidRPr="00D66D94">
        <w:rPr>
          <w:rFonts w:eastAsia="Calibri"/>
          <w:sz w:val="16"/>
        </w:rPr>
        <w:t>Why managing biodiversity risk is critical for the global economy By </w:t>
      </w:r>
      <w:hyperlink r:id="rId10" w:tooltip="Read more about: Oliver Schelske" w:history="1">
        <w:r w:rsidRPr="00D66D94">
          <w:rPr>
            <w:rFonts w:eastAsia="Calibri"/>
            <w:sz w:val="16"/>
          </w:rPr>
          <w:t>Oliver Schelske</w:t>
        </w:r>
      </w:hyperlink>
      <w:r w:rsidRPr="00D66D94">
        <w:rPr>
          <w:rFonts w:eastAsia="Calibri"/>
          <w:sz w:val="16"/>
        </w:rPr>
        <w:t>, Natural Assets &amp; ESG Research Lead, Swiss Re Institute &amp; </w:t>
      </w:r>
      <w:hyperlink r:id="rId11" w:tooltip="Read more about: Bernd Wilke" w:history="1">
        <w:r w:rsidRPr="00D66D94">
          <w:rPr>
            <w:rFonts w:eastAsia="Calibri"/>
            <w:sz w:val="16"/>
          </w:rPr>
          <w:t>Bernd Wilke</w:t>
        </w:r>
      </w:hyperlink>
      <w:r w:rsidRPr="00D66D94">
        <w:rPr>
          <w:rFonts w:eastAsia="Calibri"/>
          <w:sz w:val="16"/>
        </w:rPr>
        <w:t xml:space="preserve">, Senior Risk Manager, Group Risk Management Published on:23 Sep 2020 </w:t>
      </w:r>
      <w:hyperlink r:id="rId12" w:history="1">
        <w:r w:rsidRPr="00D66D94">
          <w:rPr>
            <w:rFonts w:eastAsia="Calibri"/>
            <w:sz w:val="16"/>
          </w:rPr>
          <w:t>https://www.swissre.com/risk-knowledge/mitigating-climate-risk/managing-biodiversity-risk-is-critical-for-global-economy.html</w:t>
        </w:r>
      </w:hyperlink>
      <w:r w:rsidRPr="00D66D94">
        <w:rPr>
          <w:rFonts w:eastAsia="Calibri"/>
          <w:sz w:val="16"/>
        </w:rPr>
        <w:t xml:space="preserve"> </w:t>
      </w:r>
    </w:p>
    <w:p w14:paraId="461B24B6" w14:textId="77A6F921" w:rsidR="00D66D94" w:rsidRPr="00D66D94" w:rsidRDefault="00D66D94" w:rsidP="00D66D94">
      <w:pPr>
        <w:rPr>
          <w:rFonts w:eastAsia="Calibri"/>
          <w:sz w:val="10"/>
        </w:rPr>
      </w:pPr>
      <w:r w:rsidRPr="00D66D94">
        <w:rPr>
          <w:rFonts w:eastAsia="Calibri"/>
          <w:u w:val="single"/>
        </w:rPr>
        <w:t>Biodiversity and ecosystem services underpin our daily lives and many of our products and services. From the water we drink to the food we grow and the resources we use in manufacturing, we would be at a loss without Mother Nature.</w:t>
      </w:r>
      <w:r w:rsidRPr="00D66D94">
        <w:rPr>
          <w:rFonts w:eastAsia="Calibri"/>
          <w:sz w:val="10"/>
        </w:rPr>
        <w:t xml:space="preserve"> But from the wildfires raging in California to forest loss in the Amazon, it is clear many of these ecosystems are suffering. And as the United Nations points out in the promotion of its </w:t>
      </w:r>
      <w:hyperlink r:id="rId13" w:tgtFrame="_blank" w:history="1">
        <w:r w:rsidRPr="00D66D94">
          <w:rPr>
            <w:rFonts w:eastAsia="Calibri"/>
            <w:sz w:val="10"/>
          </w:rPr>
          <w:t>2020 Biodiversity Summit</w:t>
        </w:r>
      </w:hyperlink>
      <w:r w:rsidRPr="00D66D94">
        <w:rPr>
          <w:rFonts w:eastAsia="Calibri"/>
          <w:sz w:val="10"/>
        </w:rPr>
        <w:t>, the COVID-19 pandemic has “further highlighted the importance of the relationship between people and nature”. “</w:t>
      </w:r>
      <w:r w:rsidRPr="00D66D94">
        <w:rPr>
          <w:rFonts w:eastAsia="Calibri"/>
          <w:u w:val="single"/>
        </w:rPr>
        <w:t xml:space="preserve">We are reminded that </w:t>
      </w:r>
      <w:r w:rsidRPr="00D66D94">
        <w:rPr>
          <w:rFonts w:eastAsia="Calibri"/>
          <w:highlight w:val="yellow"/>
          <w:u w:val="single"/>
        </w:rPr>
        <w:t>when we</w:t>
      </w:r>
      <w:r w:rsidRPr="00D66D94">
        <w:rPr>
          <w:rFonts w:eastAsia="Calibri"/>
          <w:u w:val="single"/>
        </w:rPr>
        <w:t xml:space="preserve"> destroy and </w:t>
      </w:r>
      <w:r w:rsidRPr="00D66D94">
        <w:rPr>
          <w:rFonts w:eastAsia="Calibri"/>
          <w:highlight w:val="yellow"/>
          <w:u w:val="single"/>
        </w:rPr>
        <w:t>degrade biodiversity, we undermine the web of life and increase the risk of disease spillover</w:t>
      </w:r>
      <w:r w:rsidRPr="00D66D94">
        <w:rPr>
          <w:rFonts w:eastAsia="Calibri"/>
          <w:u w:val="single"/>
        </w:rPr>
        <w:t xml:space="preserve"> from wildlife to people,</w:t>
      </w:r>
      <w:r w:rsidRPr="00D66D94">
        <w:rPr>
          <w:rFonts w:eastAsia="Calibri"/>
          <w:sz w:val="10"/>
        </w:rPr>
        <w:t xml:space="preserve">” it says. Understanding the extent and impact of biodiversity and ecosystem decline is key to minimizing further damage, and making informed decisions that prioritise a more sustainable future. This is why the Swiss Re Institute has created the </w:t>
      </w:r>
      <w:hyperlink r:id="rId14" w:history="1">
        <w:r w:rsidRPr="00D66D94">
          <w:rPr>
            <w:rFonts w:eastAsia="Calibri"/>
            <w:sz w:val="10"/>
          </w:rPr>
          <w:t>Biodiversity Ecosystem Services (BES) Index</w:t>
        </w:r>
      </w:hyperlink>
      <w:r w:rsidRPr="00D66D94">
        <w:rPr>
          <w:rFonts w:eastAsia="Calibri"/>
          <w:sz w:val="10"/>
        </w:rPr>
        <w:t xml:space="preserve">. It brings together masses of data and research from scientists around the world to present a kilometre-by-kilometre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realise the impact of climate change and other environmental decline on risk profiles. </w:t>
      </w:r>
      <w:r w:rsidRPr="00D66D94">
        <w:rPr>
          <w:rFonts w:eastAsia="Calibri"/>
          <w:u w:val="single"/>
        </w:rPr>
        <w:t>And it has become apparent that the risks are both physical – for example, the increasing size and amount of pay-outs following hurricanes and tropical storms – as well as reputational.</w:t>
      </w:r>
      <w:r w:rsidRPr="00D66D94">
        <w:rPr>
          <w:rFonts w:eastAsia="Calibri"/>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Schelske, environmental and business economist at Swiss Re Institute and co-author of the new study, explains: “Biodiversity and ecosystem services are the foundation for life. They underpin economic activity</w:t>
      </w:r>
      <w:r w:rsidRPr="00D66D94">
        <w:rPr>
          <w:rFonts w:eastAsia="Calibri"/>
          <w:u w:val="single"/>
        </w:rPr>
        <w:t xml:space="preserve">. Here, we are talking about </w:t>
      </w:r>
      <w:r w:rsidRPr="00D66D94">
        <w:rPr>
          <w:rFonts w:eastAsia="Calibri"/>
          <w:highlight w:val="yellow"/>
          <w:u w:val="single"/>
        </w:rPr>
        <w:t>the health of forests and</w:t>
      </w:r>
      <w:r w:rsidRPr="00D66D94">
        <w:rPr>
          <w:rFonts w:eastAsia="Calibri"/>
          <w:u w:val="single"/>
        </w:rPr>
        <w:t xml:space="preserve"> other ecosystems and the </w:t>
      </w:r>
      <w:r w:rsidRPr="00D66D94">
        <w:rPr>
          <w:rFonts w:eastAsia="Calibri"/>
          <w:highlight w:val="yellow"/>
          <w:u w:val="single"/>
        </w:rPr>
        <w:t>plants</w:t>
      </w:r>
      <w:r w:rsidRPr="00D66D94">
        <w:rPr>
          <w:rFonts w:eastAsia="Calibri"/>
          <w:u w:val="single"/>
        </w:rPr>
        <w:t xml:space="preserve"> and wildlife within them. It </w:t>
      </w:r>
      <w:r w:rsidRPr="00D66D94">
        <w:rPr>
          <w:rFonts w:eastAsia="Calibri"/>
          <w:highlight w:val="yellow"/>
          <w:u w:val="single"/>
        </w:rPr>
        <w:t>impacts processes like water purification, pollination and soil formation. This affects food security, fresh water</w:t>
      </w:r>
      <w:r w:rsidRPr="00D66D94">
        <w:rPr>
          <w:rFonts w:eastAsia="Calibri"/>
          <w:u w:val="single"/>
        </w:rPr>
        <w:t>, and also has cultural, religious, educational and aesthetic importance.”</w:t>
      </w:r>
      <w:r w:rsidRPr="00D66D94">
        <w:rPr>
          <w:rFonts w:eastAsia="Calibri"/>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D66D94">
        <w:rPr>
          <w:rFonts w:eastAsia="Calibri"/>
          <w:u w:val="single"/>
        </w:rPr>
        <w:t>But while more diversified economies may feel less of a direct impact, they are far from immune. Everyone is affected by broad socio-economic vulnerabilities like food security and diversity, the ability to discover and develop new medicines, and water quality.</w:t>
      </w:r>
      <w:r w:rsidRPr="00D66D94">
        <w:rPr>
          <w:rFonts w:eastAsia="Calibri"/>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square-kilometre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D66D94">
        <w:rPr>
          <w:rFonts w:eastAsia="Calibri"/>
          <w:highlight w:val="yellow"/>
          <w:u w:val="single"/>
        </w:rPr>
        <w:t>Biodiversity</w:t>
      </w:r>
      <w:r w:rsidRPr="00D66D94">
        <w:rPr>
          <w:rFonts w:eastAsia="Calibri"/>
          <w:u w:val="single"/>
        </w:rPr>
        <w:t xml:space="preserve"> and ecosystem </w:t>
      </w:r>
      <w:r w:rsidRPr="00D66D94">
        <w:rPr>
          <w:rFonts w:eastAsia="Calibri"/>
          <w:highlight w:val="yellow"/>
          <w:u w:val="single"/>
        </w:rPr>
        <w:t xml:space="preserve">strength </w:t>
      </w:r>
      <w:r w:rsidRPr="00D66D94">
        <w:rPr>
          <w:rFonts w:eastAsia="Calibri"/>
          <w:u w:val="single"/>
        </w:rPr>
        <w:t xml:space="preserve">are </w:t>
      </w:r>
      <w:r w:rsidRPr="00D66D94">
        <w:rPr>
          <w:rFonts w:eastAsia="Calibri"/>
          <w:highlight w:val="yellow"/>
          <w:u w:val="single"/>
        </w:rPr>
        <w:t>particularly poignant in the midst of the</w:t>
      </w:r>
      <w:r w:rsidRPr="00D66D94">
        <w:rPr>
          <w:rFonts w:eastAsia="Calibri"/>
          <w:u w:val="single"/>
        </w:rPr>
        <w:t xml:space="preserve"> COVID-19 </w:t>
      </w:r>
      <w:r w:rsidRPr="00D66D94">
        <w:rPr>
          <w:rFonts w:eastAsia="Calibri"/>
          <w:highlight w:val="yellow"/>
          <w:u w:val="single"/>
        </w:rPr>
        <w:t>pandemic</w:t>
      </w:r>
      <w:r w:rsidRPr="00D66D94">
        <w:rPr>
          <w:rFonts w:eastAsia="Calibri"/>
          <w:sz w:val="10"/>
        </w:rPr>
        <w:t>. and putting a price on this in the future. Acting on this information is key to building a more sustainable and resilient future that benefits everyone.</w:t>
      </w:r>
    </w:p>
    <w:p w14:paraId="313DA0CB" w14:textId="244E6882" w:rsidR="00D66D94" w:rsidRPr="00D66D94" w:rsidRDefault="00D66D94" w:rsidP="00D66D94">
      <w:pPr>
        <w:pStyle w:val="Heading2"/>
      </w:pPr>
      <w:r>
        <w:t>UV</w:t>
      </w:r>
    </w:p>
    <w:p w14:paraId="5D016A60" w14:textId="3FDF9DCC" w:rsidR="008037C0" w:rsidRPr="001404DA" w:rsidRDefault="00D66D94" w:rsidP="00914856">
      <w:pPr>
        <w:pStyle w:val="Heading4"/>
        <w:rPr>
          <w:rFonts w:eastAsia="MS Gothic" w:cs="Times New Roman"/>
        </w:rPr>
      </w:pPr>
      <w:r>
        <w:rPr>
          <w:rFonts w:eastAsia="MS Gothic"/>
        </w:rPr>
        <w:t xml:space="preserve">1] </w:t>
      </w:r>
      <w:r w:rsidRPr="00D66D94">
        <w:rPr>
          <w:rFonts w:eastAsia="MS Gothic"/>
        </w:rPr>
        <w:t>AFF theory is no RVI, Drop the debater, competing interps, under an interp that aff theory is legit regardless of voters a) infinite abuse since otherwise it would be impossible to check NC abuse b) it would justify the aff never getting to read theory which is a reciprocity issu</w:t>
      </w:r>
      <w:r w:rsidR="007B37DF">
        <w:rPr>
          <w:rFonts w:eastAsia="MS Gothic"/>
        </w:rPr>
        <w:t>e</w:t>
      </w:r>
      <w:r>
        <w:t xml:space="preserve"> </w:t>
      </w:r>
    </w:p>
    <w:p w14:paraId="764CC816" w14:textId="77777777" w:rsidR="008037C0" w:rsidRPr="008037C0" w:rsidRDefault="008037C0" w:rsidP="008037C0"/>
    <w:sectPr w:rsidR="008037C0" w:rsidRPr="00803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3B62B" w14:textId="77777777" w:rsidR="00B868FA" w:rsidRDefault="00B868FA" w:rsidP="00AB7A97">
      <w:pPr>
        <w:spacing w:after="0" w:line="240" w:lineRule="auto"/>
      </w:pPr>
      <w:r>
        <w:separator/>
      </w:r>
    </w:p>
  </w:endnote>
  <w:endnote w:type="continuationSeparator" w:id="0">
    <w:p w14:paraId="41B38137" w14:textId="77777777" w:rsidR="00B868FA" w:rsidRDefault="00B868FA" w:rsidP="00AB7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5EF6C" w14:textId="77777777" w:rsidR="00B868FA" w:rsidRDefault="00B868FA" w:rsidP="00AB7A97">
      <w:pPr>
        <w:spacing w:after="0" w:line="240" w:lineRule="auto"/>
      </w:pPr>
      <w:r>
        <w:separator/>
      </w:r>
    </w:p>
  </w:footnote>
  <w:footnote w:type="continuationSeparator" w:id="0">
    <w:p w14:paraId="583480BC" w14:textId="77777777" w:rsidR="00B868FA" w:rsidRDefault="00B868FA" w:rsidP="00AB7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F50968"/>
    <w:multiLevelType w:val="hybridMultilevel"/>
    <w:tmpl w:val="1102B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C02FFB"/>
    <w:multiLevelType w:val="hybridMultilevel"/>
    <w:tmpl w:val="B8E23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0A3D54"/>
    <w:multiLevelType w:val="hybridMultilevel"/>
    <w:tmpl w:val="1102B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3838CE"/>
    <w:multiLevelType w:val="hybridMultilevel"/>
    <w:tmpl w:val="89A4F0B4"/>
    <w:lvl w:ilvl="0" w:tplc="EA2086CA">
      <w:start w:val="1"/>
      <w:numFmt w:val="decimal"/>
      <w:lvlText w:val="%1."/>
      <w:lvlJc w:val="left"/>
      <w:pPr>
        <w:ind w:left="720" w:hanging="360"/>
      </w:pPr>
      <w:rPr>
        <w:rFonts w:eastAsia="Cambria"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6D94"/>
    <w:rsid w:val="000139A3"/>
    <w:rsid w:val="00100833"/>
    <w:rsid w:val="00104529"/>
    <w:rsid w:val="00105942"/>
    <w:rsid w:val="00107396"/>
    <w:rsid w:val="001404D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2D87"/>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B37DF"/>
    <w:rsid w:val="007B7BD9"/>
    <w:rsid w:val="007F5B66"/>
    <w:rsid w:val="008037C0"/>
    <w:rsid w:val="00823A1C"/>
    <w:rsid w:val="00845B9D"/>
    <w:rsid w:val="00860984"/>
    <w:rsid w:val="008B3ECB"/>
    <w:rsid w:val="008B4E85"/>
    <w:rsid w:val="008C1B2E"/>
    <w:rsid w:val="00914856"/>
    <w:rsid w:val="0091627E"/>
    <w:rsid w:val="00931E66"/>
    <w:rsid w:val="0097032B"/>
    <w:rsid w:val="009D2EAD"/>
    <w:rsid w:val="009D54B2"/>
    <w:rsid w:val="009E1922"/>
    <w:rsid w:val="009F7ED2"/>
    <w:rsid w:val="00A93661"/>
    <w:rsid w:val="00A95652"/>
    <w:rsid w:val="00AB7A97"/>
    <w:rsid w:val="00AC0AB8"/>
    <w:rsid w:val="00B33C6D"/>
    <w:rsid w:val="00B4508F"/>
    <w:rsid w:val="00B55AD5"/>
    <w:rsid w:val="00B8057C"/>
    <w:rsid w:val="00B868FA"/>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66D94"/>
    <w:rsid w:val="00D71170"/>
    <w:rsid w:val="00DA1C92"/>
    <w:rsid w:val="00DA25D4"/>
    <w:rsid w:val="00DA6538"/>
    <w:rsid w:val="00E04BAA"/>
    <w:rsid w:val="00E15E75"/>
    <w:rsid w:val="00E5262C"/>
    <w:rsid w:val="00EC7DC4"/>
    <w:rsid w:val="00ED30CF"/>
    <w:rsid w:val="00F176EF"/>
    <w:rsid w:val="00F45E10"/>
    <w:rsid w:val="00F6364A"/>
    <w:rsid w:val="00F86A8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993E0"/>
  <w15:chartTrackingRefBased/>
  <w15:docId w15:val="{DDA206B4-1644-4FE8-A9FE-B6857CFB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37C0"/>
    <w:rPr>
      <w:rFonts w:ascii="Calibri" w:hAnsi="Calibri" w:cs="Calibri"/>
    </w:rPr>
  </w:style>
  <w:style w:type="paragraph" w:styleId="Heading1">
    <w:name w:val="heading 1"/>
    <w:aliases w:val="Pocket"/>
    <w:basedOn w:val="Normal"/>
    <w:next w:val="Normal"/>
    <w:link w:val="Heading1Char"/>
    <w:qFormat/>
    <w:rsid w:val="00D66D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6D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6D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66D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6D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D94"/>
  </w:style>
  <w:style w:type="character" w:customStyle="1" w:styleId="Heading1Char">
    <w:name w:val="Heading 1 Char"/>
    <w:aliases w:val="Pocket Char"/>
    <w:basedOn w:val="DefaultParagraphFont"/>
    <w:link w:val="Heading1"/>
    <w:rsid w:val="00D66D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6D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6D9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66D94"/>
    <w:rPr>
      <w:rFonts w:ascii="Calibri" w:eastAsiaTheme="majorEastAsia" w:hAnsi="Calibri" w:cstheme="majorBidi"/>
      <w:b/>
      <w:iCs/>
      <w:sz w:val="26"/>
    </w:rPr>
  </w:style>
  <w:style w:type="character" w:styleId="Emphasis">
    <w:name w:val="Emphasis"/>
    <w:basedOn w:val="DefaultParagraphFont"/>
    <w:uiPriority w:val="7"/>
    <w:qFormat/>
    <w:rsid w:val="00D66D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6D94"/>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D66D94"/>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D66D94"/>
    <w:rPr>
      <w:color w:val="auto"/>
      <w:u w:val="none"/>
    </w:rPr>
  </w:style>
  <w:style w:type="character" w:styleId="FollowedHyperlink">
    <w:name w:val="FollowedHyperlink"/>
    <w:basedOn w:val="DefaultParagraphFont"/>
    <w:uiPriority w:val="99"/>
    <w:semiHidden/>
    <w:unhideWhenUsed/>
    <w:rsid w:val="00D66D94"/>
    <w:rPr>
      <w:color w:val="auto"/>
      <w:u w:val="none"/>
    </w:rPr>
  </w:style>
  <w:style w:type="paragraph" w:customStyle="1" w:styleId="FootnoteText1">
    <w:name w:val="Footnote Text1"/>
    <w:basedOn w:val="Normal"/>
    <w:next w:val="FootnoteText"/>
    <w:link w:val="FootnoteTextChar"/>
    <w:uiPriority w:val="99"/>
    <w:unhideWhenUsed/>
    <w:qFormat/>
    <w:rsid w:val="00AB7A97"/>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AB7A97"/>
    <w:rPr>
      <w:rFonts w:ascii="Calibri" w:eastAsia="Cambr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AB7A97"/>
    <w:rPr>
      <w:vertAlign w:val="superscript"/>
    </w:rPr>
  </w:style>
  <w:style w:type="paragraph" w:styleId="FootnoteText">
    <w:name w:val="footnote text"/>
    <w:basedOn w:val="Normal"/>
    <w:link w:val="FootnoteTextChar1"/>
    <w:uiPriority w:val="99"/>
    <w:semiHidden/>
    <w:unhideWhenUsed/>
    <w:rsid w:val="00AB7A97"/>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B7A97"/>
    <w:rPr>
      <w:rFonts w:ascii="Calibri" w:hAnsi="Calibri" w:cs="Calibri"/>
      <w:sz w:val="20"/>
      <w:szCs w:val="20"/>
    </w:rPr>
  </w:style>
  <w:style w:type="paragraph" w:styleId="ListParagraph">
    <w:name w:val="List Paragraph"/>
    <w:basedOn w:val="Normal"/>
    <w:uiPriority w:val="99"/>
    <w:unhideWhenUsed/>
    <w:qFormat/>
    <w:rsid w:val="00AB7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org/pga/74/united-nations-summit-on-biodivers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ssre.com/risk-knowledge/mitigating-climate-risk/managing-biodiversity-risk-is-critical-for-global-econom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wissre.com/profile/Bernd_Wilke/ip_567f6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wissre.com/profile/Oliver_Schelske/ip_bdeb3f" TargetMode="External"/><Relationship Id="rId4" Type="http://schemas.openxmlformats.org/officeDocument/2006/relationships/settings" Target="settings.xml"/><Relationship Id="rId9" Type="http://schemas.openxmlformats.org/officeDocument/2006/relationships/hyperlink" Target="http://ftp.oxfordphilsoc.org/Documents/StudentPrize/2015_H1b.pdf" TargetMode="External"/><Relationship Id="rId14" Type="http://schemas.openxmlformats.org/officeDocument/2006/relationships/hyperlink" Target="https://www.swissre.com/institute/research/topics-and-risk-dialogues/climate-and-natural-catastrophe-risk/expertise-publication-biodiversity-and-ecosystems-servic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Pages>
  <Words>8300</Words>
  <Characters>45901</Characters>
  <Application>Microsoft Office Word</Application>
  <DocSecurity>0</DocSecurity>
  <Lines>370</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2021-09-25T20:35:00Z</dcterms:created>
  <dcterms:modified xsi:type="dcterms:W3CDTF">2021-09-25T23:08:00Z</dcterms:modified>
</cp:coreProperties>
</file>