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CC418" w14:textId="77777777" w:rsidR="00CB7E68" w:rsidRDefault="00CB7E68" w:rsidP="00CB7E68">
      <w:pPr>
        <w:pStyle w:val="Heading1"/>
      </w:pPr>
      <w:r>
        <w:t>1</w:t>
      </w:r>
    </w:p>
    <w:p w14:paraId="518BAEA6" w14:textId="77777777" w:rsidR="00CB7E68" w:rsidRPr="00B2690C" w:rsidRDefault="00CB7E68" w:rsidP="00CB7E68">
      <w:pPr>
        <w:pStyle w:val="Heading4"/>
        <w:rPr>
          <w:rFonts w:cs="Calibri"/>
        </w:rPr>
      </w:pPr>
      <w:r w:rsidRPr="00B2690C">
        <w:rPr>
          <w:rFonts w:cs="Calibri"/>
        </w:rPr>
        <w:t xml:space="preserve">Permissibility Negates – </w:t>
      </w:r>
    </w:p>
    <w:p w14:paraId="76B7FFA7" w14:textId="77777777" w:rsidR="00CB7E68" w:rsidRPr="00B2690C" w:rsidRDefault="00CB7E68" w:rsidP="00CB7E68">
      <w:pPr>
        <w:pStyle w:val="Heading4"/>
        <w:rPr>
          <w:rFonts w:cs="Calibri"/>
        </w:rPr>
      </w:pPr>
      <w:r w:rsidRPr="00B2690C">
        <w:rPr>
          <w:rFonts w:cs="Calibri"/>
        </w:rPr>
        <w:t>[1] Semantics – Ought is defined as expressing obligation</w:t>
      </w:r>
      <w:r w:rsidRPr="00B2690C">
        <w:rPr>
          <w:rStyle w:val="FootnoteReference"/>
          <w:rFonts w:cs="Calibri"/>
        </w:rPr>
        <w:footnoteReference w:id="1"/>
      </w:r>
      <w:r w:rsidRPr="00B2690C">
        <w:rPr>
          <w:rFonts w:cs="Calibri"/>
        </w:rPr>
        <w:t xml:space="preserve"> which means absent a proactive obligation you vote neg since there’s a trichotomy between prohibition, obligation, and permissibility and proving one disproves the other two. </w:t>
      </w:r>
    </w:p>
    <w:p w14:paraId="0BD79259" w14:textId="77777777" w:rsidR="00CB7E68" w:rsidRPr="00B2690C" w:rsidRDefault="00CB7E68" w:rsidP="00CB7E68">
      <w:pPr>
        <w:pStyle w:val="Heading4"/>
        <w:rPr>
          <w:rFonts w:cs="Calibri"/>
        </w:rPr>
      </w:pPr>
      <w:r w:rsidRPr="00B2690C">
        <w:rPr>
          <w:rFonts w:cs="Calibri"/>
        </w:rPr>
        <w:t>[2] Safety – It’s ethically safer to presume the squo since we know what the squo is but we can’t know whether the aff will be good or not if ethics are incoherent.</w:t>
      </w:r>
    </w:p>
    <w:p w14:paraId="68160A5D" w14:textId="77777777" w:rsidR="00CB7E68" w:rsidRPr="00B2690C" w:rsidRDefault="00CB7E68" w:rsidP="00CB7E68">
      <w:pPr>
        <w:pStyle w:val="Heading4"/>
        <w:rPr>
          <w:rFonts w:cs="Calibri"/>
        </w:rPr>
      </w:pPr>
      <w:r w:rsidRPr="00B2690C">
        <w:rPr>
          <w:rFonts w:cs="Calibri"/>
        </w:rPr>
        <w:t>[3]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30988E2B" w14:textId="77777777" w:rsidR="00CB7E68" w:rsidRDefault="00CB7E68" w:rsidP="00CB7E68">
      <w:pPr>
        <w:pStyle w:val="Heading4"/>
        <w:rPr>
          <w:rFonts w:cs="Calibri"/>
        </w:rPr>
      </w:pPr>
      <w:r w:rsidRPr="00B2690C">
        <w:rPr>
          <w:rFonts w:cs="Calibri"/>
        </w:rPr>
        <w:t xml:space="preserve">[4] Shiftiness – Permissibility ground encourages the aff to load up with triggers and the 1ar controls the direction of the round which means they can moot all my offense, I need permissibility in the 2n to compensate. </w:t>
      </w:r>
    </w:p>
    <w:p w14:paraId="6792CF2D" w14:textId="77777777" w:rsidR="00CB7E68" w:rsidRDefault="00CB7E68" w:rsidP="00CB7E68"/>
    <w:p w14:paraId="0622DD19" w14:textId="77777777" w:rsidR="00CB7E68" w:rsidRPr="005F5C46" w:rsidRDefault="00CB7E68" w:rsidP="00CB7E68">
      <w:pPr>
        <w:pStyle w:val="Heading4"/>
        <w:rPr>
          <w:rFonts w:cs="Calibri"/>
        </w:rPr>
      </w:pPr>
      <w:r w:rsidRPr="00B2690C">
        <w:rPr>
          <w:rFonts w:cs="Calibri"/>
        </w:rPr>
        <w:t>Determinism is true and negates:</w:t>
      </w:r>
      <w:r w:rsidRPr="005F5C46">
        <w:rPr>
          <w:rFonts w:cs="Calibri"/>
        </w:rPr>
        <w:t xml:space="preserve"> </w:t>
      </w:r>
      <w:r w:rsidRPr="00B2690C">
        <w:rPr>
          <w:rFonts w:cs="Calibri"/>
        </w:rPr>
        <w:t>Determinism denies the moral value of prohibitions and obligations because our acts would be up to the consequences of nature. This negates the prescriptive value of ought statements making the aff incoherent</w:t>
      </w:r>
      <w:r>
        <w:rPr>
          <w:rFonts w:cs="Calibri"/>
        </w:rPr>
        <w:t xml:space="preserve"> because individuals cannot have control over their own actions. </w:t>
      </w:r>
      <w:r w:rsidRPr="00B2690C">
        <w:rPr>
          <w:rFonts w:cs="Calibri"/>
        </w:rPr>
        <w:t>proves skep negates as the aff must prove the absolute existence of an obligation.</w:t>
      </w:r>
    </w:p>
    <w:p w14:paraId="0288C334" w14:textId="77777777" w:rsidR="00CB7E68" w:rsidRPr="00B2690C" w:rsidRDefault="00CB7E68" w:rsidP="00CB7E68">
      <w:pPr>
        <w:pStyle w:val="Heading4"/>
        <w:rPr>
          <w:rFonts w:cs="Calibri"/>
        </w:rPr>
      </w:pPr>
    </w:p>
    <w:p w14:paraId="53B5616E" w14:textId="77777777" w:rsidR="00CB7E68" w:rsidRPr="00B2690C" w:rsidRDefault="00CB7E68" w:rsidP="00CB7E68">
      <w:pPr>
        <w:pStyle w:val="Heading4"/>
        <w:rPr>
          <w:rFonts w:cs="Calibri"/>
        </w:rPr>
      </w:pPr>
      <w:r w:rsidRPr="00B2690C">
        <w:rPr>
          <w:rFonts w:cs="Calibri"/>
        </w:rPr>
        <w:t>[1] Causality: The first law of thermodynamics holds that nothing can be created or destroyed, thus everything must have a cause if something cannot come from nothing. This means that either A) free will, which definitionally causes it self, is illogical as it does not have one or B) our free will is caused by something which is a contradiction and proves determinism true.</w:t>
      </w:r>
    </w:p>
    <w:p w14:paraId="70679400" w14:textId="77777777" w:rsidR="00CB7E68" w:rsidRPr="00B2690C" w:rsidRDefault="00CB7E68" w:rsidP="00CB7E68">
      <w:pPr>
        <w:pStyle w:val="Heading4"/>
        <w:rPr>
          <w:rFonts w:cs="Calibri"/>
        </w:rPr>
      </w:pPr>
      <w:r w:rsidRPr="00B2690C">
        <w:rPr>
          <w:rFonts w:cs="Calibri"/>
        </w:rPr>
        <w:t xml:space="preserve">[2] Eternalism is true: Events do not solely exist in the present but instead exist with the past and future as one continuous spectrum meaning all our future actions already exist. </w:t>
      </w:r>
    </w:p>
    <w:p w14:paraId="50A5A914" w14:textId="77777777" w:rsidR="00CB7E68" w:rsidRPr="00B2690C" w:rsidRDefault="00CB7E68" w:rsidP="00CB7E68">
      <w:pPr>
        <w:rPr>
          <w:sz w:val="14"/>
        </w:rPr>
      </w:pPr>
      <w:r w:rsidRPr="00B2690C">
        <w:rPr>
          <w:sz w:val="14"/>
        </w:rPr>
        <w:t xml:space="preserve">Scott </w:t>
      </w:r>
      <w:r w:rsidRPr="00B2690C">
        <w:rPr>
          <w:rStyle w:val="Style13ptBold"/>
        </w:rPr>
        <w:t>Ryan</w:t>
      </w:r>
      <w:r w:rsidRPr="00B2690C">
        <w:rPr>
          <w:sz w:val="14"/>
        </w:rPr>
        <w:t xml:space="preserve">, Doctor of Philosophy in Religion from Baylor University and post doc fellow at Baylor, A Short Argument for Eternalism, </w:t>
      </w:r>
      <w:r w:rsidRPr="00B2690C">
        <w:rPr>
          <w:rStyle w:val="Style13ptBold"/>
        </w:rPr>
        <w:t>2013</w:t>
      </w:r>
      <w:r w:rsidRPr="00B2690C">
        <w:rPr>
          <w:sz w:val="14"/>
        </w:rPr>
        <w:t xml:space="preserve">, </w:t>
      </w:r>
      <w:hyperlink r:id="rId7" w:history="1">
        <w:r w:rsidRPr="00B2690C">
          <w:rPr>
            <w:rStyle w:val="Hyperlink"/>
            <w:sz w:val="14"/>
          </w:rPr>
          <w:t>http://www.scholardarity.com/?page_id=3845</w:t>
        </w:r>
      </w:hyperlink>
      <w:r w:rsidRPr="00B2690C">
        <w:rPr>
          <w:sz w:val="14"/>
        </w:rPr>
        <w:t xml:space="preserve"> ///AHS PB</w:t>
      </w:r>
    </w:p>
    <w:p w14:paraId="7E543F73" w14:textId="77777777" w:rsidR="00CB7E68" w:rsidRPr="00B2690C" w:rsidRDefault="00CB7E68" w:rsidP="00CB7E68">
      <w:pPr>
        <w:rPr>
          <w:sz w:val="10"/>
        </w:rPr>
      </w:pPr>
      <w:r w:rsidRPr="00B2690C">
        <w:rPr>
          <w:rStyle w:val="StyleUnderline"/>
          <w:bCs/>
          <w:highlight w:val="yellow"/>
        </w:rPr>
        <w:lastRenderedPageBreak/>
        <w:t>Consider</w:t>
      </w:r>
      <w:r w:rsidRPr="00B2690C">
        <w:rPr>
          <w:sz w:val="10"/>
        </w:rPr>
        <w:t xml:space="preserve"> two such moments, for example </w:t>
      </w:r>
      <w:r w:rsidRPr="00B2690C">
        <w:rPr>
          <w:rStyle w:val="StyleUnderline"/>
          <w:bCs/>
          <w:highlight w:val="yellow"/>
        </w:rPr>
        <w:t>my eating</w:t>
      </w:r>
      <w:r w:rsidRPr="00B2690C">
        <w:rPr>
          <w:rStyle w:val="Style13ptBold"/>
          <w:sz w:val="10"/>
        </w:rPr>
        <w:t xml:space="preserve"> of </w:t>
      </w:r>
      <w:r w:rsidRPr="00B2690C">
        <w:rPr>
          <w:rStyle w:val="StyleUnderline"/>
          <w:bCs/>
          <w:highlight w:val="yellow"/>
        </w:rPr>
        <w:t>a</w:t>
      </w:r>
      <w:r w:rsidRPr="00B2690C">
        <w:rPr>
          <w:rStyle w:val="Style13ptBold"/>
          <w:sz w:val="10"/>
        </w:rPr>
        <w:t xml:space="preserve"> peanut butter </w:t>
      </w:r>
      <w:r w:rsidRPr="00B2690C">
        <w:rPr>
          <w:rStyle w:val="StyleUnderline"/>
          <w:bCs/>
          <w:highlight w:val="yellow"/>
        </w:rPr>
        <w:t>sandwich</w:t>
      </w:r>
      <w:r w:rsidRPr="00B2690C">
        <w:rPr>
          <w:rStyle w:val="Style13ptBold"/>
          <w:sz w:val="10"/>
        </w:rPr>
        <w:t xml:space="preserve"> for lunch </w:t>
      </w:r>
      <w:r w:rsidRPr="00B2690C">
        <w:rPr>
          <w:rStyle w:val="StyleUnderline"/>
          <w:bCs/>
          <w:highlight w:val="yellow"/>
        </w:rPr>
        <w:t>yesterday and my recollection of that</w:t>
      </w:r>
      <w:r w:rsidRPr="00B2690C">
        <w:rPr>
          <w:rStyle w:val="Style13ptBold"/>
          <w:sz w:val="10"/>
        </w:rPr>
        <w:t xml:space="preserve"> experience </w:t>
      </w:r>
      <w:r w:rsidRPr="00B2690C">
        <w:rPr>
          <w:rStyle w:val="StyleUnderline"/>
          <w:bCs/>
          <w:highlight w:val="yellow"/>
        </w:rPr>
        <w:t>today</w:t>
      </w:r>
      <w:r w:rsidRPr="00B2690C">
        <w:rPr>
          <w:sz w:val="10"/>
        </w:rPr>
        <w:t xml:space="preserve">. It seems unproblematic to say that </w:t>
      </w:r>
      <w:r w:rsidRPr="00B2690C">
        <w:rPr>
          <w:rStyle w:val="StyleUnderline"/>
          <w:bCs/>
          <w:highlight w:val="yellow"/>
        </w:rPr>
        <w:t>the first</w:t>
      </w:r>
      <w:r w:rsidRPr="00B2690C">
        <w:rPr>
          <w:rStyle w:val="Style13ptBold"/>
          <w:sz w:val="10"/>
        </w:rPr>
        <w:t xml:space="preserve"> moment of </w:t>
      </w:r>
      <w:r w:rsidRPr="00B2690C">
        <w:rPr>
          <w:rStyle w:val="StyleUnderline"/>
          <w:bCs/>
        </w:rPr>
        <w:t xml:space="preserve">experience </w:t>
      </w:r>
      <w:r w:rsidRPr="00B2690C">
        <w:rPr>
          <w:rStyle w:val="StyleUnderline"/>
          <w:bCs/>
          <w:highlight w:val="yellow"/>
        </w:rPr>
        <w:t>temporally precedes the second</w:t>
      </w:r>
      <w:r w:rsidRPr="00B2690C">
        <w:rPr>
          <w:rStyle w:val="StyleUnderline"/>
          <w:bCs/>
        </w:rPr>
        <w:t>.</w:t>
      </w:r>
      <w:r w:rsidRPr="00B2690C">
        <w:rPr>
          <w:sz w:val="10"/>
        </w:rPr>
        <w:t xml:space="preserve"> There seems to be a real relation between the two such that the first comes before the second and the second comes after the first. The question for the non-eternalist is whether that temporal relation really obtains. If “before” and “after” are not real relations, relations that in fact obtain between two objectively existing moments of consciousness, then it seems that time is unreal and eternalism follows trivially. But if they do obtain, then the non-eternalist faces a worse difficulty. For </w:t>
      </w:r>
      <w:r w:rsidRPr="00B2690C">
        <w:rPr>
          <w:rStyle w:val="Style13ptBold"/>
          <w:sz w:val="10"/>
        </w:rPr>
        <w:t>if all that is ever real is the present moment, then there is never a time at which both moments of experience exist</w:t>
      </w:r>
      <w:r w:rsidRPr="00B2690C">
        <w:rPr>
          <w:sz w:val="10"/>
        </w:rPr>
        <w:t xml:space="preserve">, and so at least one of the relata always fails to exist. </w:t>
      </w:r>
      <w:r w:rsidRPr="00B2690C">
        <w:rPr>
          <w:rStyle w:val="Style13ptBold"/>
          <w:sz w:val="10"/>
        </w:rPr>
        <w:t xml:space="preserve">Granting that my eating of the peanut butter sandwich yesterday does not exist now, if there is no sense in which it exists timelessly, then it simply isn’t “there” to be in a relation of “coming before” to the moment of my recollection. </w:t>
      </w:r>
      <w:r w:rsidRPr="00B2690C">
        <w:rPr>
          <w:rStyle w:val="StyleUnderline"/>
          <w:bCs/>
          <w:highlight w:val="yellow"/>
        </w:rPr>
        <w:t>If past and present never coexist</w:t>
      </w:r>
      <w:r w:rsidRPr="00B2690C">
        <w:rPr>
          <w:rStyle w:val="Style13ptBold"/>
          <w:sz w:val="10"/>
        </w:rPr>
        <w:t xml:space="preserve"> in any eternal sense whatsoever, then </w:t>
      </w:r>
      <w:r w:rsidRPr="00B2690C">
        <w:rPr>
          <w:rStyle w:val="StyleUnderline"/>
          <w:bCs/>
          <w:highlight w:val="yellow"/>
        </w:rPr>
        <w:t>it should be</w:t>
      </w:r>
      <w:r w:rsidRPr="00B2690C">
        <w:rPr>
          <w:rStyle w:val="StyleUnderline"/>
          <w:bCs/>
        </w:rPr>
        <w:t xml:space="preserve"> simply </w:t>
      </w:r>
      <w:r w:rsidRPr="00B2690C">
        <w:rPr>
          <w:rStyle w:val="StyleUnderline"/>
          <w:bCs/>
          <w:highlight w:val="yellow"/>
        </w:rPr>
        <w:t>meaningless to say</w:t>
      </w:r>
      <w:r w:rsidRPr="00B2690C">
        <w:rPr>
          <w:rStyle w:val="Style13ptBold"/>
          <w:sz w:val="10"/>
        </w:rPr>
        <w:t xml:space="preserve"> that </w:t>
      </w:r>
      <w:r w:rsidRPr="00B2690C">
        <w:rPr>
          <w:rStyle w:val="StyleUnderline"/>
          <w:bCs/>
          <w:highlight w:val="yellow"/>
        </w:rPr>
        <w:t>one comes “before” the other</w:t>
      </w:r>
      <w:r w:rsidRPr="00B2690C">
        <w:rPr>
          <w:sz w:val="10"/>
        </w:rPr>
        <w:t xml:space="preserve">; the past simply fails to exist, and therefore can’t be “related” to anything. A non-eternalist might reply to this argument by saying that the past does continue to exist, but only as past—that when the Moving Finger, having writ, moves on, each moment acquires a quality of “pastness” that differentiates it from the present moment without making it fall out of existence altogether. I think this will not do, primarily for the reason Sprigge makes clear in his essay. </w:t>
      </w:r>
      <w:r w:rsidRPr="00B2690C">
        <w:rPr>
          <w:rStyle w:val="Style13ptBold"/>
          <w:sz w:val="10"/>
        </w:rPr>
        <w:t>My experience of eating a peanut butter sandwich has a certain quality of presentness that is simply part and parcel of the experience; without that quality the experience would not be what it is/was, and indeed would arguably not be an “experience” at all</w:t>
      </w:r>
      <w:r w:rsidRPr="00B2690C">
        <w:rPr>
          <w:sz w:val="10"/>
        </w:rPr>
        <w:t xml:space="preserve">. (Sprigge’s own example, which has the advantage of great vividness, is a toothache.) </w:t>
      </w:r>
      <w:r w:rsidRPr="00B2690C">
        <w:rPr>
          <w:rStyle w:val="StyleUnderline"/>
          <w:bCs/>
          <w:highlight w:val="yellow"/>
        </w:rPr>
        <w:t>If that</w:t>
      </w:r>
      <w:r w:rsidRPr="00B2690C">
        <w:rPr>
          <w:rStyle w:val="StyleUnderline"/>
          <w:bCs/>
        </w:rPr>
        <w:t xml:space="preserve"> moment of </w:t>
      </w:r>
      <w:r w:rsidRPr="00B2690C">
        <w:rPr>
          <w:rStyle w:val="StyleUnderline"/>
          <w:bCs/>
          <w:highlight w:val="yellow"/>
        </w:rPr>
        <w:t>experience is not eternally “there”</w:t>
      </w:r>
      <w:r w:rsidRPr="00B2690C">
        <w:rPr>
          <w:rStyle w:val="Style13ptBold"/>
          <w:sz w:val="10"/>
        </w:rPr>
        <w:t xml:space="preserve"> with that very quality of presentness, then </w:t>
      </w:r>
      <w:r w:rsidRPr="00B2690C">
        <w:rPr>
          <w:rStyle w:val="StyleUnderline"/>
          <w:bCs/>
          <w:highlight w:val="yellow"/>
        </w:rPr>
        <w:t>it is no longer available as a temporal relatum</w:t>
      </w:r>
      <w:r w:rsidRPr="00B2690C">
        <w:rPr>
          <w:sz w:val="10"/>
        </w:rPr>
        <w:t>, and when I say that the experience of eating the sandwich comes “before” my recollection of it, I am referring not to the experience itself (which no longer exists qua experience) but to its ghost. Surely this is not what we mean to say when we say one experience precedes another; the view that began by apparently cleaving to common sense in the end departs from it egregiously.</w:t>
      </w:r>
    </w:p>
    <w:p w14:paraId="01132128" w14:textId="77777777" w:rsidR="00CB7E68" w:rsidRPr="00B2690C" w:rsidRDefault="00CB7E68" w:rsidP="00CB7E68">
      <w:pPr>
        <w:pStyle w:val="Heading4"/>
        <w:rPr>
          <w:rFonts w:cs="Calibri"/>
        </w:rPr>
      </w:pPr>
      <w:r w:rsidRPr="00B2690C">
        <w:rPr>
          <w:rFonts w:cs="Calibri"/>
        </w:rPr>
        <w:t xml:space="preserve">[3] The best neuroscientific, psychological, and medical evidence show free will doesn’t exist. </w:t>
      </w:r>
    </w:p>
    <w:p w14:paraId="55EBB11B" w14:textId="77777777" w:rsidR="00CB7E68" w:rsidRPr="00B2690C" w:rsidRDefault="00CB7E68" w:rsidP="00CB7E68">
      <w:pPr>
        <w:rPr>
          <w:sz w:val="14"/>
        </w:rPr>
      </w:pPr>
      <w:r w:rsidRPr="00B2690C">
        <w:rPr>
          <w:sz w:val="14"/>
        </w:rPr>
        <w:t xml:space="preserve">Andrea </w:t>
      </w:r>
      <w:r w:rsidRPr="00B2690C">
        <w:rPr>
          <w:rStyle w:val="Style13ptBold"/>
        </w:rPr>
        <w:t>Lavazza</w:t>
      </w:r>
      <w:r w:rsidRPr="00B2690C">
        <w:rPr>
          <w:sz w:val="14"/>
        </w:rPr>
        <w:t xml:space="preserve">, Neuroethics, Centro Universitario Internazionale, Arezzo, Italy, Free Will and Neuroscience: From Explaining Freedom Away to New Ways of Operationalizing and Measuring It, </w:t>
      </w:r>
      <w:r w:rsidRPr="00B2690C">
        <w:rPr>
          <w:rStyle w:val="Style13ptBold"/>
        </w:rPr>
        <w:t>2016</w:t>
      </w:r>
      <w:r w:rsidRPr="00B2690C">
        <w:rPr>
          <w:sz w:val="14"/>
        </w:rPr>
        <w:t xml:space="preserve">, </w:t>
      </w:r>
      <w:hyperlink r:id="rId8" w:history="1">
        <w:r w:rsidRPr="00B2690C">
          <w:rPr>
            <w:rStyle w:val="Hyperlink"/>
            <w:sz w:val="14"/>
          </w:rPr>
          <w:t>https://www.ncbi.nlm.nih.gov/pmc/articles/PMC4887467/</w:t>
        </w:r>
      </w:hyperlink>
      <w:r w:rsidRPr="00B2690C">
        <w:rPr>
          <w:sz w:val="14"/>
        </w:rPr>
        <w:t xml:space="preserve"> ///AHS PB BRACKETED FOR CLARITY recut emi </w:t>
      </w:r>
    </w:p>
    <w:p w14:paraId="4DF62DC7" w14:textId="77777777" w:rsidR="00CB7E68" w:rsidRPr="00B2690C" w:rsidRDefault="00CB7E68" w:rsidP="00CB7E68">
      <w:pPr>
        <w:rPr>
          <w:sz w:val="8"/>
        </w:rPr>
      </w:pPr>
      <w:r w:rsidRPr="00B2690C">
        <w:rPr>
          <w:sz w:val="8"/>
        </w:rPr>
        <w:t xml:space="preserve">More recently, </w:t>
      </w:r>
      <w:r w:rsidRPr="00B2690C">
        <w:rPr>
          <w:rStyle w:val="StyleUnderline"/>
          <w:bCs/>
          <w:highlight w:val="yellow"/>
        </w:rPr>
        <w:t>studying the activity of the frontal and parietal cortex</w:t>
      </w:r>
      <w:r w:rsidRPr="00B2690C">
        <w:rPr>
          <w:sz w:val="8"/>
        </w:rPr>
        <w:t xml:space="preserve">, other neuroscientists of the group coordinated by Soon et al. (2008, 2013) have managed to </w:t>
      </w:r>
      <w:r w:rsidRPr="00B2690C">
        <w:rPr>
          <w:rStyle w:val="StyleUnderline"/>
          <w:bCs/>
          <w:highlight w:val="yellow"/>
        </w:rPr>
        <w:t>detect the “rise” of a</w:t>
      </w:r>
      <w:r w:rsidRPr="00B2690C">
        <w:rPr>
          <w:rStyle w:val="StyleUnderline"/>
          <w:bCs/>
        </w:rPr>
        <w:t xml:space="preserve"> behavioral or abstract </w:t>
      </w:r>
      <w:r w:rsidRPr="00B2690C">
        <w:rPr>
          <w:rStyle w:val="StyleUnderline"/>
          <w:bCs/>
          <w:highlight w:val="yellow"/>
        </w:rPr>
        <w:t>choice</w:t>
      </w:r>
      <w:r w:rsidRPr="00B2690C">
        <w:rPr>
          <w:rStyle w:val="StyleUnderline"/>
          <w:bCs/>
        </w:rPr>
        <w:t xml:space="preserve">/decision (to move either the right finger or the left one; to perform a mathematical operation or another with two numbers) </w:t>
      </w:r>
      <w:r w:rsidRPr="00B2690C">
        <w:rPr>
          <w:rStyle w:val="StyleUnderline"/>
          <w:bCs/>
          <w:highlight w:val="yellow"/>
        </w:rPr>
        <w:t xml:space="preserve">a few seconds before the subject becomes aware of </w:t>
      </w:r>
      <w:r w:rsidRPr="00B2690C">
        <w:rPr>
          <w:rStyle w:val="StyleUnderline"/>
          <w:bCs/>
        </w:rPr>
        <w:t xml:space="preserve">it. An unconscious brain process has already “decided” what to do when the subject still does not know what she would choose and thinks she still has the power to decide. </w:t>
      </w:r>
      <w:r w:rsidRPr="00B2690C">
        <w:rPr>
          <w:sz w:val="8"/>
        </w:rPr>
        <w:t xml:space="preserve">More precisely, Soon et al. (2008) studied “free decisions” between many behavioral options using the </w:t>
      </w:r>
      <w:r w:rsidRPr="00B2690C">
        <w:rPr>
          <w:rStyle w:val="StyleUnderline"/>
          <w:bCs/>
        </w:rPr>
        <w:t>multivariate pattern classification analysis (</w:t>
      </w:r>
      <w:r w:rsidRPr="00B2690C">
        <w:rPr>
          <w:rStyle w:val="StyleUnderline"/>
          <w:bCs/>
          <w:highlight w:val="yellow"/>
        </w:rPr>
        <w:t>MVPA</w:t>
      </w:r>
      <w:r w:rsidRPr="00B2690C">
        <w:rPr>
          <w:rStyle w:val="StyleUnderline"/>
          <w:bCs/>
        </w:rPr>
        <w:t xml:space="preserve">) which, </w:t>
      </w:r>
      <w:r w:rsidRPr="00B2690C">
        <w:rPr>
          <w:rStyle w:val="StyleUnderline"/>
          <w:bCs/>
          <w:highlight w:val="yellow"/>
        </w:rPr>
        <w:t>combined with fMRI</w:t>
      </w:r>
      <w:r w:rsidRPr="00B2690C">
        <w:rPr>
          <w:rStyle w:val="StyleUnderline"/>
          <w:bCs/>
        </w:rPr>
        <w:t xml:space="preserve">, allows one to identify specific contents of cognitive processes. </w:t>
      </w:r>
      <w:r w:rsidRPr="00B2690C">
        <w:rPr>
          <w:sz w:val="8"/>
        </w:rPr>
        <w:t xml:space="preserve">“A pattern classifier, usually adopted from machine learning, can be trained on exemplars of neural patterns acquired when participants make different decisions and can learn to distinguish between these. If the activation patterns contain information about the decisions, the trained classifier can then successfully predict decision outcomes from independent data” (Bode et al., 2014). In Soon et al.’s (2008) experiment, subjects carried out a freely paced motor-decision task (choosing to press a button with either the left or the right index finger) while their brain activity was being measured using fMRI. The subjects then had to report the moment of the decision, not by using a clock as in Libet’s experiment, but by selecting a letter in a stream that was being presented during the task. Soon et al. (2008) used fMRI signals to find local neural patterns and draw from such patterns all possible information decoded second by second thanks to the statistical techniques of pattern recognition. The brain areas that were mostly involved in the performance of the actions are the primary M2 and the SMA, while two other brain regions encoded the subject’s motor decision ahead of time and with high accuracy. Indeed, </w:t>
      </w:r>
      <w:r w:rsidRPr="00B2690C">
        <w:rPr>
          <w:rStyle w:val="StyleUnderline"/>
          <w:bCs/>
        </w:rPr>
        <w:t xml:space="preserve">the frontopolar cortex (BA10) and a portion of the cingulate cortex can be monitored to </w:t>
      </w:r>
      <w:r w:rsidRPr="00B2690C">
        <w:rPr>
          <w:rStyle w:val="StyleUnderline"/>
          <w:bCs/>
          <w:highlight w:val="yellow"/>
        </w:rPr>
        <w:t>understand</w:t>
      </w:r>
      <w:r w:rsidRPr="00B2690C">
        <w:rPr>
          <w:rStyle w:val="StyleUnderline"/>
          <w:bCs/>
        </w:rPr>
        <w:t xml:space="preserve"> what kind of choice will be made by the person before they are conscious of having taken a specific decision in the task they were given.</w:t>
      </w:r>
      <w:r w:rsidRPr="00B2690C">
        <w:rPr>
          <w:sz w:val="8"/>
        </w:rPr>
        <w:t xml:space="preserve"> The prediction can be made, with a relevant approximation (60% mean accuracy), up to 7 s before the conscious choice is experienced by the subject, thanks to the fMRI signals detected in the BA10 (one should take into account that the subjects are asked to think hard about the choice before making it, whereas usually simple choices do not require long subjective reflection). “The temporal ordering of information suggests a tentative causal model of information flow, where the earliest unconscious precursors of </w:t>
      </w:r>
      <w:r w:rsidRPr="00B2690C">
        <w:rPr>
          <w:rStyle w:val="StyleUnderline"/>
          <w:bCs/>
        </w:rPr>
        <w:t>the motor decision originated in frontopolar cortex, from where they influenced the buildup of decision-related information in the precuneus and later in SMA, where it remained unconscious for up to 10 s”</w:t>
      </w:r>
      <w:r w:rsidRPr="00B2690C">
        <w:rPr>
          <w:sz w:val="8"/>
        </w:rPr>
        <w:t xml:space="preserve"> (Soon et al., 2008).This seems to revive the old issue of God’s foreknowledge that forced theologians to wonder if man can be considered free, if someone already knows his future choices. Indeed, the authors speak of “free” decisions determined by brain activity ahead of time by placing “free” between inverted commas, as freedom is taken to be a commonsensical hypothesis. In this regard, the authors claim: “we found that </w:t>
      </w:r>
      <w:r w:rsidRPr="00B2690C">
        <w:rPr>
          <w:rStyle w:val="StyleUnderline"/>
          <w:bCs/>
          <w:highlight w:val="yellow"/>
        </w:rPr>
        <w:t>the outcome</w:t>
      </w:r>
      <w:r w:rsidRPr="00B2690C">
        <w:rPr>
          <w:rStyle w:val="StyleUnderline"/>
          <w:bCs/>
        </w:rPr>
        <w:t xml:space="preserve"> of a decision can be </w:t>
      </w:r>
      <w:r w:rsidRPr="00B2690C">
        <w:rPr>
          <w:rStyle w:val="StyleUnderline"/>
          <w:bCs/>
          <w:highlight w:val="yellow"/>
        </w:rPr>
        <w:t>encoded in brain activity</w:t>
      </w:r>
      <w:r w:rsidRPr="00B2690C">
        <w:rPr>
          <w:rStyle w:val="StyleUnderline"/>
          <w:bCs/>
        </w:rPr>
        <w:t xml:space="preserve"> of prefrontal and parietal cortex up to 10 s </w:t>
      </w:r>
      <w:r w:rsidRPr="00B2690C">
        <w:rPr>
          <w:rStyle w:val="StyleUnderline"/>
          <w:bCs/>
          <w:highlight w:val="yellow"/>
        </w:rPr>
        <w:t>before it enters awareness</w:t>
      </w:r>
      <w:r w:rsidRPr="00B2690C">
        <w:rPr>
          <w:rStyle w:val="StyleUnderline"/>
          <w:bCs/>
        </w:rPr>
        <w:t xml:space="preserve">. This delay presumably reflects the operation of a network of </w:t>
      </w:r>
      <w:r w:rsidRPr="00B2690C">
        <w:rPr>
          <w:rStyle w:val="StyleUnderline"/>
          <w:bCs/>
          <w:highlight w:val="yellow"/>
        </w:rPr>
        <w:t>high-level control areas</w:t>
      </w:r>
      <w:r w:rsidRPr="00B2690C">
        <w:rPr>
          <w:rStyle w:val="StyleUnderline"/>
          <w:bCs/>
        </w:rPr>
        <w:t xml:space="preserve"> that begin to </w:t>
      </w:r>
      <w:r w:rsidRPr="00B2690C">
        <w:rPr>
          <w:rStyle w:val="StyleUnderline"/>
          <w:bCs/>
          <w:highlight w:val="yellow"/>
        </w:rPr>
        <w:t>prepare</w:t>
      </w:r>
      <w:r w:rsidRPr="00B2690C">
        <w:rPr>
          <w:rStyle w:val="StyleUnderline"/>
          <w:bCs/>
        </w:rPr>
        <w:t xml:space="preserve"> an upcoming </w:t>
      </w:r>
      <w:r w:rsidRPr="00B2690C">
        <w:rPr>
          <w:rStyle w:val="StyleUnderline"/>
          <w:bCs/>
          <w:highlight w:val="yellow"/>
        </w:rPr>
        <w:t>decision long before it enters awareness”</w:t>
      </w:r>
      <w:r w:rsidRPr="00B2690C">
        <w:rPr>
          <w:rStyle w:val="StyleUnderline"/>
          <w:bCs/>
        </w:rPr>
        <w:t xml:space="preserve"> (</w:t>
      </w:r>
      <w:r w:rsidRPr="00B2690C">
        <w:rPr>
          <w:sz w:val="8"/>
        </w:rPr>
        <w:t xml:space="preserve">Soon et al., 2008). Another interesting study is that conducted by Alexander et al. (2016): using a new experimental design, it found that the RP also occurs in the absence of movement. It suggests that “the RP measured here is unlikely to reflect preconscious motor planning or preparation of an ensuing movement, and instead may reflect decision-related or anticipatory processes that are non-motoric in nature” (Alexander et al., 2016). The experimental design used a modified version of Libet’s task. Subjects had to choose between four letters whenever they wanted, by taking note of the exact moment of their choice. Later, in half the trials, the subjects had to push a button as soon as they made the decision, whereas in the other half subjects had to do nothing to mark their choice. At the end of the task, all subjects had to report when they had made their decision. In this way, by EEG, electrooculography (EOG) and electromyography (EMG), it was possible to see the RP of the decision-making both in motor and non-motor contexts. The authors did not find any strong differences between the two RPs, thereby affirming that there is a pure cognitive contribution to RP that does not reflect processes related to movement. They thus suggest that cognitive RP might reflect action preparation, general anticipation and spontaneous neural fluctuations. Interestingly, they exclude that the RP reflects action preparation since it is a non-motor processing. And as to anticipation they cannot exclude that RP may be specifically associated with free choice. So the RP could merely reflect the average of spontaneous fluctuations (see “Other Neuroscientific Hypotheses on Free Will” Section) </w:t>
      </w:r>
      <w:r w:rsidRPr="00B2690C">
        <w:rPr>
          <w:rStyle w:val="StyleUnderline"/>
          <w:bCs/>
        </w:rPr>
        <w:t>All</w:t>
      </w:r>
      <w:r w:rsidRPr="00B2690C">
        <w:rPr>
          <w:sz w:val="8"/>
        </w:rPr>
        <w:t xml:space="preserve"> these </w:t>
      </w:r>
      <w:r w:rsidRPr="00B2690C">
        <w:rPr>
          <w:rStyle w:val="StyleUnderline"/>
          <w:bCs/>
          <w:highlight w:val="yellow"/>
        </w:rPr>
        <w:t>experiments</w:t>
      </w:r>
      <w:r w:rsidRPr="00B2690C">
        <w:rPr>
          <w:rStyle w:val="Style13ptBold"/>
          <w:sz w:val="8"/>
        </w:rPr>
        <w:t xml:space="preserve"> seem to </w:t>
      </w:r>
      <w:r w:rsidRPr="00B2690C">
        <w:rPr>
          <w:rStyle w:val="StyleUnderline"/>
          <w:bCs/>
          <w:highlight w:val="yellow"/>
        </w:rPr>
        <w:t>indicate</w:t>
      </w:r>
      <w:r w:rsidRPr="00B2690C">
        <w:rPr>
          <w:rStyle w:val="Style13ptBold"/>
          <w:sz w:val="8"/>
        </w:rPr>
        <w:t xml:space="preserve"> that </w:t>
      </w:r>
      <w:r w:rsidRPr="00B2690C">
        <w:rPr>
          <w:rStyle w:val="StyleUnderline"/>
          <w:bCs/>
          <w:highlight w:val="yellow"/>
        </w:rPr>
        <w:t>free will is an illusion</w:t>
      </w:r>
      <w:r w:rsidRPr="00B2690C">
        <w:rPr>
          <w:sz w:val="8"/>
        </w:rPr>
        <w:t xml:space="preserve">. 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another feature of freedom seems to be a pure illusion, namely the role of consciousness. The experiments considered thus far heavily question the claim that consciousness actually causes voluntary behavior. </w:t>
      </w:r>
      <w:r w:rsidRPr="00B2690C">
        <w:rPr>
          <w:rStyle w:val="Emphasis"/>
          <w:highlight w:val="yellow"/>
        </w:rPr>
        <w:t>Neural activation starts the decisional process</w:t>
      </w:r>
      <w:r w:rsidRPr="00B2690C">
        <w:rPr>
          <w:rStyle w:val="Style13ptBold"/>
          <w:sz w:val="8"/>
        </w:rPr>
        <w:t xml:space="preserve"> culminating in the movement, while </w:t>
      </w:r>
      <w:r w:rsidRPr="00B2690C">
        <w:rPr>
          <w:rStyle w:val="StyleUnderline"/>
          <w:bCs/>
          <w:highlight w:val="yellow"/>
        </w:rPr>
        <w:t>consciousness “comes after”</w:t>
      </w:r>
      <w:r w:rsidRPr="00B2690C">
        <w:rPr>
          <w:rStyle w:val="StyleUnderline"/>
          <w:bCs/>
        </w:rPr>
        <w:t xml:space="preserve">, when </w:t>
      </w:r>
      <w:r w:rsidRPr="00B2690C">
        <w:rPr>
          <w:rStyle w:val="StyleUnderline"/>
          <w:bCs/>
          <w:highlight w:val="yellow"/>
        </w:rPr>
        <w:t>“things are done”.</w:t>
      </w:r>
      <w:r w:rsidRPr="00B2690C">
        <w:rPr>
          <w:rStyle w:val="Style13ptBold"/>
          <w:sz w:val="8"/>
        </w:rPr>
        <w:t xml:space="preserve"> Therefore, </w:t>
      </w:r>
      <w:r w:rsidRPr="00B2690C">
        <w:rPr>
          <w:rStyle w:val="StyleUnderline"/>
          <w:bCs/>
          <w:sz w:val="21"/>
          <w:szCs w:val="22"/>
          <w:highlight w:val="yellow"/>
        </w:rPr>
        <w:t>[and]</w:t>
      </w:r>
      <w:r w:rsidRPr="00B2690C">
        <w:rPr>
          <w:rStyle w:val="Style13ptBold"/>
          <w:sz w:val="8"/>
          <w:szCs w:val="22"/>
        </w:rPr>
        <w:t xml:space="preserve"> </w:t>
      </w:r>
      <w:r w:rsidRPr="00B2690C">
        <w:rPr>
          <w:rStyle w:val="Style13ptBold"/>
          <w:sz w:val="8"/>
        </w:rPr>
        <w:t xml:space="preserve">consciousness </w:t>
      </w:r>
      <w:r w:rsidRPr="00B2690C">
        <w:rPr>
          <w:rStyle w:val="StyleUnderline"/>
          <w:bCs/>
          <w:highlight w:val="yellow"/>
        </w:rPr>
        <w:t>cannot trigger our voluntary decisions</w:t>
      </w:r>
      <w:r w:rsidRPr="00B2690C">
        <w:rPr>
          <w:sz w:val="8"/>
        </w:rPr>
        <w:t xml:space="preserve">. But the role of consciousness in voluntary choices is part of the definition of free will (but the very definition of consciousness is a matter of debate, cf. Chalmers, 1996). </w:t>
      </w:r>
      <w:r w:rsidRPr="00B2690C">
        <w:rPr>
          <w:rStyle w:val="Emphasis"/>
          <w:highlight w:val="yellow"/>
        </w:rPr>
        <w:t>Empirical research in psychology also shows that our mind works and makes choices without our conscious control.</w:t>
      </w:r>
      <w:r w:rsidRPr="00B2690C">
        <w:rPr>
          <w:sz w:val="8"/>
        </w:rPr>
        <w:t xml:space="preserve"> As proposed by psychologist Wegner (2002, 2003, 2004) and Aarts et al. (2004), </w:t>
      </w:r>
      <w:r w:rsidRPr="00B2690C">
        <w:rPr>
          <w:rStyle w:val="Style13ptBold"/>
          <w:sz w:val="8"/>
        </w:rPr>
        <w:t>we are “built” to have the impression to consciously control our actions or to have the power to freely choose, even though all that is only a cognitive illusion</w:t>
      </w:r>
      <w:r w:rsidRPr="00B2690C">
        <w:rPr>
          <w:sz w:val="8"/>
        </w:rPr>
        <w:t xml:space="preserve">. Many priming experiments show that people act “mechanically” (even when their behavior might appear suited to the environment and even refined). Automatic cognitive processes, of which we aren’t always aware, originate our decisions, and they were only discovered thanks to </w:t>
      </w:r>
      <w:r w:rsidRPr="00B2690C">
        <w:rPr>
          <w:rStyle w:val="Style13ptBold"/>
          <w:sz w:val="8"/>
          <w:highlight w:val="yellow"/>
        </w:rPr>
        <w:t xml:space="preserve">the most advanced </w:t>
      </w:r>
      <w:r w:rsidRPr="00B2690C">
        <w:rPr>
          <w:rStyle w:val="Style13ptBold"/>
          <w:sz w:val="8"/>
          <w:highlight w:val="yellow"/>
        </w:rPr>
        <w:lastRenderedPageBreak/>
        <w:t>scientific research</w:t>
      </w:r>
      <w:r w:rsidRPr="00B2690C">
        <w:rPr>
          <w:sz w:val="8"/>
        </w:rPr>
        <w:t xml:space="preserve">. Ultimately, consciousness, which should exercise control and assess the reasons for a choice, is thus allegedly causally ineffective: a mere epiphenomenon, to use the terminology of the philosophy of mind. This is what has been called Zombie Challenge, “based on an amazing wealth of findings in recent cognitive science that </w:t>
      </w:r>
      <w:r w:rsidRPr="00B2690C">
        <w:rPr>
          <w:rStyle w:val="Style13ptBold"/>
          <w:sz w:val="8"/>
          <w:highlight w:val="yellow"/>
        </w:rPr>
        <w:t>demonstrate</w:t>
      </w:r>
      <w:r w:rsidRPr="00B2690C">
        <w:rPr>
          <w:sz w:val="8"/>
        </w:rPr>
        <w:t xml:space="preserve"> the surprising ways in which </w:t>
      </w:r>
      <w:r w:rsidRPr="00B2690C">
        <w:rPr>
          <w:rStyle w:val="Style13ptBold"/>
          <w:sz w:val="8"/>
        </w:rPr>
        <w:t xml:space="preserve">our everyday </w:t>
      </w:r>
      <w:r w:rsidRPr="00B2690C">
        <w:rPr>
          <w:rStyle w:val="Style13ptBold"/>
          <w:sz w:val="8"/>
          <w:highlight w:val="yellow"/>
        </w:rPr>
        <w:t>behavior is</w:t>
      </w:r>
      <w:r w:rsidRPr="00B2690C">
        <w:rPr>
          <w:rStyle w:val="Style13ptBold"/>
          <w:sz w:val="8"/>
        </w:rPr>
        <w:t xml:space="preserve"> controlled by </w:t>
      </w:r>
      <w:r w:rsidRPr="00B2690C">
        <w:rPr>
          <w:rStyle w:val="Style13ptBold"/>
          <w:sz w:val="8"/>
          <w:highlight w:val="yellow"/>
        </w:rPr>
        <w:t>automatic</w:t>
      </w:r>
      <w:r w:rsidRPr="00B2690C">
        <w:rPr>
          <w:rStyle w:val="Style13ptBold"/>
          <w:sz w:val="8"/>
        </w:rPr>
        <w:t xml:space="preserve"> processes that unfold in the complete absence of consciousness</w:t>
      </w:r>
      <w:r w:rsidRPr="00B2690C">
        <w:rPr>
          <w:sz w:val="8"/>
        </w:rPr>
        <w:t>” (Vierkant et al., 2013).</w:t>
      </w:r>
    </w:p>
    <w:p w14:paraId="78470FD8" w14:textId="77777777" w:rsidR="00CB7E68" w:rsidRPr="00B2690C" w:rsidRDefault="00CB7E68" w:rsidP="00CB7E68">
      <w:pPr>
        <w:pStyle w:val="Heading4"/>
        <w:rPr>
          <w:rFonts w:cs="Calibri"/>
          <w:sz w:val="14"/>
        </w:rPr>
      </w:pPr>
      <w:r w:rsidRPr="00B2690C">
        <w:rPr>
          <w:rFonts w:cs="Calibri"/>
        </w:rPr>
        <w:t>[4] Double bind: Denying Determinist theory of causality proves that free will doesn’t exist</w:t>
      </w:r>
    </w:p>
    <w:p w14:paraId="5937C887" w14:textId="77777777" w:rsidR="00CB7E68" w:rsidRPr="00B2690C" w:rsidRDefault="00CB7E68" w:rsidP="00CB7E68">
      <w:r w:rsidRPr="00B2690C">
        <w:rPr>
          <w:b/>
          <w:bCs/>
          <w:sz w:val="26"/>
          <w:szCs w:val="26"/>
        </w:rPr>
        <w:t>McGinn 93</w:t>
      </w:r>
      <w:r w:rsidRPr="00B2690C">
        <w:rPr>
          <w:sz w:val="12"/>
        </w:rPr>
        <w:t xml:space="preserve"> - </w:t>
      </w:r>
      <w:r w:rsidRPr="00B2690C">
        <w:t>Colin McGinn. British philosopher. He has held teaching posts and professorships at University College London, the University of Oxford, Rutgers University and the University of Miami, Problems in Philosophy: The Limits of Inquiry. London: Wiley, 1993. P. 80// “lol I copped this card off the big questions start pack so I guess I rehighlighted it.” perrys card</w:t>
      </w:r>
    </w:p>
    <w:p w14:paraId="4C14D502" w14:textId="77777777" w:rsidR="00CB7E68" w:rsidRPr="000E403F" w:rsidRDefault="00CB7E68" w:rsidP="00CB7E68">
      <w:pPr>
        <w:rPr>
          <w:sz w:val="12"/>
        </w:rPr>
      </w:pPr>
      <w:r w:rsidRPr="00B2690C">
        <w:rPr>
          <w:sz w:val="12"/>
        </w:rPr>
        <w:t xml:space="preserve">The argument is exceedingly familiar, and runs as follows. Either determinism is true or it is not. </w:t>
      </w:r>
      <w:r w:rsidRPr="00B2690C">
        <w:rPr>
          <w:rStyle w:val="StyleUnderline"/>
          <w:bCs/>
          <w:highlight w:val="yellow"/>
        </w:rPr>
        <w:t>If it is true</w:t>
      </w:r>
      <w:r w:rsidRPr="00B2690C">
        <w:rPr>
          <w:rStyle w:val="Style13ptBold"/>
          <w:sz w:val="12"/>
        </w:rPr>
        <w:t xml:space="preserve">, then </w:t>
      </w:r>
      <w:r w:rsidRPr="00B2690C">
        <w:rPr>
          <w:rStyle w:val="StyleUnderline"/>
          <w:bCs/>
          <w:highlight w:val="yellow"/>
        </w:rPr>
        <w:t>all</w:t>
      </w:r>
      <w:r w:rsidRPr="00B2690C">
        <w:rPr>
          <w:rStyle w:val="Style13ptBold"/>
          <w:sz w:val="12"/>
        </w:rPr>
        <w:t xml:space="preserve"> our chosen </w:t>
      </w:r>
      <w:r w:rsidRPr="00B2690C">
        <w:rPr>
          <w:rStyle w:val="StyleUnderline"/>
          <w:bCs/>
          <w:highlight w:val="yellow"/>
        </w:rPr>
        <w:t>actions are</w:t>
      </w:r>
      <w:r w:rsidRPr="00B2690C">
        <w:rPr>
          <w:rStyle w:val="Style13ptBold"/>
          <w:sz w:val="12"/>
        </w:rPr>
        <w:t xml:space="preserve"> uniquely </w:t>
      </w:r>
      <w:r w:rsidRPr="00B2690C">
        <w:rPr>
          <w:rStyle w:val="StyleUnderline"/>
          <w:bCs/>
          <w:highlight w:val="yellow"/>
        </w:rPr>
        <w:t>necessitated by prior states</w:t>
      </w:r>
      <w:r w:rsidRPr="00B2690C">
        <w:rPr>
          <w:rStyle w:val="Style13ptBold"/>
          <w:sz w:val="12"/>
        </w:rPr>
        <w:t xml:space="preserve"> of the world</w:t>
      </w:r>
      <w:r w:rsidRPr="00B2690C">
        <w:rPr>
          <w:sz w:val="12"/>
        </w:rPr>
        <w:t xml:space="preserve">., just like every other event. </w:t>
      </w:r>
      <w:r w:rsidRPr="00B2690C">
        <w:rPr>
          <w:rStyle w:val="Style13ptBold"/>
          <w:sz w:val="12"/>
        </w:rPr>
        <w:t xml:space="preserve">But then </w:t>
      </w:r>
      <w:r w:rsidRPr="00B2690C">
        <w:rPr>
          <w:rStyle w:val="StyleUnderline"/>
          <w:bCs/>
          <w:highlight w:val="yellow"/>
        </w:rPr>
        <w:t>it cannot be the case</w:t>
      </w:r>
      <w:r w:rsidRPr="00B2690C">
        <w:rPr>
          <w:rStyle w:val="Style13ptBold"/>
          <w:sz w:val="12"/>
        </w:rPr>
        <w:t xml:space="preserve"> that </w:t>
      </w:r>
      <w:r w:rsidRPr="00B2690C">
        <w:rPr>
          <w:rStyle w:val="StyleUnderline"/>
          <w:bCs/>
          <w:highlight w:val="yellow"/>
        </w:rPr>
        <w:t>we could have acted otherwise</w:t>
      </w:r>
      <w:r w:rsidRPr="00B2690C">
        <w:rPr>
          <w:sz w:val="12"/>
        </w:rPr>
        <w:t xml:space="preserve">, since this would require a possibility determinism rules out. Once the initial conditions are set and the laws fixed, causality excludes genuine freedom. On the other hand, </w:t>
      </w:r>
      <w:r w:rsidRPr="00B2690C">
        <w:rPr>
          <w:rStyle w:val="StyleUnderline"/>
          <w:bCs/>
          <w:highlight w:val="yellow"/>
        </w:rPr>
        <w:t>if indeterminism is true</w:t>
      </w:r>
      <w:r w:rsidRPr="00B2690C">
        <w:rPr>
          <w:rStyle w:val="Style13ptBold"/>
          <w:sz w:val="12"/>
        </w:rPr>
        <w:t xml:space="preserve"> , then, though things could have happened otherwise, </w:t>
      </w:r>
      <w:r w:rsidRPr="00B2690C">
        <w:rPr>
          <w:rStyle w:val="StyleUnderline"/>
          <w:bCs/>
          <w:highlight w:val="yellow"/>
        </w:rPr>
        <w:t>it is not the case</w:t>
      </w:r>
      <w:r w:rsidRPr="00B2690C">
        <w:rPr>
          <w:rStyle w:val="Style13ptBold"/>
          <w:sz w:val="12"/>
        </w:rPr>
        <w:t xml:space="preserve"> that </w:t>
      </w:r>
      <w:r w:rsidRPr="00B2690C">
        <w:rPr>
          <w:rStyle w:val="StyleUnderline"/>
          <w:bCs/>
          <w:highlight w:val="yellow"/>
        </w:rPr>
        <w:t>we could have chosen otherwise, since a</w:t>
      </w:r>
      <w:r w:rsidRPr="00B2690C">
        <w:rPr>
          <w:rStyle w:val="Style13ptBold"/>
          <w:sz w:val="12"/>
        </w:rPr>
        <w:t xml:space="preserve"> merely </w:t>
      </w:r>
      <w:r w:rsidRPr="00B2690C">
        <w:rPr>
          <w:rStyle w:val="StyleUnderline"/>
          <w:bCs/>
          <w:highlight w:val="yellow"/>
        </w:rPr>
        <w:t>random event is no</w:t>
      </w:r>
      <w:r w:rsidRPr="00B2690C">
        <w:rPr>
          <w:rStyle w:val="Style13ptBold"/>
          <w:sz w:val="12"/>
        </w:rPr>
        <w:t xml:space="preserve"> kind of </w:t>
      </w:r>
      <w:r w:rsidRPr="00B2690C">
        <w:rPr>
          <w:rStyle w:val="StyleUnderline"/>
          <w:bCs/>
          <w:highlight w:val="yellow"/>
        </w:rPr>
        <w:t>free choice</w:t>
      </w:r>
      <w:r w:rsidRPr="00B2690C">
        <w:rPr>
          <w:sz w:val="12"/>
        </w:rPr>
        <w:t xml:space="preserve">. That some events occur causelessly, or are not subject to law, or </w:t>
      </w:r>
      <w:r w:rsidRPr="00B2690C">
        <w:rPr>
          <w:rStyle w:val="Style13ptBold"/>
          <w:sz w:val="12"/>
        </w:rPr>
        <w:t>only</w:t>
      </w:r>
      <w:r w:rsidRPr="00B2690C">
        <w:rPr>
          <w:sz w:val="12"/>
        </w:rPr>
        <w:t xml:space="preserve"> to </w:t>
      </w:r>
      <w:r w:rsidRPr="00B2690C">
        <w:rPr>
          <w:rStyle w:val="Style13ptBold"/>
          <w:sz w:val="12"/>
        </w:rPr>
        <w:t>probabilistic law</w:t>
      </w:r>
      <w:r w:rsidRPr="00B2690C">
        <w:rPr>
          <w:sz w:val="12"/>
        </w:rPr>
        <w:t xml:space="preserve">, is not sufficient for those events to be free choices. Thus one horn of the dilemma represents choices as predetermined happenings in a predictable causal sequence, while the other construes them as inexplicable lurches to which the universe is randomly prone. </w:t>
      </w:r>
      <w:r w:rsidRPr="00B2690C">
        <w:rPr>
          <w:rStyle w:val="Style13ptBold"/>
          <w:sz w:val="12"/>
        </w:rPr>
        <w:t xml:space="preserve">Neither alternative supplies what the notion of </w:t>
      </w:r>
      <w:r w:rsidRPr="00B2690C">
        <w:rPr>
          <w:rStyle w:val="StyleUnderline"/>
          <w:bCs/>
          <w:highlight w:val="yellow"/>
        </w:rPr>
        <w:t>free will</w:t>
      </w:r>
      <w:r w:rsidRPr="00B2690C">
        <w:rPr>
          <w:rStyle w:val="Style13ptBold"/>
          <w:sz w:val="12"/>
        </w:rPr>
        <w:t xml:space="preserve"> requires</w:t>
      </w:r>
      <w:r w:rsidRPr="00B2690C">
        <w:rPr>
          <w:sz w:val="12"/>
        </w:rPr>
        <w:t xml:space="preserve">,, and no other alternative suggests itself. </w:t>
      </w:r>
      <w:r w:rsidRPr="00B2690C">
        <w:rPr>
          <w:rStyle w:val="Style13ptBold"/>
          <w:sz w:val="12"/>
        </w:rPr>
        <w:t xml:space="preserve">Therefore freedom </w:t>
      </w:r>
      <w:r w:rsidRPr="00B2690C">
        <w:rPr>
          <w:rStyle w:val="StyleUnderline"/>
          <w:bCs/>
          <w:highlight w:val="yellow"/>
        </w:rPr>
        <w:t>is not</w:t>
      </w:r>
      <w:r w:rsidRPr="00B2690C">
        <w:rPr>
          <w:rStyle w:val="Style13ptBold"/>
          <w:sz w:val="12"/>
        </w:rPr>
        <w:t xml:space="preserve"> possible </w:t>
      </w:r>
      <w:r w:rsidRPr="00B2690C">
        <w:rPr>
          <w:rStyle w:val="StyleUnderline"/>
          <w:bCs/>
          <w:highlight w:val="yellow"/>
        </w:rPr>
        <w:t>in any</w:t>
      </w:r>
      <w:r w:rsidRPr="00B2690C">
        <w:rPr>
          <w:rStyle w:val="Style13ptBold"/>
          <w:sz w:val="12"/>
        </w:rPr>
        <w:t xml:space="preserve"> kind of possible </w:t>
      </w:r>
      <w:r w:rsidRPr="00B2690C">
        <w:rPr>
          <w:rStyle w:val="StyleUnderline"/>
          <w:bCs/>
          <w:highlight w:val="yellow"/>
        </w:rPr>
        <w:t>world.</w:t>
      </w:r>
      <w:r w:rsidRPr="00B2690C">
        <w:rPr>
          <w:sz w:val="12"/>
        </w:rPr>
        <w:t xml:space="preserve"> The concept contains the seeds of its own destruction.</w:t>
      </w:r>
      <w:r w:rsidRPr="00B2690C">
        <w:rPr>
          <w:sz w:val="16"/>
        </w:rPr>
        <w:t>.</w:t>
      </w:r>
    </w:p>
    <w:p w14:paraId="563C9221" w14:textId="77777777" w:rsidR="00CB7E68" w:rsidRPr="005F5C46" w:rsidRDefault="00CB7E68" w:rsidP="00CB7E68"/>
    <w:p w14:paraId="6CBEE51C" w14:textId="77777777" w:rsidR="00CB7E68" w:rsidRDefault="00CB7E68" w:rsidP="00CB7E68">
      <w:pPr>
        <w:pStyle w:val="Heading1"/>
      </w:pPr>
      <w:r>
        <w:lastRenderedPageBreak/>
        <w:t>2</w:t>
      </w:r>
    </w:p>
    <w:p w14:paraId="72685D4D" w14:textId="77777777" w:rsidR="00CB7E68" w:rsidRPr="007821C8" w:rsidRDefault="00CB7E68" w:rsidP="00CB7E68">
      <w:pPr>
        <w:pStyle w:val="Heading4"/>
      </w:pPr>
      <w:r>
        <w:t>Being non-alienated is a side constraint on the aff fwk: Only way to evaluate non-natural properties is through our relations</w:t>
      </w:r>
    </w:p>
    <w:p w14:paraId="28D0562D" w14:textId="77777777" w:rsidR="00CB7E68" w:rsidRDefault="00CB7E68" w:rsidP="00CB7E68">
      <w:pPr>
        <w:pStyle w:val="Heading4"/>
      </w:pPr>
      <w:r>
        <w:t>Our functional capacity of willing and taking actions is mediated by social roles – as the authentic self is inexplicably linked to the self that engages in social communities with others through duplication. Understanding the functionality of the will is impossible in a vacuum.</w:t>
      </w:r>
    </w:p>
    <w:p w14:paraId="5B86B1EC" w14:textId="77777777" w:rsidR="00CB7E68" w:rsidRDefault="00CB7E68" w:rsidP="00CB7E68">
      <w:pPr>
        <w:pStyle w:val="Heading4"/>
        <w:rPr>
          <w:sz w:val="12"/>
        </w:rPr>
      </w:pPr>
      <w:r w:rsidRPr="001E2719">
        <w:rPr>
          <w:u w:val="single"/>
        </w:rPr>
        <w:t xml:space="preserve">Jaeggi </w:t>
      </w:r>
      <w:r>
        <w:rPr>
          <w:u w:val="single"/>
        </w:rPr>
        <w:t>1</w:t>
      </w:r>
      <w:r w:rsidRPr="001E2719">
        <w:rPr>
          <w:u w:val="single"/>
        </w:rPr>
        <w:t>,</w:t>
      </w:r>
      <w:r>
        <w:t xml:space="preserve"> </w:t>
      </w:r>
      <w:r w:rsidRPr="00F66C4E">
        <w:rPr>
          <w:sz w:val="12"/>
          <w:szCs w:val="12"/>
        </w:rPr>
        <w:t>Jaeggi, Rahel. “Alienation.” Columbia University Press, cup.columbia.edu/book/alienation/</w:t>
      </w:r>
      <w:r>
        <w:rPr>
          <w:sz w:val="12"/>
          <w:szCs w:val="12"/>
        </w:rPr>
        <w:t>//Scopa.</w:t>
      </w:r>
      <w:r>
        <w:t xml:space="preserve"> </w:t>
      </w:r>
      <w:r w:rsidRPr="001E2719">
        <w:rPr>
          <w:sz w:val="12"/>
        </w:rPr>
        <w:t xml:space="preserve">The positions of both authors can be reduced to the following common denominator: </w:t>
      </w:r>
      <w:r w:rsidRPr="00601458">
        <w:rPr>
          <w:highlight w:val="green"/>
          <w:u w:val="single"/>
        </w:rPr>
        <w:t>roles are less alienating than constitutive for the development of persons</w:t>
      </w:r>
      <w:r w:rsidRPr="007031D2">
        <w:rPr>
          <w:u w:val="single"/>
        </w:rPr>
        <w:t xml:space="preserve"> and personality</w:t>
      </w:r>
      <w:r w:rsidRPr="001E2719">
        <w:rPr>
          <w:sz w:val="12"/>
        </w:rPr>
        <w:t>.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601458">
        <w:rPr>
          <w:highlight w:val="green"/>
          <w:u w:val="single"/>
        </w:rPr>
        <w:t>The human</w:t>
      </w:r>
      <w:r w:rsidRPr="00C442F5">
        <w:rPr>
          <w:u w:val="single"/>
        </w:rPr>
        <w:t xml:space="preserve"> being </w:t>
      </w:r>
      <w:r w:rsidRPr="00601458">
        <w:rPr>
          <w:highlight w:val="green"/>
          <w:u w:val="single"/>
        </w:rPr>
        <w:t>is always</w:t>
      </w:r>
      <w:r w:rsidRPr="001E2719">
        <w:rPr>
          <w:sz w:val="12"/>
        </w:rPr>
        <w:t xml:space="preserve"> himself only in </w:t>
      </w:r>
      <w:r w:rsidRPr="00C442F5">
        <w:rPr>
          <w:u w:val="single"/>
        </w:rPr>
        <w:t>‘</w:t>
      </w:r>
      <w:r w:rsidRPr="00601458">
        <w:rPr>
          <w:highlight w:val="green"/>
          <w:u w:val="single"/>
        </w:rPr>
        <w:t>doubling’ in relation to a role</w:t>
      </w:r>
      <w:r w:rsidRPr="00C442F5">
        <w:rPr>
          <w:u w:val="single"/>
        </w:rPr>
        <w:t xml:space="preserve"> </w:t>
      </w:r>
      <w:r w:rsidRPr="001E2719">
        <w:rPr>
          <w:sz w:val="12"/>
        </w:rPr>
        <w:t xml:space="preserve">figure he can experience. Also, all that he sees as comprising his authenticity is but the role he plays before himself and others.22 </w:t>
      </w:r>
      <w:r w:rsidRPr="00C442F5">
        <w:rPr>
          <w:u w:val="single"/>
        </w:rPr>
        <w:t>Roles</w:t>
      </w:r>
      <w:r w:rsidRPr="001E2719">
        <w:rPr>
          <w:sz w:val="12"/>
        </w:rPr>
        <w:t xml:space="preserve"> on this view </w:t>
      </w:r>
      <w:r w:rsidRPr="00C442F5">
        <w:rPr>
          <w:u w:val="single"/>
        </w:rPr>
        <w:t xml:space="preserve">are </w:t>
      </w:r>
      <w:r w:rsidRPr="00601458">
        <w:rPr>
          <w:u w:val="single"/>
        </w:rPr>
        <w:t xml:space="preserve">not only necessary in order </w:t>
      </w:r>
      <w:r w:rsidRPr="00601458">
        <w:rPr>
          <w:highlight w:val="green"/>
          <w:u w:val="single"/>
        </w:rPr>
        <w:t>to make social interaction possible</w:t>
      </w:r>
      <w:r w:rsidRPr="001E2719">
        <w:rPr>
          <w:sz w:val="12"/>
        </w:rPr>
        <w:t xml:space="preserve">, whether this be a “being together” of individuals or a benign “passing each other by;” </w:t>
      </w:r>
      <w:r w:rsidRPr="00601458">
        <w:rPr>
          <w:highlight w:val="green"/>
          <w:u w:val="single"/>
        </w:rPr>
        <w:t>interaction</w:t>
      </w:r>
      <w:r w:rsidRPr="00C442F5">
        <w:rPr>
          <w:u w:val="single"/>
        </w:rPr>
        <w:t xml:space="preserve"> mediated by roles </w:t>
      </w:r>
      <w:r w:rsidRPr="00601458">
        <w:rPr>
          <w:highlight w:val="green"/>
          <w:u w:val="single"/>
        </w:rPr>
        <w:t>is</w:t>
      </w:r>
      <w:r w:rsidRPr="00C442F5">
        <w:rPr>
          <w:u w:val="single"/>
        </w:rPr>
        <w:t xml:space="preserve"> also </w:t>
      </w:r>
      <w:r w:rsidRPr="00601458">
        <w:rPr>
          <w:highlight w:val="green"/>
          <w:u w:val="single"/>
        </w:rPr>
        <w:t>constitutive of an individual’s relation to herself</w:t>
      </w:r>
      <w:r w:rsidRPr="001E2719">
        <w:rPr>
          <w:sz w:val="12"/>
        </w:rPr>
        <w:t xml:space="preserve">. </w:t>
      </w:r>
    </w:p>
    <w:p w14:paraId="59647FB4" w14:textId="77777777" w:rsidR="00CB7E68" w:rsidRDefault="00CB7E68" w:rsidP="00CB7E68">
      <w:pPr>
        <w:pStyle w:val="Heading4"/>
        <w:rPr>
          <w:sz w:val="12"/>
        </w:rPr>
      </w:pPr>
      <w:r>
        <w:t xml:space="preserve">This culminates in the act of appropriation – the ability to view yourself as a practical agent capable of taking up a project that actively changes your own subject and the role itself. </w:t>
      </w:r>
      <w:r w:rsidRPr="001E2719">
        <w:rPr>
          <w:u w:val="single"/>
        </w:rPr>
        <w:t xml:space="preserve">Jaeggi </w:t>
      </w:r>
      <w:r>
        <w:rPr>
          <w:u w:val="single"/>
        </w:rPr>
        <w:t>2</w:t>
      </w:r>
      <w:r w:rsidRPr="001E2719">
        <w:rPr>
          <w:u w:val="single"/>
        </w:rPr>
        <w:t>,</w:t>
      </w:r>
      <w:r>
        <w:t xml:space="preserve"> </w:t>
      </w:r>
      <w:r w:rsidRPr="00F66C4E">
        <w:rPr>
          <w:sz w:val="12"/>
          <w:szCs w:val="12"/>
        </w:rPr>
        <w:t>Jaeggi, Rahel. “Alienation.” Columbia University Press, cup.columbia.edu/book/alienation/</w:t>
      </w:r>
      <w:r>
        <w:rPr>
          <w:sz w:val="12"/>
          <w:szCs w:val="12"/>
        </w:rPr>
        <w:t>//Scopa.</w:t>
      </w:r>
      <w:r>
        <w:t xml:space="preserve"> </w:t>
      </w:r>
      <w:r w:rsidRPr="00652F63">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4F5F6D">
        <w:rPr>
          <w:highlight w:val="green"/>
          <w:u w:val="single"/>
        </w:rPr>
        <w:t>In contrast to merely theoretical insight</w:t>
      </w:r>
      <w:r w:rsidRPr="0007544B">
        <w:rPr>
          <w:u w:val="single"/>
        </w:rPr>
        <w:t xml:space="preserve"> into some issue, </w:t>
      </w:r>
      <w:r w:rsidRPr="004F5F6D">
        <w:rPr>
          <w:highlight w:val="green"/>
          <w:u w:val="single"/>
        </w:rPr>
        <w:t>appropriation</w:t>
      </w:r>
      <w:r w:rsidRPr="00652F63">
        <w:rPr>
          <w:sz w:val="12"/>
        </w:rPr>
        <w:t>—comparable to the psychoanalytic process of “working through”—</w:t>
      </w:r>
      <w:r w:rsidRPr="004F5F6D">
        <w:rPr>
          <w:highlight w:val="green"/>
          <w:u w:val="single"/>
        </w:rPr>
        <w:t>means</w:t>
      </w:r>
      <w:r w:rsidRPr="0007544B">
        <w:rPr>
          <w:u w:val="single"/>
        </w:rPr>
        <w:t xml:space="preserve"> that one can “deal with” what one knows, that it stands at one’s disposal as knowledge and that </w:t>
      </w:r>
      <w:r w:rsidRPr="004F5F6D">
        <w:rPr>
          <w:highlight w:val="green"/>
          <w:u w:val="single"/>
        </w:rPr>
        <w:t>one really and practically has command over it</w:t>
      </w:r>
      <w:r w:rsidRPr="00652F63">
        <w:rPr>
          <w:sz w:val="12"/>
        </w:rPr>
        <w:t xml:space="preserve">. And appropriating a role means more than being able to fill it: one is, we could say, identified with it. Something that we appropriate does not remain external to ourselves. </w:t>
      </w:r>
      <w:r w:rsidRPr="004F5F6D">
        <w:rPr>
          <w:highlight w:val="green"/>
          <w:u w:val="single"/>
        </w:rPr>
        <w:t>In making something our own, it becomes a part of ourselves</w:t>
      </w:r>
      <w:r w:rsidRPr="00652F63">
        <w:rPr>
          <w:sz w:val="12"/>
        </w:rPr>
        <w:t xml:space="preserve"> in a certain respect. This suggests a kind of introjection and a mixing of oneself with the objects of appropriation. </w:t>
      </w:r>
      <w:r w:rsidRPr="0007544B">
        <w:rPr>
          <w:u w:val="single"/>
        </w:rPr>
        <w:t>It also evokes the idea of productively and formatively interacting with what one makes one’s own</w:t>
      </w:r>
      <w:r w:rsidRPr="00652F63">
        <w:rPr>
          <w:sz w:val="12"/>
        </w:rPr>
        <w:t xml:space="preserve">. Appropriation does not leave what is appropriated unchanged. </w:t>
      </w:r>
      <w:r w:rsidRPr="0007544B">
        <w:rPr>
          <w:u w:val="single"/>
        </w:rPr>
        <w:t xml:space="preserve">This is why the </w:t>
      </w:r>
      <w:r w:rsidRPr="004F5F6D">
        <w:rPr>
          <w:highlight w:val="green"/>
          <w:u w:val="single"/>
        </w:rPr>
        <w:t>appropriation of public spaces</w:t>
      </w:r>
      <w:r w:rsidRPr="0007544B">
        <w:rPr>
          <w:u w:val="single"/>
        </w:rPr>
        <w:t xml:space="preserve">, for example, </w:t>
      </w:r>
      <w:r w:rsidRPr="004F5F6D">
        <w:rPr>
          <w:highlight w:val="green"/>
          <w:u w:val="single"/>
        </w:rPr>
        <w:t>means more than that one uses them. We make them our own by making a mark on them through what we do in and with them</w:t>
      </w:r>
      <w:r w:rsidRPr="00652F63">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07544B">
        <w:rPr>
          <w:u w:val="single"/>
        </w:rPr>
        <w:t xml:space="preserve">In a process of appropriation </w:t>
      </w:r>
      <w:r w:rsidRPr="004F5F6D">
        <w:rPr>
          <w:highlight w:val="green"/>
          <w:u w:val="single"/>
        </w:rPr>
        <w:t>both what is appropriated and the appropriator are transformed</w:t>
      </w:r>
      <w:r w:rsidRPr="00652F63">
        <w:rPr>
          <w:sz w:val="12"/>
        </w:rPr>
        <w:t>.</w:t>
      </w:r>
    </w:p>
    <w:p w14:paraId="7F83F57A" w14:textId="77777777" w:rsidR="00CB7E68" w:rsidRDefault="00CB7E68" w:rsidP="00CB7E68">
      <w:pPr>
        <w:pStyle w:val="Heading4"/>
        <w:rPr>
          <w:rFonts w:cs="Calibri"/>
        </w:rPr>
      </w:pPr>
      <w:r w:rsidRPr="00111D1F">
        <w:rPr>
          <w:rFonts w:cs="Calibri"/>
        </w:rPr>
        <w:lastRenderedPageBreak/>
        <w:t xml:space="preserve">Thus, the </w:t>
      </w:r>
      <w:r>
        <w:rPr>
          <w:rFonts w:cs="Calibri"/>
        </w:rPr>
        <w:t xml:space="preserve">side-constraint </w:t>
      </w:r>
      <w:r w:rsidRPr="00111D1F">
        <w:rPr>
          <w:rFonts w:cs="Calibri"/>
        </w:rPr>
        <w:t>is consistency with non-alienated relations.</w:t>
      </w:r>
    </w:p>
    <w:p w14:paraId="046D4867" w14:textId="77777777" w:rsidR="00CB7E68" w:rsidRDefault="00CB7E68" w:rsidP="00CB7E68">
      <w:pPr>
        <w:pStyle w:val="Heading4"/>
        <w:rPr>
          <w:rFonts w:cs="Calibri"/>
        </w:rPr>
      </w:pPr>
      <w:r>
        <w:rPr>
          <w:rFonts w:cs="Calibri"/>
        </w:rPr>
        <w:t xml:space="preserve">Prefer – </w:t>
      </w:r>
    </w:p>
    <w:p w14:paraId="6F7F4D4A" w14:textId="77777777" w:rsidR="00CB7E68" w:rsidRDefault="00CB7E68" w:rsidP="00CB7E68">
      <w:pPr>
        <w:pStyle w:val="Heading4"/>
      </w:pPr>
      <w:r>
        <w:rPr>
          <w:rFonts w:cs="Calibri"/>
        </w:rPr>
        <w:t xml:space="preserve">1. </w:t>
      </w:r>
      <w:r>
        <w:t xml:space="preserve">Performativity –  Every exercise you engage in is an instance of using your volition to establish some relation to the world and only non-alienation can establish that relationship as normatively legitimate. </w:t>
      </w:r>
    </w:p>
    <w:p w14:paraId="01C500BB" w14:textId="77777777" w:rsidR="00CB7E68" w:rsidRDefault="00CB7E68" w:rsidP="00CB7E68">
      <w:pPr>
        <w:pStyle w:val="Heading4"/>
        <w:rPr>
          <w:rFonts w:cs="Calibri"/>
        </w:rPr>
      </w:pPr>
      <w:r>
        <w:rPr>
          <w:rFonts w:cs="Calibri"/>
        </w:rPr>
        <w:t xml:space="preserve">2. </w:t>
      </w:r>
      <w:r w:rsidRPr="00111D1F">
        <w:rPr>
          <w:rFonts w:cs="Calibri"/>
        </w:rPr>
        <w:t xml:space="preserve">Action theory – </w:t>
      </w:r>
      <w:r>
        <w:rPr>
          <w:rFonts w:cs="Calibri"/>
        </w:rPr>
        <w:t>O</w:t>
      </w:r>
      <w:r w:rsidRPr="00111D1F">
        <w:rPr>
          <w:rFonts w:cs="Calibri"/>
        </w:rPr>
        <w:t>nly viewing an agent as an active body capable of generating intentions can hold agents culpable and decipher the difference between actions and wishes.</w:t>
      </w:r>
      <w:r>
        <w:rPr>
          <w:rFonts w:cs="Calibri"/>
        </w:rPr>
        <w:t xml:space="preserve"> That’s a necessary feature of ethics since we must be able to warrant a coherent conception of what motivates our actions in order to provide a method to actually implement ethical principles. </w:t>
      </w:r>
    </w:p>
    <w:p w14:paraId="7DB9A852" w14:textId="77777777" w:rsidR="00CB7E68" w:rsidRPr="00B82862" w:rsidRDefault="00CB7E68" w:rsidP="00CB7E68">
      <w:pPr>
        <w:pStyle w:val="Heading4"/>
        <w:rPr>
          <w:rFonts w:cs="Calibri"/>
        </w:rPr>
      </w:pPr>
      <w:r>
        <w:rPr>
          <w:rFonts w:cs="Calibri"/>
        </w:rPr>
        <w:t xml:space="preserve">3. Epistemology – Only an understanding of appropriation can unify the distinction between theoretical and practical knowledge. Theoretical abstract concepts like 2+2=4 are true and necessary, but can only become useful once explained in context of how they actualize in the world through our intentions. That means absent an explanation of how that knowledge mixes with the world around us, it becomes useless. </w:t>
      </w:r>
    </w:p>
    <w:p w14:paraId="567B604E" w14:textId="77777777" w:rsidR="00CB7E68" w:rsidRPr="00E52DF6" w:rsidRDefault="00CB7E68" w:rsidP="00CB7E68">
      <w:pPr>
        <w:pStyle w:val="Heading4"/>
        <w:rPr>
          <w:rFonts w:cs="Calibri"/>
        </w:rPr>
      </w:pPr>
      <w:r>
        <w:rPr>
          <w:rFonts w:cs="Calibri"/>
        </w:rPr>
        <w:t xml:space="preserve">I contend that member nations of the WTO ought not reduce intellectual property protections for medicine. </w:t>
      </w:r>
    </w:p>
    <w:p w14:paraId="562A6D52" w14:textId="77777777" w:rsidR="00CB7E68" w:rsidRPr="00F43DE3" w:rsidRDefault="00CB7E68" w:rsidP="00CB7E68">
      <w:pPr>
        <w:pStyle w:val="Heading4"/>
        <w:rPr>
          <w:rFonts w:eastAsiaTheme="minorHAnsi" w:cs="Calibri"/>
        </w:rPr>
      </w:pPr>
      <w:r w:rsidRPr="00F43DE3">
        <w:rPr>
          <w:rFonts w:eastAsiaTheme="minorHAnsi" w:cs="Calibri"/>
        </w:rPr>
        <w:t xml:space="preserve">[1] Intellectual property is a self-expression of the subject. When it’s used in a way that doesn’t reflect the framer’s intent, it is alienating. </w:t>
      </w:r>
    </w:p>
    <w:p w14:paraId="34B0CC97" w14:textId="77777777" w:rsidR="00CB7E68" w:rsidRPr="00F43DE3" w:rsidRDefault="00CB7E68" w:rsidP="00CB7E68">
      <w:pPr>
        <w:rPr>
          <w:rFonts w:eastAsiaTheme="minorHAnsi"/>
        </w:rPr>
      </w:pPr>
      <w:r w:rsidRPr="00F43DE3">
        <w:rPr>
          <w:rFonts w:eastAsiaTheme="minorHAnsi"/>
          <w:sz w:val="18"/>
          <w:szCs w:val="18"/>
        </w:rPr>
        <w:t>Justin</w:t>
      </w:r>
      <w:r w:rsidRPr="00F43DE3">
        <w:rPr>
          <w:rFonts w:eastAsiaTheme="minorHAnsi"/>
        </w:rPr>
        <w:t xml:space="preserve"> </w:t>
      </w:r>
      <w:r w:rsidRPr="00F43DE3">
        <w:rPr>
          <w:rStyle w:val="Heading4Char"/>
          <w:rFonts w:cs="Calibri"/>
        </w:rPr>
        <w:t>Hughes 98</w:t>
      </w:r>
      <w:r w:rsidRPr="00F43DE3">
        <w:t xml:space="preserve">,  </w:t>
      </w:r>
      <w:r w:rsidRPr="00F43DE3">
        <w:rPr>
          <w:rFonts w:eastAsiaTheme="minorHAnsi"/>
          <w:sz w:val="18"/>
          <w:szCs w:val="18"/>
        </w:rPr>
        <w:t>"The Philosophy of Intellectual Property," 77 Georgetown L.J. 287, 330-350 (1988) [https://cyber.harvard.edu/IPCoop/88hugh2.html] AHS//MAK</w:t>
      </w:r>
      <w:r>
        <w:rPr>
          <w:rFonts w:eastAsiaTheme="minorHAnsi"/>
          <w:sz w:val="18"/>
          <w:szCs w:val="18"/>
        </w:rPr>
        <w:t xml:space="preserve"> recut emi</w:t>
      </w:r>
      <w:r w:rsidRPr="00F43DE3">
        <w:rPr>
          <w:rFonts w:eastAsiaTheme="minorHAnsi"/>
          <w:sz w:val="18"/>
          <w:szCs w:val="18"/>
        </w:rPr>
        <w:t xml:space="preserve"> Accessed 8/10/21</w:t>
      </w:r>
      <w:r w:rsidRPr="00F43DE3">
        <w:rPr>
          <w:rFonts w:eastAsiaTheme="minorHAnsi"/>
        </w:rPr>
        <w:t xml:space="preserve"> </w:t>
      </w:r>
    </w:p>
    <w:p w14:paraId="7DA5829C" w14:textId="77777777" w:rsidR="00CB7E68" w:rsidRPr="00F43DE3" w:rsidRDefault="00CB7E68" w:rsidP="00CB7E68">
      <w:pPr>
        <w:rPr>
          <w:color w:val="000000" w:themeColor="text1"/>
          <w:sz w:val="8"/>
        </w:rPr>
      </w:pPr>
      <w:r w:rsidRPr="00F43DE3">
        <w:rPr>
          <w:rFonts w:eastAsia="Times New Roman"/>
          <w:color w:val="202124"/>
          <w:sz w:val="8"/>
          <w:szCs w:val="20"/>
          <w:shd w:val="clear" w:color="auto" w:fill="FFFFFF"/>
        </w:rPr>
        <w:t>"On the Hegelian perspective</w:t>
      </w:r>
      <w:r w:rsidRPr="00F43DE3">
        <w:rPr>
          <w:rFonts w:eastAsia="Times New Roman"/>
          <w:color w:val="202124"/>
          <w:sz w:val="8"/>
          <w:szCs w:val="20"/>
          <w:highlight w:val="yellow"/>
          <w:shd w:val="clear" w:color="auto" w:fill="FFFFFF"/>
        </w:rPr>
        <w:t xml:space="preserve">, </w:t>
      </w:r>
      <w:r w:rsidRPr="00F43DE3">
        <w:rPr>
          <w:rStyle w:val="StyleUnderline"/>
          <w:highlight w:val="yellow"/>
        </w:rPr>
        <w:t>payments from intellectual property users to the property creator are acts of recognition</w:t>
      </w:r>
      <w:r w:rsidRPr="00F43DE3">
        <w:rPr>
          <w:rFonts w:eastAsia="Times New Roman"/>
          <w:color w:val="202124"/>
          <w:sz w:val="8"/>
          <w:szCs w:val="20"/>
          <w:shd w:val="clear" w:color="auto" w:fill="FFFFFF"/>
        </w:rPr>
        <w:t xml:space="preserve">." </w:t>
      </w:r>
      <w:r w:rsidRPr="00F43DE3">
        <w:rPr>
          <w:sz w:val="8"/>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F43DE3">
        <w:rPr>
          <w:rStyle w:val="StyleUnderline"/>
          <w:sz w:val="12"/>
        </w:rPr>
        <w:t>is from the legal point of view</w:t>
      </w:r>
      <w:r w:rsidRPr="00F43DE3">
        <w:rPr>
          <w:sz w:val="8"/>
        </w:rPr>
        <w:t xml:space="preserve"> in possession of his art, erudition, ability to preach a sermon, sing a mass, &amp;c., that is, whether such attainments are "things." </w:t>
      </w:r>
      <w:r w:rsidRPr="00F43DE3">
        <w:rPr>
          <w:rStyle w:val="StyleUnderline"/>
          <w:sz w:val="8"/>
        </w:rPr>
        <w:t>We may hesitate to call</w:t>
      </w:r>
      <w:r w:rsidRPr="00F43DE3">
        <w:rPr>
          <w:sz w:val="8"/>
        </w:rPr>
        <w:t xml:space="preserve"> such </w:t>
      </w:r>
      <w:r w:rsidRPr="00F43DE3">
        <w:rPr>
          <w:rStyle w:val="StyleUnderline"/>
          <w:sz w:val="8"/>
        </w:rPr>
        <w:t>abilities, attainments, aptitudes</w:t>
      </w:r>
      <w:r w:rsidRPr="00F43DE3">
        <w:rPr>
          <w:sz w:val="8"/>
        </w:rPr>
        <w:t xml:space="preserve">, &amp;c., </w:t>
      </w:r>
      <w:r w:rsidRPr="00F43DE3">
        <w:rPr>
          <w:rStyle w:val="StyleUnderline"/>
          <w:sz w:val="8"/>
        </w:rPr>
        <w:t>"things," for</w:t>
      </w:r>
      <w:r w:rsidRPr="00F43DE3">
        <w:rPr>
          <w:sz w:val="8"/>
        </w:rPr>
        <w:t xml:space="preserve"> while </w:t>
      </w:r>
      <w:r w:rsidRPr="00F43DE3">
        <w:rPr>
          <w:rStyle w:val="StyleUnderline"/>
          <w:sz w:val="8"/>
        </w:rPr>
        <w:t>possession</w:t>
      </w:r>
      <w:r w:rsidRPr="00F43DE3">
        <w:rPr>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 . . . n205</w:t>
      </w:r>
      <w:r w:rsidRPr="00F43DE3">
        <w:rPr>
          <w:b/>
          <w:bCs/>
          <w:sz w:val="8"/>
        </w:rPr>
        <w:t xml:space="preserve">. </w:t>
      </w:r>
      <w:r w:rsidRPr="00F43DE3">
        <w:rPr>
          <w:rStyle w:val="StyleUnderline"/>
          <w:color w:val="000000" w:themeColor="text1"/>
          <w:highlight w:val="yellow"/>
        </w:rPr>
        <w:t>Intellectual property provides a way out</w:t>
      </w:r>
      <w:r w:rsidRPr="00F43DE3">
        <w:rPr>
          <w:rStyle w:val="StyleUnderline"/>
          <w:color w:val="000000" w:themeColor="text1"/>
        </w:rPr>
        <w:t xml:space="preserve"> </w:t>
      </w:r>
      <w:r w:rsidRPr="00F43DE3">
        <w:rPr>
          <w:rStyle w:val="StyleUnderline"/>
          <w:color w:val="000000" w:themeColor="text1"/>
          <w:sz w:val="8"/>
        </w:rPr>
        <w:t>of this problem</w:t>
      </w:r>
      <w:r w:rsidRPr="00F43DE3">
        <w:rPr>
          <w:rStyle w:val="StyleUnderline"/>
          <w:color w:val="000000" w:themeColor="text1"/>
          <w:highlight w:val="yellow"/>
        </w:rPr>
        <w:t>, by "materializing"</w:t>
      </w:r>
      <w:r w:rsidRPr="00F43DE3">
        <w:rPr>
          <w:rStyle w:val="StyleUnderline"/>
          <w:color w:val="000000" w:themeColor="text1"/>
          <w:sz w:val="8"/>
        </w:rPr>
        <w:t xml:space="preserve"> these </w:t>
      </w:r>
      <w:r w:rsidRPr="00F43DE3">
        <w:rPr>
          <w:rStyle w:val="StyleUnderline"/>
          <w:color w:val="000000" w:themeColor="text1"/>
          <w:highlight w:val="yellow"/>
        </w:rPr>
        <w:t>personal traits</w:t>
      </w:r>
      <w:r w:rsidRPr="00F43DE3">
        <w:rPr>
          <w:rStyle w:val="StyleUnderline"/>
          <w:color w:val="000000" w:themeColor="text1"/>
          <w:sz w:val="8"/>
          <w:highlight w:val="yellow"/>
        </w:rPr>
        <w:t>.</w:t>
      </w:r>
      <w:r w:rsidRPr="00F43DE3">
        <w:rPr>
          <w:b/>
          <w:bCs/>
          <w:color w:val="000000" w:themeColor="text1"/>
          <w:sz w:val="8"/>
        </w:rPr>
        <w:t xml:space="preserve"> </w:t>
      </w:r>
      <w:r w:rsidRPr="00F43DE3">
        <w:rPr>
          <w:rStyle w:val="StyleUnderline"/>
          <w:color w:val="000000" w:themeColor="text1"/>
          <w:sz w:val="8"/>
        </w:rPr>
        <w:t>Hegel goes on to say that</w:t>
      </w:r>
      <w:r w:rsidRPr="00F43DE3">
        <w:rPr>
          <w:rStyle w:val="StyleUnderline"/>
          <w:color w:val="000000" w:themeColor="text1"/>
        </w:rPr>
        <w:t xml:space="preserve"> </w:t>
      </w:r>
      <w:r w:rsidRPr="00F43DE3">
        <w:rPr>
          <w:rStyle w:val="StyleUnderline"/>
          <w:color w:val="000000" w:themeColor="text1"/>
          <w:highlight w:val="yellow"/>
        </w:rPr>
        <w:t>"[a]ttainments, eruditions, talents</w:t>
      </w:r>
      <w:r w:rsidRPr="00F43DE3">
        <w:rPr>
          <w:color w:val="000000" w:themeColor="text1"/>
          <w:sz w:val="8"/>
        </w:rPr>
        <w:t>, and so forth,</w:t>
      </w:r>
      <w:r w:rsidRPr="00F43DE3">
        <w:rPr>
          <w:rStyle w:val="StyleUnderline"/>
          <w:color w:val="000000" w:themeColor="text1"/>
        </w:rPr>
        <w:t xml:space="preserve"> </w:t>
      </w:r>
      <w:r w:rsidRPr="00F43DE3">
        <w:rPr>
          <w:rStyle w:val="StyleUnderline"/>
          <w:color w:val="000000" w:themeColor="text1"/>
          <w:highlight w:val="yellow"/>
        </w:rPr>
        <w:t>are,</w:t>
      </w:r>
      <w:r w:rsidRPr="00F43DE3">
        <w:rPr>
          <w:rStyle w:val="StyleUnderline"/>
          <w:color w:val="000000" w:themeColor="text1"/>
        </w:rPr>
        <w:t xml:space="preserve"> </w:t>
      </w:r>
      <w:r w:rsidRPr="00F43DE3">
        <w:rPr>
          <w:color w:val="000000" w:themeColor="text1"/>
          <w:sz w:val="8"/>
        </w:rPr>
        <w:t>of course,</w:t>
      </w:r>
      <w:r w:rsidRPr="00F43DE3">
        <w:rPr>
          <w:rStyle w:val="StyleUnderline"/>
          <w:color w:val="000000" w:themeColor="text1"/>
        </w:rPr>
        <w:t xml:space="preserve"> </w:t>
      </w:r>
      <w:r w:rsidRPr="00F43DE3">
        <w:rPr>
          <w:rStyle w:val="StyleUnderline"/>
          <w:color w:val="000000" w:themeColor="text1"/>
          <w:highlight w:val="yellow"/>
        </w:rPr>
        <w:t>owned by free mind and</w:t>
      </w:r>
      <w:r w:rsidRPr="00F43DE3">
        <w:rPr>
          <w:rStyle w:val="StyleUnderline"/>
          <w:color w:val="000000" w:themeColor="text1"/>
        </w:rPr>
        <w:t xml:space="preserve"> </w:t>
      </w:r>
      <w:r w:rsidRPr="00F43DE3">
        <w:rPr>
          <w:color w:val="000000" w:themeColor="text1"/>
          <w:sz w:val="8"/>
        </w:rPr>
        <w:t>are something</w:t>
      </w:r>
      <w:r w:rsidRPr="00F43DE3">
        <w:rPr>
          <w:rStyle w:val="StyleUnderline"/>
          <w:color w:val="000000" w:themeColor="text1"/>
        </w:rPr>
        <w:t xml:space="preserve"> </w:t>
      </w:r>
      <w:r w:rsidRPr="00F43DE3">
        <w:rPr>
          <w:rStyle w:val="StyleUnderline"/>
          <w:color w:val="000000" w:themeColor="text1"/>
          <w:highlight w:val="yellow"/>
        </w:rPr>
        <w:t>interna</w:t>
      </w:r>
      <w:r w:rsidRPr="00F43DE3">
        <w:rPr>
          <w:rStyle w:val="StyleUnderline"/>
          <w:color w:val="000000" w:themeColor="text1"/>
        </w:rPr>
        <w:t>l</w:t>
      </w:r>
      <w:r w:rsidRPr="00F43DE3">
        <w:rPr>
          <w:color w:val="000000" w:themeColor="text1"/>
          <w:sz w:val="8"/>
        </w:rPr>
        <w:t xml:space="preserve"> and not external to it, </w:t>
      </w:r>
      <w:r w:rsidRPr="00F43DE3">
        <w:rPr>
          <w:sz w:val="8"/>
        </w:rPr>
        <w:t>but even so, by expressing them it may embody [*338] them in something external and alienate them."  n206.Hegel</w:t>
      </w:r>
      <w:r w:rsidRPr="00F43DE3">
        <w:rPr>
          <w:color w:val="000000" w:themeColor="text1"/>
          <w:sz w:val="8"/>
        </w:rPr>
        <w:t xml:space="preserve"> takes the position that </w:t>
      </w:r>
      <w:r w:rsidRPr="00F43DE3">
        <w:rPr>
          <w:rStyle w:val="StyleUnderline"/>
          <w:highlight w:val="yellow"/>
        </w:rPr>
        <w:t>one cannot alienate or surrender any universal element of one's self</w:t>
      </w:r>
      <w:r w:rsidRPr="00F43DE3">
        <w:rPr>
          <w:color w:val="000000" w:themeColor="text1"/>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F43DE3">
        <w:rPr>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F43DE3">
        <w:rPr>
          <w:rStyle w:val="StyleUnderline"/>
          <w:highlight w:val="yellow"/>
        </w:rPr>
        <w:t>A</w:t>
      </w:r>
      <w:r w:rsidRPr="00F43DE3">
        <w:rPr>
          <w:sz w:val="8"/>
        </w:rPr>
        <w:t xml:space="preserve"> sculptor or </w:t>
      </w:r>
      <w:r w:rsidRPr="00F43DE3">
        <w:rPr>
          <w:rStyle w:val="StyleUnderline"/>
          <w:highlight w:val="yellow"/>
        </w:rPr>
        <w:t>painter physically embodies his will in</w:t>
      </w:r>
      <w:r w:rsidRPr="00F43DE3">
        <w:rPr>
          <w:sz w:val="8"/>
        </w:rPr>
        <w:t xml:space="preserve"> the medium and produces one</w:t>
      </w:r>
      <w:r w:rsidRPr="00F43DE3">
        <w:rPr>
          <w:rStyle w:val="StyleUnderline"/>
        </w:rPr>
        <w:t xml:space="preserve"> </w:t>
      </w:r>
      <w:r w:rsidRPr="00F43DE3">
        <w:rPr>
          <w:rStyle w:val="StyleUnderline"/>
          <w:highlight w:val="yellow"/>
        </w:rPr>
        <w:t>piece of art.</w:t>
      </w:r>
      <w:r w:rsidRPr="00F43DE3">
        <w:rPr>
          <w:b/>
          <w:bCs/>
          <w:sz w:val="8"/>
          <w:highlight w:val="yellow"/>
        </w:rPr>
        <w:t xml:space="preserve"> </w:t>
      </w:r>
      <w:r w:rsidRPr="00F43DE3">
        <w:rPr>
          <w:sz w:val="8"/>
        </w:rPr>
        <w:t>When another artist copies this piece Hegel thinks that the hand-made copy "is essentially a product of the copyist's own mental and technical ability" and does not infringe upon the original artist's property. n209 The</w:t>
      </w:r>
      <w:r w:rsidRPr="00F43DE3">
        <w:rPr>
          <w:b/>
          <w:bCs/>
          <w:sz w:val="24"/>
          <w:u w:val="single"/>
        </w:rPr>
        <w:t xml:space="preserve"> </w:t>
      </w:r>
      <w:r w:rsidRPr="00F43DE3">
        <w:rPr>
          <w:b/>
          <w:bCs/>
          <w:sz w:val="24"/>
          <w:highlight w:val="yellow"/>
          <w:u w:val="single"/>
        </w:rPr>
        <w:t xml:space="preserve">problem arises when a creator of intellectual property does not embody </w:t>
      </w:r>
      <w:r w:rsidRPr="00F43DE3">
        <w:rPr>
          <w:rStyle w:val="StyleUnderline"/>
          <w:highlight w:val="yellow"/>
        </w:rPr>
        <w:t xml:space="preserve">his </w:t>
      </w:r>
      <w:r w:rsidRPr="00F43DE3">
        <w:rPr>
          <w:b/>
          <w:bCs/>
          <w:sz w:val="24"/>
          <w:highlight w:val="yellow"/>
          <w:u w:val="single"/>
        </w:rPr>
        <w:t>will in an object</w:t>
      </w:r>
      <w:r w:rsidRPr="00F43DE3">
        <w:rPr>
          <w:sz w:val="24"/>
          <w:highlight w:val="yellow"/>
          <w:u w:val="single"/>
        </w:rPr>
        <w:t xml:space="preserve"> </w:t>
      </w:r>
      <w:r w:rsidRPr="00F43DE3">
        <w:rPr>
          <w:sz w:val="8"/>
        </w:rPr>
        <w:t xml:space="preserve">in </w:t>
      </w:r>
      <w:r w:rsidRPr="00F43DE3">
        <w:rPr>
          <w:b/>
          <w:bCs/>
          <w:sz w:val="24"/>
          <w:highlight w:val="yellow"/>
          <w:u w:val="single"/>
        </w:rPr>
        <w:t>the</w:t>
      </w:r>
      <w:r w:rsidRPr="00F43DE3">
        <w:rPr>
          <w:sz w:val="24"/>
          <w:highlight w:val="yellow"/>
          <w:u w:val="single"/>
        </w:rPr>
        <w:t xml:space="preserve"> </w:t>
      </w:r>
      <w:r w:rsidRPr="00F43DE3">
        <w:rPr>
          <w:sz w:val="8"/>
        </w:rPr>
        <w:t>same</w:t>
      </w:r>
      <w:r w:rsidRPr="00F43DE3">
        <w:rPr>
          <w:sz w:val="24"/>
          <w:highlight w:val="yellow"/>
          <w:u w:val="single"/>
        </w:rPr>
        <w:t xml:space="preserve"> </w:t>
      </w:r>
      <w:r w:rsidRPr="00F43DE3">
        <w:rPr>
          <w:b/>
          <w:bCs/>
          <w:sz w:val="24"/>
          <w:highlight w:val="yellow"/>
          <w:u w:val="single"/>
        </w:rPr>
        <w:t>way the artist does</w:t>
      </w:r>
      <w:r w:rsidRPr="00F43DE3">
        <w:rPr>
          <w:sz w:val="24"/>
          <w:highlight w:val="yellow"/>
          <w:u w:val="single"/>
        </w:rPr>
        <w:t>.</w:t>
      </w:r>
      <w:r w:rsidRPr="00F43DE3">
        <w:rPr>
          <w:sz w:val="8"/>
        </w:rPr>
        <w:t xml:space="preserve"> The writer physically manifests his will only "in a series of abstract symbols" which can be rendered into "things" by mechanical processes not requiring any talent. n210 The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F43DE3">
        <w:rPr>
          <w:rStyle w:val="StyleUnderline"/>
        </w:rPr>
        <w:t xml:space="preserve"> </w:t>
      </w:r>
      <w:r w:rsidRPr="00F43DE3">
        <w:rPr>
          <w:rStyle w:val="StyleUnderline"/>
          <w:highlight w:val="yellow"/>
        </w:rPr>
        <w:t xml:space="preserve">the author keeps </w:t>
      </w:r>
      <w:r w:rsidRPr="00F43DE3">
        <w:rPr>
          <w:sz w:val="8"/>
        </w:rPr>
        <w:t xml:space="preserve">the universal aspect of </w:t>
      </w:r>
      <w:r w:rsidRPr="00F43DE3">
        <w:rPr>
          <w:rStyle w:val="StyleUnderline"/>
          <w:highlight w:val="yellow"/>
        </w:rPr>
        <w:t>expression as his own. The copy sold is for</w:t>
      </w:r>
      <w:r w:rsidRPr="00F43DE3">
        <w:rPr>
          <w:rStyle w:val="StyleUnderline"/>
        </w:rPr>
        <w:t xml:space="preserve"> </w:t>
      </w:r>
      <w:r w:rsidRPr="00F43DE3">
        <w:rPr>
          <w:rStyle w:val="StyleUnderline"/>
          <w:sz w:val="8"/>
        </w:rPr>
        <w:t>the buyer's own</w:t>
      </w:r>
      <w:r w:rsidRPr="00F43DE3">
        <w:rPr>
          <w:rStyle w:val="StyleUnderline"/>
        </w:rPr>
        <w:t xml:space="preserve"> </w:t>
      </w:r>
      <w:r w:rsidRPr="00F43DE3">
        <w:rPr>
          <w:sz w:val="8"/>
        </w:rPr>
        <w:t>consumption; its only purpose is to allow</w:t>
      </w:r>
      <w:r w:rsidRPr="00F43DE3">
        <w:rPr>
          <w:rStyle w:val="StyleUnderline"/>
          <w:highlight w:val="yellow"/>
        </w:rPr>
        <w:t xml:space="preserve"> the buyer to incorporate these ideas into his "self</w:t>
      </w:r>
      <w:r w:rsidRPr="00F43DE3">
        <w:rPr>
          <w:sz w:val="8"/>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F43DE3">
        <w:rPr>
          <w:color w:val="000000" w:themeColor="text1"/>
          <w:sz w:val="8"/>
        </w:rPr>
        <w:t xml:space="preserve"> </w:t>
      </w:r>
    </w:p>
    <w:p w14:paraId="51909EFF" w14:textId="77777777" w:rsidR="00CB7E68" w:rsidRPr="00F43DE3" w:rsidRDefault="00CB7E68" w:rsidP="00CB7E68">
      <w:pPr>
        <w:pStyle w:val="Heading4"/>
        <w:rPr>
          <w:rFonts w:cs="Calibri"/>
        </w:rPr>
      </w:pPr>
      <w:r w:rsidRPr="00F43DE3">
        <w:rPr>
          <w:rFonts w:cs="Calibri"/>
        </w:rPr>
        <w:lastRenderedPageBreak/>
        <w:t xml:space="preserve">[2] IP is key to recognizing agents through the personality in their work. Recognition is necessary for agents to be non-alienated </w:t>
      </w:r>
      <w:r>
        <w:rPr>
          <w:rFonts w:cs="Calibri"/>
        </w:rPr>
        <w:t xml:space="preserve">bc we need to establish relations with the world. </w:t>
      </w:r>
      <w:r w:rsidRPr="00F43DE3">
        <w:rPr>
          <w:rFonts w:cs="Calibri"/>
        </w:rPr>
        <w:t xml:space="preserve"> </w:t>
      </w:r>
    </w:p>
    <w:p w14:paraId="34306E16" w14:textId="77777777" w:rsidR="00CB7E68" w:rsidRPr="00F43DE3" w:rsidRDefault="00CB7E68" w:rsidP="00CB7E68">
      <w:r w:rsidRPr="00F43DE3">
        <w:rPr>
          <w:b/>
          <w:bCs/>
          <w:sz w:val="26"/>
          <w:szCs w:val="26"/>
        </w:rPr>
        <w:t xml:space="preserve">Hughes </w:t>
      </w:r>
      <w:r>
        <w:rPr>
          <w:b/>
          <w:bCs/>
          <w:sz w:val="26"/>
          <w:szCs w:val="26"/>
        </w:rPr>
        <w:t>2</w:t>
      </w:r>
      <w:r w:rsidRPr="00F43DE3">
        <w:rPr>
          <w:b/>
          <w:bCs/>
          <w:sz w:val="26"/>
          <w:szCs w:val="26"/>
        </w:rPr>
        <w:t xml:space="preserve"> -</w:t>
      </w:r>
      <w:r w:rsidRPr="00F43DE3">
        <w:t xml:space="preserve"> "The Philosophy of Intellectual Property," 77 Georgetown L.J. 287, 330-350 (1988)  by Justin Hughes [https://cyber.harvard.edu/IPCoop/88hugh2.html] // ahs emi</w:t>
      </w:r>
    </w:p>
    <w:p w14:paraId="40FC067A" w14:textId="77777777" w:rsidR="00CB7E68" w:rsidRPr="00F43DE3" w:rsidRDefault="00CB7E68" w:rsidP="00CB7E68">
      <w:pPr>
        <w:pStyle w:val="NormalWeb"/>
        <w:rPr>
          <w:rFonts w:ascii="Calibri" w:hAnsi="Calibri" w:cs="Calibri"/>
          <w:color w:val="000000"/>
          <w:sz w:val="12"/>
          <w:szCs w:val="27"/>
        </w:rPr>
      </w:pPr>
      <w:r w:rsidRPr="00F43DE3">
        <w:rPr>
          <w:rFonts w:ascii="Calibri" w:hAnsi="Calibri" w:cs="Calibri"/>
          <w:color w:val="000000"/>
          <w:sz w:val="12"/>
          <w:szCs w:val="27"/>
        </w:rPr>
        <w:t xml:space="preserve">At first blush, this economic rationale seems far removed from the concerns of personality theory, </w:t>
      </w:r>
      <w:hyperlink r:id="rId9" w:anchor="n244" w:history="1">
        <w:r w:rsidRPr="00F43DE3">
          <w:rPr>
            <w:rStyle w:val="Hyperlink"/>
            <w:rFonts w:eastAsiaTheme="majorEastAsia" w:cs="Calibri"/>
            <w:sz w:val="12"/>
            <w:szCs w:val="27"/>
          </w:rPr>
          <w:t>n244</w:t>
        </w:r>
      </w:hyperlink>
      <w:r w:rsidRPr="00F43DE3">
        <w:rPr>
          <w:rFonts w:ascii="Calibri" w:hAnsi="Calibri" w:cs="Calibri"/>
          <w:color w:val="000000"/>
          <w:sz w:val="12"/>
          <w:szCs w:val="27"/>
        </w:rPr>
        <w:t xml:space="preserve"> yet it can be recast into the framework of the personality theory. From the Hegelian perspective, </w:t>
      </w:r>
      <w:r w:rsidRPr="00F43DE3">
        <w:rPr>
          <w:rStyle w:val="StyleUnderline"/>
          <w:rFonts w:eastAsiaTheme="majorEastAsia" w:cs="Calibri"/>
          <w:highlight w:val="yellow"/>
        </w:rPr>
        <w:t>payments from intellectual property users to the property creator are acts of recognition.</w:t>
      </w:r>
      <w:r w:rsidRPr="00F43DE3">
        <w:rPr>
          <w:rFonts w:ascii="Calibri" w:hAnsi="Calibri" w:cs="Calibri"/>
          <w:color w:val="000000"/>
          <w:sz w:val="12"/>
          <w:szCs w:val="27"/>
        </w:rPr>
        <w:t xml:space="preserve"> These </w:t>
      </w:r>
      <w:r w:rsidRPr="00F43DE3">
        <w:rPr>
          <w:rStyle w:val="StyleUnderline"/>
          <w:rFonts w:eastAsiaTheme="majorEastAsia" w:cs="Calibri"/>
        </w:rPr>
        <w:t xml:space="preserve">payments acknowledge the individual's claim over the property, and </w:t>
      </w:r>
      <w:r w:rsidRPr="00F43DE3">
        <w:rPr>
          <w:rStyle w:val="StyleUnderline"/>
          <w:rFonts w:eastAsiaTheme="majorEastAsia" w:cs="Calibri"/>
          <w:highlight w:val="yellow"/>
        </w:rPr>
        <w:t>it is through</w:t>
      </w:r>
      <w:r w:rsidRPr="00F43DE3">
        <w:rPr>
          <w:rStyle w:val="StyleUnderline"/>
          <w:rFonts w:eastAsiaTheme="majorEastAsia" w:cs="Calibri"/>
        </w:rPr>
        <w:t xml:space="preserve"> such </w:t>
      </w:r>
      <w:r w:rsidRPr="00F43DE3">
        <w:rPr>
          <w:rStyle w:val="StyleUnderline"/>
          <w:rFonts w:eastAsiaTheme="majorEastAsia" w:cs="Calibri"/>
          <w:highlight w:val="yellow"/>
        </w:rPr>
        <w:t>acknowledgement that an individual is recognized by others as a person.</w:t>
      </w:r>
      <w:r w:rsidRPr="00F43DE3">
        <w:rPr>
          <w:rFonts w:ascii="Calibri" w:hAnsi="Calibri" w:cs="Calibri"/>
          <w:color w:val="000000"/>
          <w:sz w:val="12"/>
          <w:szCs w:val="27"/>
        </w:rPr>
        <w:t xml:space="preserve"> </w:t>
      </w:r>
      <w:hyperlink r:id="rId10" w:anchor="n245" w:history="1">
        <w:r w:rsidRPr="00F43DE3">
          <w:rPr>
            <w:rStyle w:val="Hyperlink"/>
            <w:rFonts w:eastAsiaTheme="majorEastAsia" w:cs="Calibri"/>
            <w:sz w:val="12"/>
            <w:szCs w:val="27"/>
          </w:rPr>
          <w:t>n245</w:t>
        </w:r>
      </w:hyperlink>
      <w:r w:rsidRPr="00F43DE3">
        <w:rPr>
          <w:rFonts w:ascii="Calibri" w:hAnsi="Calibri" w:cs="Calibri"/>
          <w:color w:val="000000"/>
          <w:sz w:val="12"/>
          <w:szCs w:val="27"/>
        </w:rPr>
        <w:t xml:space="preserve"> "Recognition" involves more than lip service. If I say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F43DE3">
        <w:rPr>
          <w:rStyle w:val="StyleUnderline"/>
          <w:rFonts w:eastAsiaTheme="majorEastAsia" w:cs="Calibri"/>
        </w:rPr>
        <w:t xml:space="preserve">this generation of </w:t>
      </w:r>
      <w:r w:rsidRPr="00F43DE3">
        <w:rPr>
          <w:rStyle w:val="StyleUnderline"/>
          <w:rFonts w:eastAsiaTheme="majorEastAsia" w:cs="Calibri"/>
          <w:highlight w:val="yellow"/>
        </w:rPr>
        <w:t>income complements the personality theory</w:t>
      </w:r>
      <w:r w:rsidRPr="00F43DE3">
        <w:rPr>
          <w:rStyle w:val="StyleUnderline"/>
          <w:rFonts w:eastAsiaTheme="majorEastAsia" w:cs="Calibri"/>
        </w:rPr>
        <w:t xml:space="preserve"> in </w:t>
      </w:r>
      <w:r w:rsidRPr="00F43DE3">
        <w:rPr>
          <w:rStyle w:val="StyleUnderline"/>
          <w:rFonts w:eastAsiaTheme="majorEastAsia" w:cs="Calibri"/>
          <w:highlight w:val="yellow"/>
        </w:rPr>
        <w:t>as</w:t>
      </w:r>
      <w:r w:rsidRPr="00F43DE3">
        <w:rPr>
          <w:rStyle w:val="StyleUnderline"/>
          <w:rFonts w:eastAsiaTheme="majorEastAsia" w:cs="Calibri"/>
        </w:rPr>
        <w:t xml:space="preserve"> much as </w:t>
      </w:r>
      <w:r w:rsidRPr="00F43DE3">
        <w:rPr>
          <w:rStyle w:val="StyleUnderline"/>
          <w:rFonts w:eastAsiaTheme="majorEastAsia" w:cs="Calibri"/>
          <w:highlight w:val="yellow"/>
        </w:rPr>
        <w:t>income facilitates further expression.</w:t>
      </w:r>
      <w:r w:rsidRPr="00F43DE3">
        <w:rPr>
          <w:rStyle w:val="StyleUnderline"/>
          <w:rFonts w:eastAsiaTheme="majorEastAsia" w:cs="Calibri"/>
        </w:rPr>
        <w:t xml:space="preserve"> </w:t>
      </w:r>
      <w:r w:rsidRPr="00F43DE3">
        <w:rPr>
          <w:rFonts w:ascii="Calibri" w:hAnsi="Calibri" w:cs="Calibri"/>
          <w:color w:val="000000"/>
          <w:sz w:val="12"/>
          <w:szCs w:val="27"/>
        </w:rPr>
        <w:t xml:space="preserve">When </w:t>
      </w:r>
      <w:r w:rsidRPr="00F43DE3">
        <w:rPr>
          <w:rStyle w:val="StyleUnderline"/>
          <w:rFonts w:eastAsiaTheme="majorEastAsia" w:cs="Calibri"/>
          <w:highlight w:val="yellow"/>
        </w:rPr>
        <w:t>royalties from an invention</w:t>
      </w:r>
      <w:r w:rsidRPr="00F43DE3">
        <w:rPr>
          <w:rFonts w:ascii="Calibri" w:hAnsi="Calibri" w:cs="Calibri"/>
          <w:color w:val="000000"/>
          <w:sz w:val="12"/>
          <w:szCs w:val="27"/>
        </w:rPr>
        <w:t xml:space="preserve"> allow the inventor to buy a grand piano he has always wanted, the transaction helps </w:t>
      </w:r>
      <w:r w:rsidRPr="00F43DE3">
        <w:rPr>
          <w:rStyle w:val="StyleUnderline"/>
          <w:rFonts w:eastAsiaTheme="majorEastAsia" w:cs="Calibri"/>
          <w:highlight w:val="yellow"/>
        </w:rPr>
        <w:t>maximize personality.</w:t>
      </w:r>
      <w:r w:rsidRPr="00F43DE3">
        <w:rPr>
          <w:rStyle w:val="StyleUnderline"/>
          <w:rFonts w:eastAsiaTheme="majorEastAsia" w:cs="Calibri"/>
        </w:rPr>
        <w:t xml:space="preserve"> </w:t>
      </w:r>
      <w:r w:rsidRPr="00F43DE3">
        <w:rPr>
          <w:rFonts w:ascii="Calibri" w:hAnsi="Calibri" w:cs="Calibri"/>
          <w:color w:val="000000"/>
          <w:sz w:val="12"/>
          <w:szCs w:val="27"/>
        </w:rPr>
        <w:t xml:space="preserve">But this argument tends to be too broad. First, much income is used for basic necessities,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F43DE3">
        <w:rPr>
          <w:rStyle w:val="StyleUnderline"/>
          <w:rFonts w:eastAsiaTheme="majorEastAsia" w:cs="Calibri"/>
          <w:highlight w:val="yellow"/>
        </w:rPr>
        <w:t>copies</w:t>
      </w:r>
      <w:r w:rsidRPr="00F43DE3">
        <w:rPr>
          <w:rStyle w:val="StyleUnderline"/>
          <w:rFonts w:eastAsiaTheme="majorEastAsia" w:cs="Calibri"/>
        </w:rPr>
        <w:t xml:space="preserve"> is perhaps the most rational way to </w:t>
      </w:r>
      <w:r w:rsidRPr="00F43DE3">
        <w:rPr>
          <w:rStyle w:val="StyleUnderline"/>
          <w:rFonts w:eastAsiaTheme="majorEastAsia" w:cs="Calibri"/>
          <w:highlight w:val="yellow"/>
        </w:rPr>
        <w:t>gain exposure for one's ideas</w:t>
      </w:r>
      <w:r w:rsidRPr="00F43DE3">
        <w:rPr>
          <w:rStyle w:val="StyleUnderline"/>
          <w:rFonts w:eastAsiaTheme="majorEastAsia" w:cs="Calibri"/>
        </w:rPr>
        <w:t>.</w:t>
      </w:r>
      <w:r w:rsidRPr="00F43DE3">
        <w:rPr>
          <w:rFonts w:ascii="Calibri" w:hAnsi="Calibri" w:cs="Calibri"/>
          <w:color w:val="000000"/>
          <w:sz w:val="12"/>
          <w:szCs w:val="27"/>
        </w:rPr>
        <w:t xml:space="preserve"> This is a non-economic, and perhaps higher, form of the idea of recognition: </w:t>
      </w:r>
      <w:r w:rsidRPr="00F43DE3">
        <w:rPr>
          <w:rStyle w:val="StyleUnderline"/>
          <w:rFonts w:eastAsiaTheme="majorEastAsia" w:cs="Calibri"/>
          <w:highlight w:val="yellow"/>
        </w:rPr>
        <w:t>respect, honor, and admiration</w:t>
      </w:r>
      <w:r w:rsidRPr="00F43DE3">
        <w:rPr>
          <w:rFonts w:ascii="Calibri" w:hAnsi="Calibri" w:cs="Calibri"/>
          <w:color w:val="000000"/>
          <w:sz w:val="12"/>
          <w:szCs w:val="27"/>
          <w:highlight w:val="yellow"/>
        </w:rPr>
        <w:t>.</w:t>
      </w:r>
      <w:r w:rsidRPr="00F43DE3">
        <w:rPr>
          <w:rFonts w:ascii="Calibri" w:hAnsi="Calibri" w:cs="Calibri"/>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creator.VARA Hegel's prohibition of "complete" alienation of intellectual property appears to result from his recognition of the necessity for these two conditions. While he would permit alienation of copies, and even the rights to further reproduction, </w:t>
      </w:r>
      <w:hyperlink r:id="rId11" w:anchor="n246" w:history="1">
        <w:r w:rsidRPr="00F43DE3">
          <w:rPr>
            <w:rStyle w:val="Hyperlink"/>
            <w:rFonts w:eastAsiaTheme="majorEastAsia" w:cs="Calibri"/>
            <w:sz w:val="12"/>
            <w:szCs w:val="27"/>
          </w:rPr>
          <w:t>n246</w:t>
        </w:r>
      </w:hyperlink>
      <w:r w:rsidRPr="00F43DE3">
        <w:rPr>
          <w:rFonts w:ascii="Calibri" w:hAnsi="Calibri" w:cs="Calibri"/>
          <w:color w:val="000000"/>
          <w:sz w:val="12"/>
          <w:szCs w:val="27"/>
        </w:rPr>
        <w:t xml:space="preserve"> he disapproves alienation of "those goods, or rather substantive characteristics, which constitute . . . private personality and the universal essence of . . . self-consciousness." </w:t>
      </w:r>
      <w:hyperlink r:id="rId12" w:anchor="n247" w:history="1">
        <w:r w:rsidRPr="00F43DE3">
          <w:rPr>
            <w:rStyle w:val="Hyperlink"/>
            <w:rFonts w:eastAsiaTheme="majorEastAsia" w:cs="Calibri"/>
            <w:sz w:val="12"/>
            <w:szCs w:val="27"/>
          </w:rPr>
          <w:t>n247</w:t>
        </w:r>
      </w:hyperlink>
      <w:r w:rsidRPr="00F43DE3">
        <w:rPr>
          <w:rFonts w:ascii="Calibri" w:hAnsi="Calibri" w:cs="Calibri"/>
          <w:color w:val="000000"/>
          <w:sz w:val="12"/>
          <w:szCs w:val="27"/>
        </w:rPr>
        <w:t xml:space="preserve"> Such </w:t>
      </w:r>
      <w:r w:rsidRPr="00F43DE3">
        <w:rPr>
          <w:rStyle w:val="StyleUnderline"/>
          <w:rFonts w:eastAsiaTheme="majorEastAsia" w:cs="Calibri"/>
          <w:highlight w:val="yellow"/>
        </w:rPr>
        <w:t>alienation</w:t>
      </w:r>
      <w:r w:rsidRPr="00F43DE3">
        <w:rPr>
          <w:rStyle w:val="StyleUnderline"/>
          <w:rFonts w:eastAsiaTheme="majorEastAsia" w:cs="Calibri"/>
        </w:rPr>
        <w:t xml:space="preserve"> necessarily </w:t>
      </w:r>
      <w:r w:rsidRPr="00F43DE3">
        <w:rPr>
          <w:rStyle w:val="StyleUnderline"/>
          <w:rFonts w:eastAsiaTheme="majorEastAsia" w:cs="Calibri"/>
          <w:highlight w:val="yellow"/>
        </w:rPr>
        <w:t>occurs if the recognition of the connection between a creator and his expression is destroyed or distorted</w:t>
      </w:r>
      <w:r w:rsidRPr="00F43DE3">
        <w:rPr>
          <w:rFonts w:ascii="Calibri" w:hAnsi="Calibri" w:cs="Calibri"/>
          <w:color w:val="000000"/>
          <w:sz w:val="12"/>
          <w:szCs w:val="27"/>
          <w:highlight w:val="yellow"/>
        </w:rPr>
        <w:t>.</w:t>
      </w:r>
      <w:r w:rsidRPr="00F43DE3">
        <w:rPr>
          <w:rFonts w:ascii="Calibri" w:hAnsi="Calibri" w:cs="Calibri"/>
          <w:color w:val="000000"/>
          <w:sz w:val="12"/>
          <w:szCs w:val="27"/>
        </w:rPr>
        <w:t xml:space="preserve"> When the first condition is violated, this recognition is destroyed; when the second condition is violated, it is distorted.</w:t>
      </w:r>
    </w:p>
    <w:p w14:paraId="1F9150E9" w14:textId="77777777" w:rsidR="00CB7E68" w:rsidRDefault="00CB7E68" w:rsidP="00CB7E68">
      <w:pPr>
        <w:pStyle w:val="Heading4"/>
        <w:rPr>
          <w:rFonts w:cs="Calibri"/>
        </w:rPr>
      </w:pPr>
      <w:r w:rsidRPr="00F43DE3">
        <w:rPr>
          <w:rFonts w:cs="Calibri"/>
        </w:rPr>
        <w:t>[3] Objectification - Absent intellectual property, agents feel like objects since they aren’t recognized for their exercise of agency. Th</w:t>
      </w:r>
      <w:r>
        <w:rPr>
          <w:rFonts w:cs="Calibri"/>
        </w:rPr>
        <w:t xml:space="preserve">is procedurally prevents further appropriation bc agents </w:t>
      </w:r>
      <w:r w:rsidRPr="00F43DE3">
        <w:rPr>
          <w:rFonts w:cs="Calibri"/>
        </w:rPr>
        <w:t xml:space="preserve">lack incentive to innovate </w:t>
      </w:r>
      <w:r>
        <w:rPr>
          <w:rFonts w:cs="Calibri"/>
        </w:rPr>
        <w:t>when</w:t>
      </w:r>
      <w:r w:rsidRPr="00F43DE3">
        <w:rPr>
          <w:rFonts w:cs="Calibri"/>
        </w:rPr>
        <w:t xml:space="preserve"> they’re detached from their goods. </w:t>
      </w:r>
    </w:p>
    <w:p w14:paraId="24D9C546" w14:textId="77777777" w:rsidR="00CB7E68" w:rsidRPr="007821C8" w:rsidRDefault="00CB7E68" w:rsidP="00CB7E68"/>
    <w:p w14:paraId="5171E4F9" w14:textId="77777777" w:rsidR="00CB7E68" w:rsidRPr="005F5C46" w:rsidRDefault="00CB7E68" w:rsidP="00CB7E68"/>
    <w:p w14:paraId="1969F66E" w14:textId="77777777" w:rsidR="00CB7E68" w:rsidRDefault="00CB7E68" w:rsidP="00CB7E68">
      <w:pPr>
        <w:pStyle w:val="Heading1"/>
      </w:pPr>
      <w:r>
        <w:lastRenderedPageBreak/>
        <w:t>Case</w:t>
      </w:r>
    </w:p>
    <w:p w14:paraId="4F510877" w14:textId="77777777" w:rsidR="00CB7E68" w:rsidRDefault="00CB7E68" w:rsidP="00CB7E68">
      <w:pPr>
        <w:pStyle w:val="Heading4"/>
      </w:pPr>
      <w:r>
        <w:t xml:space="preserve">[1] Just because it seems right to a person, doesn’t mean the action is right as a whole. Absent some binding universal principle, action is illogical under ur fwk. </w:t>
      </w:r>
    </w:p>
    <w:p w14:paraId="72BE9904" w14:textId="77777777" w:rsidR="00CB7E68" w:rsidRDefault="00CB7E68" w:rsidP="00CB7E68">
      <w:pPr>
        <w:pStyle w:val="Heading4"/>
      </w:pPr>
      <w:r>
        <w:t>[2] Intuitions is circular, the only reason we know an intuition is “reliable” is because of our intuition.</w:t>
      </w:r>
    </w:p>
    <w:p w14:paraId="15011BDA" w14:textId="77777777" w:rsidR="00CB7E68" w:rsidRDefault="00CB7E68" w:rsidP="00CB7E68">
      <w:pPr>
        <w:pStyle w:val="Heading4"/>
      </w:pPr>
      <w:r>
        <w:t>[3] non-naturalism fails to bridge the gap between practical and theoretical knowledge bc it explains where we get ethics but not how to use it.</w:t>
      </w:r>
    </w:p>
    <w:p w14:paraId="66963529" w14:textId="77777777" w:rsidR="00CB7E68" w:rsidRDefault="00CB7E68" w:rsidP="00CB7E68">
      <w:pPr>
        <w:pStyle w:val="Heading4"/>
      </w:pPr>
      <w:r>
        <w:t>[4] intuitions can’t warrant why we care about others only for ourselves which triggers solipsism.</w:t>
      </w:r>
    </w:p>
    <w:p w14:paraId="2B82643A" w14:textId="77777777" w:rsidR="00CB7E68" w:rsidRPr="00D75EAD" w:rsidRDefault="00CB7E68" w:rsidP="00CB7E68">
      <w:pPr>
        <w:pStyle w:val="Heading4"/>
      </w:pPr>
      <w:r>
        <w:t xml:space="preserve">[5] non-naturalism means we can’t determine what’s intuitive to us which triggers determinism.  </w:t>
      </w:r>
    </w:p>
    <w:p w14:paraId="75D0A133" w14:textId="77777777" w:rsidR="00CB7E68" w:rsidRDefault="00CB7E68" w:rsidP="00CB7E68">
      <w:pPr>
        <w:pStyle w:val="Heading2"/>
      </w:pPr>
      <w:r>
        <w:lastRenderedPageBreak/>
        <w:t>Offense</w:t>
      </w:r>
    </w:p>
    <w:p w14:paraId="5FC50EFF" w14:textId="77777777" w:rsidR="00CB7E68" w:rsidRDefault="00CB7E68" w:rsidP="00CB7E68">
      <w:pPr>
        <w:pStyle w:val="Heading4"/>
      </w:pPr>
      <w:r>
        <w:t xml:space="preserve">Permissibility: </w:t>
      </w:r>
    </w:p>
    <w:p w14:paraId="25DD3504" w14:textId="77777777" w:rsidR="00CB7E68" w:rsidRDefault="00CB7E68" w:rsidP="00CB7E68">
      <w:r>
        <w:t>[A] is /ought – more ways for statements to be false than true.</w:t>
      </w:r>
    </w:p>
    <w:p w14:paraId="32478EE7" w14:textId="77777777" w:rsidR="00CB7E68" w:rsidRDefault="00CB7E68" w:rsidP="00CB7E68">
      <w:r>
        <w:t>[B] turn – that’s better bc we take precaution before taking our actions which ensures all actions are safe.</w:t>
      </w:r>
    </w:p>
    <w:p w14:paraId="7E421373" w14:textId="77777777" w:rsidR="00CB7E68" w:rsidRDefault="00CB7E68" w:rsidP="00CB7E68">
      <w:r>
        <w:t xml:space="preserve">[C] no – we need proactive justification to affirm bc its ur burden to prove the rez is true. </w:t>
      </w:r>
    </w:p>
    <w:p w14:paraId="47F11352" w14:textId="77777777" w:rsidR="00CB7E68" w:rsidRPr="005F5C46" w:rsidRDefault="00CB7E68" w:rsidP="00CB7E68"/>
    <w:p w14:paraId="067F040A" w14:textId="77777777" w:rsidR="00CB7E68" w:rsidRDefault="00CB7E68" w:rsidP="00CB7E68">
      <w:pPr>
        <w:spacing w:line="240" w:lineRule="auto"/>
        <w:rPr>
          <w:rFonts w:ascii="Times New Roman" w:hAnsi="Times New Roman" w:cs="Times New Roman"/>
          <w:sz w:val="24"/>
        </w:rPr>
      </w:pPr>
      <w:r w:rsidRPr="004F7D77">
        <w:rPr>
          <w:rFonts w:ascii="Times New Roman" w:hAnsi="Times New Roman" w:cs="Times New Roman"/>
          <w:b/>
          <w:sz w:val="26"/>
          <w:szCs w:val="26"/>
        </w:rPr>
        <w:t>[1] We have an intuitive preference for the squo.</w:t>
      </w:r>
      <w:r w:rsidRPr="004F7D77">
        <w:rPr>
          <w:rFonts w:ascii="Times New Roman" w:hAnsi="Times New Roman" w:cs="Times New Roman"/>
          <w:b/>
          <w:sz w:val="26"/>
          <w:szCs w:val="26"/>
          <w:u w:val="single"/>
        </w:rPr>
        <w:t xml:space="preserve"> Henderson 16,</w:t>
      </w:r>
      <w:r w:rsidRPr="004F7D77">
        <w:rPr>
          <w:rFonts w:ascii="Times New Roman" w:hAnsi="Times New Roman" w:cs="Times New Roman"/>
          <w:sz w:val="24"/>
        </w:rPr>
        <w:t xml:space="preserve"> </w:t>
      </w:r>
      <w:r w:rsidRPr="004F7D77">
        <w:rPr>
          <w:rFonts w:ascii="Times New Roman" w:hAnsi="Times New Roman" w:cs="Times New Roman"/>
          <w:sz w:val="12"/>
          <w:szCs w:val="12"/>
        </w:rPr>
        <w:t>Rob. 2016. “How Powerful Is Status Quo Bias?” Psychology Today. Retrieved April 19, 2019 (</w:t>
      </w:r>
      <w:hyperlink r:id="rId13" w:history="1">
        <w:r w:rsidRPr="004F7D77">
          <w:rPr>
            <w:rStyle w:val="Hyperlink"/>
            <w:rFonts w:ascii="Times New Roman" w:hAnsi="Times New Roman" w:cs="Times New Roman"/>
            <w:sz w:val="12"/>
            <w:szCs w:val="12"/>
          </w:rPr>
          <w:t>https://www.psychologytoday.com/us/blog/after-service/201609/how-powerful-is-status-quo-bias).//SS</w:t>
        </w:r>
      </w:hyperlink>
      <w:r w:rsidRPr="004F7D77">
        <w:rPr>
          <w:rFonts w:ascii="Times New Roman" w:hAnsi="Times New Roman" w:cs="Times New Roman"/>
          <w:sz w:val="24"/>
        </w:rPr>
        <w:t xml:space="preserve"> </w:t>
      </w:r>
    </w:p>
    <w:p w14:paraId="51CA9F8A" w14:textId="77777777" w:rsidR="00CB7E68" w:rsidRPr="009D3BA0" w:rsidRDefault="00CB7E68" w:rsidP="00CB7E68">
      <w:pPr>
        <w:spacing w:line="240" w:lineRule="auto"/>
        <w:rPr>
          <w:rFonts w:ascii="Times New Roman" w:hAnsi="Times New Roman" w:cs="Times New Roman"/>
          <w:sz w:val="8"/>
        </w:rPr>
      </w:pPr>
      <w:r w:rsidRPr="009D3BA0">
        <w:rPr>
          <w:sz w:val="8"/>
        </w:rPr>
        <w:t>Status quo bias is a cognitive bias that explains our preference for familiarity. Many of us tend to resist change and prefer the current state of affairs. How powerful is this cognitive bias? Consider this thought experiment from the renowned philosopher, Robert Nozick: "Suppose there was an experience machine that would give you any experience you desired. Super-duper neuropsychologists could stimulate your brain so that you would think and feel like you were writing a great novel, or making a friend, or reading an interesting book. All the time you would be floating in a tank, with electrodes attached to your brain. Of course, while in the tank you won't know that you're there; you'll think that it's all actually happening. Would you plug into this machine for life?" For most of us, our intuition is to say no. We might say something like, “There is more to life than pleasure," and cite the importance of our relationships with loved ones and connection to reality. And perhaps that’s true. But consider this variant on the above proposal: "It is Saturday morning and you are planning to stay in bed for at least another hour when all of the sudden you hear the doorbell. Grudgingly, you step out of bed to go open the door. At the other side there is a tall man, with a black jacket and sunglasses, who introduces himself as Mr. Smith. He claims to have vital information that concerns you directly. Mildly troubled but still curious, you let him in. ‘‘I am afraid I have to some disturbing news to communicate to you’’ says Mr. Smith. ‘‘There has been a terrible mistake. Your brain has been plugged by error into an experience machine created by neurophysiologists. All the experiences you have had so f</w:t>
      </w:r>
      <w:r w:rsidRPr="004F7D77">
        <w:rPr>
          <w:rFonts w:ascii="Times New Roman" w:hAnsi="Times New Roman" w:cs="Times New Roman"/>
          <w:b/>
          <w:sz w:val="24"/>
          <w:u w:val="single"/>
        </w:rPr>
        <w:t>ar are nothing but the product of a computer program</w:t>
      </w:r>
      <w:r w:rsidRPr="009D3BA0">
        <w:rPr>
          <w:rFonts w:ascii="Times New Roman" w:hAnsi="Times New Roman" w:cs="Times New Roman"/>
          <w:sz w:val="8"/>
        </w:rPr>
        <w:t xml:space="preserve"> designed to provide you with pleasurable experiences. All the unpleasantness you may have felt during your life is just an experiential preface conducive toward a greater pleasure (e.g. like when you had to wait in that long line to get tickets for that concert, remember?). Unfortunately, we just realized that we made a mistake. You were not supposed to be connected; someone else was. We apologize. That’s why we’d like to give you a choice: </w:t>
      </w:r>
      <w:r w:rsidRPr="004F7D77">
        <w:rPr>
          <w:rFonts w:ascii="Times New Roman" w:hAnsi="Times New Roman" w:cs="Times New Roman"/>
          <w:b/>
          <w:sz w:val="24"/>
          <w:highlight w:val="yellow"/>
          <w:u w:val="single"/>
        </w:rPr>
        <w:t>you can either remain connected</w:t>
      </w:r>
      <w:r w:rsidRPr="004F7D77">
        <w:rPr>
          <w:rFonts w:ascii="Times New Roman" w:hAnsi="Times New Roman" w:cs="Times New Roman"/>
          <w:b/>
          <w:sz w:val="24"/>
          <w:u w:val="single"/>
        </w:rPr>
        <w:t xml:space="preserve"> to this machine (and we’ll remove the memories of this conversation taking place) </w:t>
      </w:r>
      <w:r w:rsidRPr="004F7D77">
        <w:rPr>
          <w:rFonts w:ascii="Times New Roman" w:hAnsi="Times New Roman" w:cs="Times New Roman"/>
          <w:b/>
          <w:sz w:val="24"/>
          <w:highlight w:val="yellow"/>
          <w:u w:val="single"/>
        </w:rPr>
        <w:t>or you can disconnect</w:t>
      </w:r>
      <w:r w:rsidRPr="009D3BA0">
        <w:rPr>
          <w:rFonts w:ascii="Times New Roman" w:hAnsi="Times New Roman" w:cs="Times New Roman"/>
          <w:sz w:val="8"/>
        </w:rPr>
        <w:t xml:space="preserve">. However, you may want to know that your life outside is not at all like the life you have experienced so far. What would you choose?" This question comes from an experiment by </w:t>
      </w:r>
      <w:r w:rsidRPr="004F7D77">
        <w:rPr>
          <w:rFonts w:ascii="Times New Roman" w:hAnsi="Times New Roman" w:cs="Times New Roman"/>
          <w:b/>
          <w:sz w:val="24"/>
          <w:u w:val="single"/>
        </w:rPr>
        <w:t>Felipe De Brigard</w:t>
      </w:r>
      <w:r w:rsidRPr="009D3BA0">
        <w:rPr>
          <w:sz w:val="8"/>
        </w:rPr>
        <w:t>, a researcher at Duke University, who challenged the intuitions many of us hold when we read the original happiness machine thought experiment. One might think that individuals, when faced with the choice between reality and simulation, would consider contact with reality to be critical and therefore a clear majority of people would opt to exit the machine. However, when De Brigard posed this question to participants and measured the responses,</w:t>
      </w:r>
      <w:r w:rsidRPr="004F7D77">
        <w:rPr>
          <w:rFonts w:ascii="Times New Roman" w:hAnsi="Times New Roman" w:cs="Times New Roman"/>
          <w:b/>
          <w:sz w:val="24"/>
          <w:u w:val="single"/>
        </w:rPr>
        <w:t xml:space="preserve"> he found</w:t>
      </w:r>
      <w:r w:rsidRPr="009D3BA0">
        <w:rPr>
          <w:rFonts w:ascii="Times New Roman" w:hAnsi="Times New Roman" w:cs="Times New Roman"/>
          <w:sz w:val="8"/>
        </w:rPr>
        <w:t xml:space="preserve"> the opposite result. Among the respondents, </w:t>
      </w:r>
      <w:r w:rsidRPr="004F7D77">
        <w:rPr>
          <w:rFonts w:ascii="Times New Roman" w:hAnsi="Times New Roman" w:cs="Times New Roman"/>
          <w:b/>
          <w:sz w:val="24"/>
          <w:highlight w:val="yellow"/>
          <w:u w:val="single"/>
        </w:rPr>
        <w:t>59 percent stated that they would prefer to remain connected</w:t>
      </w:r>
      <w:r w:rsidRPr="004F7D77">
        <w:rPr>
          <w:rFonts w:ascii="Times New Roman" w:hAnsi="Times New Roman" w:cs="Times New Roman"/>
          <w:b/>
          <w:sz w:val="24"/>
          <w:u w:val="single"/>
        </w:rPr>
        <w:t xml:space="preserve"> to the machine</w:t>
      </w:r>
      <w:r w:rsidRPr="009D3BA0">
        <w:rPr>
          <w:rFonts w:ascii="Times New Roman" w:hAnsi="Times New Roman" w:cs="Times New Roman"/>
          <w:sz w:val="8"/>
        </w:rPr>
        <w:t xml:space="preserve">, while only 41 percent stated that they would prefer to disconnect. The result of this study has interesting implications for the way we think about our capacity for change and our preference for the familiar. </w:t>
      </w:r>
      <w:r w:rsidRPr="004F7D77">
        <w:rPr>
          <w:rFonts w:ascii="Times New Roman" w:hAnsi="Times New Roman" w:cs="Times New Roman"/>
          <w:b/>
          <w:sz w:val="24"/>
          <w:highlight w:val="yellow"/>
          <w:u w:val="single"/>
        </w:rPr>
        <w:t>When individuals are faced with the choice to change</w:t>
      </w:r>
      <w:r w:rsidRPr="004F7D77">
        <w:rPr>
          <w:rFonts w:ascii="Times New Roman" w:hAnsi="Times New Roman" w:cs="Times New Roman"/>
          <w:b/>
          <w:sz w:val="24"/>
          <w:u w:val="single"/>
        </w:rPr>
        <w:t xml:space="preserve"> their environment </w:t>
      </w:r>
      <w:r w:rsidRPr="004F7D77">
        <w:rPr>
          <w:rFonts w:ascii="Times New Roman" w:hAnsi="Times New Roman" w:cs="Times New Roman"/>
          <w:b/>
          <w:sz w:val="24"/>
          <w:highlight w:val="yellow"/>
          <w:u w:val="single"/>
        </w:rPr>
        <w:t>or remain</w:t>
      </w:r>
      <w:r w:rsidRPr="004F7D77">
        <w:rPr>
          <w:rFonts w:ascii="Times New Roman" w:hAnsi="Times New Roman" w:cs="Times New Roman"/>
          <w:b/>
          <w:sz w:val="24"/>
          <w:u w:val="single"/>
        </w:rPr>
        <w:t xml:space="preserve"> in their current state of affairs</w:t>
      </w:r>
      <w:r w:rsidRPr="009D3BA0">
        <w:rPr>
          <w:rFonts w:ascii="Times New Roman" w:hAnsi="Times New Roman" w:cs="Times New Roman"/>
          <w:sz w:val="8"/>
        </w:rPr>
        <w:t xml:space="preserve">, even when the decision is between simulated familiarity and unknown reality, </w:t>
      </w:r>
      <w:r w:rsidRPr="004F7D77">
        <w:rPr>
          <w:rFonts w:ascii="Times New Roman" w:hAnsi="Times New Roman" w:cs="Times New Roman"/>
          <w:b/>
          <w:sz w:val="24"/>
          <w:highlight w:val="yellow"/>
          <w:u w:val="single"/>
        </w:rPr>
        <w:t>most will choose the familiar</w:t>
      </w:r>
      <w:r w:rsidRPr="009D3BA0">
        <w:rPr>
          <w:rFonts w:ascii="Times New Roman" w:hAnsi="Times New Roman" w:cs="Times New Roman"/>
          <w:sz w:val="8"/>
        </w:rPr>
        <w:t xml:space="preserve">. It is likely that this is a form of risk aversion that is </w:t>
      </w:r>
      <w:r w:rsidRPr="009D3BA0">
        <w:rPr>
          <w:sz w:val="8"/>
        </w:rPr>
        <w:t>characteristic of status quo bias—that individuals averse to the risk of losing their current reality will choose to remain, even at the expense of living in real, rather than a virtual, reality. Research from Kahneman and Tversky suggests that losses are twice as psychologically harmful as gains are beneficial. In other words, individuals feel twice as much psychological pain from losing $100 as pleasure from gaining $100. One interpretation is that in order for an individual to change course from their current state of affairs is that the alternative must be perceived as twice as beneficial. This highlights the challenges we may face when considering a change to our usual way of doing things. When military members are considering their choices as their contract comes to an end, many consider re-enlisting simply because they are unaware of the many opportunities that exist for them. Even when we understand our current path is no longer beneficial or no longer makes us happy, we must still overcome the natural urge to stay on the path unless the alternative is sufficiently attractive. In order for us to readily pursue an alternate path, we must believe that the alternative is clearly superior to the curren</w:t>
      </w:r>
      <w:r w:rsidRPr="009D3BA0">
        <w:rPr>
          <w:rFonts w:ascii="Times New Roman" w:hAnsi="Times New Roman" w:cs="Times New Roman"/>
          <w:sz w:val="8"/>
        </w:rPr>
        <w:t xml:space="preserve">t state of affairs. </w:t>
      </w:r>
      <w:r w:rsidRPr="004F7D77">
        <w:rPr>
          <w:rFonts w:ascii="Times New Roman" w:hAnsi="Times New Roman" w:cs="Times New Roman"/>
          <w:b/>
          <w:sz w:val="24"/>
          <w:highlight w:val="yellow"/>
          <w:u w:val="single"/>
        </w:rPr>
        <w:t>The status quo effect is pervasive in</w:t>
      </w:r>
      <w:r w:rsidRPr="004F7D77">
        <w:rPr>
          <w:rFonts w:ascii="Times New Roman" w:hAnsi="Times New Roman" w:cs="Times New Roman"/>
          <w:b/>
          <w:sz w:val="24"/>
          <w:u w:val="single"/>
        </w:rPr>
        <w:t xml:space="preserve"> both inconsequential and </w:t>
      </w:r>
      <w:r w:rsidRPr="004F7D77">
        <w:rPr>
          <w:rFonts w:ascii="Times New Roman" w:hAnsi="Times New Roman" w:cs="Times New Roman"/>
          <w:b/>
          <w:sz w:val="24"/>
          <w:highlight w:val="yellow"/>
          <w:u w:val="single"/>
        </w:rPr>
        <w:t>major decisions</w:t>
      </w:r>
      <w:r w:rsidRPr="004F7D77">
        <w:rPr>
          <w:rFonts w:ascii="Times New Roman" w:hAnsi="Times New Roman" w:cs="Times New Roman"/>
          <w:b/>
          <w:sz w:val="24"/>
          <w:u w:val="single"/>
        </w:rPr>
        <w:t>. Oftentimes we are held back by what we believe to be the safe option, simply because it is the default</w:t>
      </w:r>
      <w:r w:rsidRPr="009D3BA0">
        <w:rPr>
          <w:rFonts w:ascii="Times New Roman" w:hAnsi="Times New Roman" w:cs="Times New Roman"/>
          <w:sz w:val="8"/>
        </w:rPr>
        <w:t>. Bearing in mind our natural propensity for the status quo will enable us to recognize the allure of inertia and more effectively overcome it.</w:t>
      </w:r>
    </w:p>
    <w:p w14:paraId="65575BE7" w14:textId="77777777" w:rsidR="00CB7E68" w:rsidRDefault="00CB7E68" w:rsidP="00CB7E68"/>
    <w:p w14:paraId="636DA6E6" w14:textId="77777777" w:rsidR="00CB7E68" w:rsidRDefault="00CB7E68" w:rsidP="00CB7E68">
      <w:pPr>
        <w:pStyle w:val="Heading4"/>
      </w:pPr>
      <w:r>
        <w:t>On first piece of offense:</w:t>
      </w:r>
    </w:p>
    <w:p w14:paraId="00A8BAAC" w14:textId="77777777" w:rsidR="00CB7E68" w:rsidRDefault="00CB7E68" w:rsidP="00CB7E68">
      <w:pPr>
        <w:pStyle w:val="Heading4"/>
      </w:pPr>
      <w:r>
        <w:t>[1] ownership is the only way to cultivate true altruism because a willingness to share property can only occur if such property is owned. That means all the reasons the aff is good flow neg since forcing individuals to give up their intellectual property diminishes altruism.</w:t>
      </w:r>
    </w:p>
    <w:p w14:paraId="640E0849" w14:textId="77777777" w:rsidR="00CB7E68" w:rsidRPr="003F7BC4" w:rsidRDefault="00CB7E68" w:rsidP="00CB7E68"/>
    <w:p w14:paraId="20B864C1" w14:textId="7420126C" w:rsidR="00B656E6" w:rsidRPr="00CB7E68" w:rsidRDefault="00B656E6" w:rsidP="00CB7E68"/>
    <w:sectPr w:rsidR="00B656E6" w:rsidRPr="00CB7E68" w:rsidSect="006606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FB61F" w14:textId="77777777" w:rsidR="005A33DD" w:rsidRDefault="005A33DD" w:rsidP="005F5C46">
      <w:pPr>
        <w:spacing w:after="0" w:line="240" w:lineRule="auto"/>
      </w:pPr>
      <w:r>
        <w:separator/>
      </w:r>
    </w:p>
  </w:endnote>
  <w:endnote w:type="continuationSeparator" w:id="0">
    <w:p w14:paraId="4474769B" w14:textId="77777777" w:rsidR="005A33DD" w:rsidRDefault="005A33DD" w:rsidP="005F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85D0B" w14:textId="77777777" w:rsidR="005A33DD" w:rsidRDefault="005A33DD" w:rsidP="005F5C46">
      <w:pPr>
        <w:spacing w:after="0" w:line="240" w:lineRule="auto"/>
      </w:pPr>
      <w:r>
        <w:separator/>
      </w:r>
    </w:p>
  </w:footnote>
  <w:footnote w:type="continuationSeparator" w:id="0">
    <w:p w14:paraId="245D9AA0" w14:textId="77777777" w:rsidR="005A33DD" w:rsidRDefault="005A33DD" w:rsidP="005F5C46">
      <w:pPr>
        <w:spacing w:after="0" w:line="240" w:lineRule="auto"/>
      </w:pPr>
      <w:r>
        <w:continuationSeparator/>
      </w:r>
    </w:p>
  </w:footnote>
  <w:footnote w:id="1">
    <w:p w14:paraId="0960D461" w14:textId="77777777" w:rsidR="00CB7E68" w:rsidRPr="007B1105" w:rsidRDefault="00CB7E68" w:rsidP="00CB7E68">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62C055D8" w14:textId="77777777" w:rsidR="00CB7E68" w:rsidRDefault="00CB7E68" w:rsidP="00CB7E6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C8"/>
    <w:rsid w:val="0001390E"/>
    <w:rsid w:val="000F3436"/>
    <w:rsid w:val="001E19AE"/>
    <w:rsid w:val="002D6C57"/>
    <w:rsid w:val="003F7BC4"/>
    <w:rsid w:val="005A33DD"/>
    <w:rsid w:val="005F5C46"/>
    <w:rsid w:val="006606E8"/>
    <w:rsid w:val="007821C8"/>
    <w:rsid w:val="008A1144"/>
    <w:rsid w:val="00B17F0A"/>
    <w:rsid w:val="00B656E6"/>
    <w:rsid w:val="00C33BD0"/>
    <w:rsid w:val="00C920A7"/>
    <w:rsid w:val="00CB7E68"/>
    <w:rsid w:val="00CC1BBB"/>
    <w:rsid w:val="00D75EAD"/>
    <w:rsid w:val="00D77483"/>
    <w:rsid w:val="00DD5231"/>
    <w:rsid w:val="00E50D1C"/>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84322"/>
  <w15:chartTrackingRefBased/>
  <w15:docId w15:val="{918AF8B6-4BAB-7B4B-8513-90A7FA31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7F0A"/>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B17F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7F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7F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B17F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7F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F0A"/>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B17F0A"/>
    <w:rPr>
      <w:color w:val="auto"/>
      <w:u w:val="none"/>
    </w:rPr>
  </w:style>
  <w:style w:type="character" w:customStyle="1" w:styleId="Heading1Char">
    <w:name w:val="Heading 1 Char"/>
    <w:aliases w:val="Pocket Char"/>
    <w:basedOn w:val="DefaultParagraphFont"/>
    <w:link w:val="Heading1"/>
    <w:uiPriority w:val="9"/>
    <w:rsid w:val="00B17F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7F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7F0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B17F0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17F0A"/>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B17F0A"/>
    <w:rPr>
      <w:b w:val="0"/>
      <w:sz w:val="22"/>
      <w:u w:val="single"/>
    </w:rPr>
  </w:style>
  <w:style w:type="character" w:styleId="Emphasis">
    <w:name w:val="Emphasis"/>
    <w:basedOn w:val="DefaultParagraphFont"/>
    <w:uiPriority w:val="20"/>
    <w:qFormat/>
    <w:rsid w:val="00B17F0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17F0A"/>
    <w:rPr>
      <w:color w:val="auto"/>
      <w:u w:val="none"/>
    </w:rPr>
  </w:style>
  <w:style w:type="paragraph" w:styleId="DocumentMap">
    <w:name w:val="Document Map"/>
    <w:basedOn w:val="Normal"/>
    <w:link w:val="DocumentMapChar"/>
    <w:uiPriority w:val="99"/>
    <w:semiHidden/>
    <w:unhideWhenUsed/>
    <w:rsid w:val="00B17F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7F0A"/>
    <w:rPr>
      <w:rFonts w:ascii="Lucida Grande" w:eastAsiaTheme="minorEastAsia"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7821C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7821C8"/>
    <w:rPr>
      <w:rFonts w:ascii="Times New Roman" w:eastAsia="Times New Roman" w:hAnsi="Times New Roman" w:cs="Times New Roman"/>
    </w:rPr>
  </w:style>
  <w:style w:type="character" w:styleId="FootnoteReference">
    <w:name w:val="footnote reference"/>
    <w:aliases w:val="FN Ref,footnote reference,fr,o,FR,(NECG) Footnote Reference"/>
    <w:basedOn w:val="DefaultParagraphFont"/>
    <w:uiPriority w:val="99"/>
    <w:unhideWhenUsed/>
    <w:qFormat/>
    <w:rsid w:val="005F5C46"/>
    <w:rPr>
      <w:vertAlign w:val="superscript"/>
    </w:rPr>
  </w:style>
  <w:style w:type="paragraph" w:styleId="FootnoteText">
    <w:name w:val="footnote text"/>
    <w:basedOn w:val="Normal"/>
    <w:link w:val="FootnoteTextChar"/>
    <w:uiPriority w:val="99"/>
    <w:unhideWhenUsed/>
    <w:qFormat/>
    <w:rsid w:val="005F5C46"/>
    <w:rPr>
      <w:rFonts w:eastAsiaTheme="minorHAnsi"/>
      <w:sz w:val="20"/>
      <w:szCs w:val="20"/>
    </w:rPr>
  </w:style>
  <w:style w:type="character" w:customStyle="1" w:styleId="FootnoteTextChar">
    <w:name w:val="Footnote Text Char"/>
    <w:basedOn w:val="DefaultParagraphFont"/>
    <w:link w:val="FootnoteText"/>
    <w:uiPriority w:val="99"/>
    <w:rsid w:val="005F5C46"/>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887467/" TargetMode="External"/><Relationship Id="rId13" Type="http://schemas.openxmlformats.org/officeDocument/2006/relationships/hyperlink" Target="https://www.psychologytoday.com/us/blog/after-service/201609/how-powerful-is-status-quo-bias).//SS" TargetMode="External"/><Relationship Id="rId3" Type="http://schemas.openxmlformats.org/officeDocument/2006/relationships/settings" Target="settings.xml"/><Relationship Id="rId7" Type="http://schemas.openxmlformats.org/officeDocument/2006/relationships/hyperlink" Target="http://www.scholardarity.com/?page_id=3845" TargetMode="External"/><Relationship Id="rId12" Type="http://schemas.openxmlformats.org/officeDocument/2006/relationships/hyperlink" Target="https://cyber.harvard.edu/IPCoop/88hugh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yber.harvard.edu/IPCoop/88hugh2.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yber.harvard.edu/IPCoop/88hugh2.html" TargetMode="External"/><Relationship Id="rId4" Type="http://schemas.openxmlformats.org/officeDocument/2006/relationships/webSettings" Target="webSettings.xml"/><Relationship Id="rId9" Type="http://schemas.openxmlformats.org/officeDocument/2006/relationships/hyperlink" Target="https://cyber.harvard.edu/IPCoop/88hugh2.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31</TotalTime>
  <Pages>8</Pages>
  <Words>5557</Words>
  <Characters>31678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7</cp:revision>
  <dcterms:created xsi:type="dcterms:W3CDTF">2021-09-18T18:32:00Z</dcterms:created>
  <dcterms:modified xsi:type="dcterms:W3CDTF">2021-09-18T20:01:00Z</dcterms:modified>
</cp:coreProperties>
</file>