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142DF" w14:textId="77777777" w:rsidR="005D5B28" w:rsidRDefault="005D5B28" w:rsidP="005D5B28">
      <w:pPr>
        <w:pStyle w:val="Heading1"/>
      </w:pPr>
      <w:r>
        <w:t>NC</w:t>
      </w:r>
    </w:p>
    <w:p w14:paraId="333F539B" w14:textId="77777777" w:rsidR="005D5B28" w:rsidRDefault="005D5B28" w:rsidP="005D5B28">
      <w:pPr>
        <w:pStyle w:val="Heading4"/>
        <w:rPr>
          <w:rFonts w:ascii="Times New Roman" w:hAnsi="Times New Roman" w:cs="Times New Roman"/>
        </w:rPr>
      </w:pPr>
      <w:r w:rsidRPr="009759EE">
        <w:rPr>
          <w:rFonts w:ascii="Times New Roman" w:hAnsi="Times New Roman" w:cs="Times New Roman"/>
        </w:rPr>
        <w:t xml:space="preserve">Volition, or the structure of the will, is a pre-condition for ethics and has intrinsic value – A) Proceduralism – the will is the mechanism by which every agent engages in any activity, which means regardless of the content of any ethical theory, the ability to will that theory is an intrinsic good B) Foundations – the will is the basis for what constitutes an ethical subject which means its relation to the world is the primary ethical consideration C) Motivation – the structure of the will is the primary source of all our desires, reasons, and beliefs since it generates what counts as motivational to the subject </w:t>
      </w:r>
    </w:p>
    <w:p w14:paraId="1F773F0C" w14:textId="77777777" w:rsidR="005D5B28" w:rsidRDefault="005D5B28" w:rsidP="005D5B28"/>
    <w:p w14:paraId="3CBA6BC1" w14:textId="77777777" w:rsidR="005D5B28" w:rsidRDefault="005D5B28" w:rsidP="005D5B28">
      <w:pPr>
        <w:pStyle w:val="Heading4"/>
        <w:rPr>
          <w:rFonts w:ascii="Times New Roman" w:hAnsi="Times New Roman" w:cs="Times New Roman"/>
        </w:rPr>
      </w:pPr>
      <w:r>
        <w:rPr>
          <w:rFonts w:ascii="Times New Roman" w:hAnsi="Times New Roman" w:cs="Times New Roman"/>
        </w:rPr>
        <w:t xml:space="preserve">The will operates materially – individuals exercise their agency in the world, as ideas and actions clash against one another. This takes place through a dialectical process that unfolds in three stages: First, a thesis is introduced by action or reason – for example a group of workers exercises their intention to strike against poor working conditions. Second, an antithesis is produced in response by the agent acted against – the corporation. The exercise of these opposing wills terminates in a synthesis – a conclusion that terminates in a mix of the thesis and antithesis – like a contractual agreement that re-negotiates labor conditions. </w:t>
      </w:r>
    </w:p>
    <w:p w14:paraId="56C48E06" w14:textId="77777777" w:rsidR="005D5B28" w:rsidRPr="00C82434" w:rsidRDefault="005D5B28" w:rsidP="005D5B28"/>
    <w:p w14:paraId="4D895DE3" w14:textId="77777777" w:rsidR="005D5B28" w:rsidRDefault="005D5B28" w:rsidP="005D5B28">
      <w:pPr>
        <w:pStyle w:val="Heading4"/>
        <w:rPr>
          <w:rFonts w:ascii="Times New Roman" w:hAnsi="Times New Roman" w:cs="Times New Roman"/>
        </w:rPr>
      </w:pPr>
      <w:r>
        <w:rPr>
          <w:rFonts w:ascii="Times New Roman" w:hAnsi="Times New Roman" w:cs="Times New Roman"/>
        </w:rPr>
        <w:t xml:space="preserve">This view of the will has 3 benefits: First, it prevents a contradiction of wills from generating a contradiction – it allows a process of iterative testing by which the negation of an idea does not terminate the process of truth making, but furthers it by addition of new information. Second, it ensures that epistemological starting points do not have to appear from nowhere, since thought is a continuous flow of ideas rather than a negation of an idea that requires a spontaneous creation of a new one. Third, the material approach ensures that A) we have a verifiable way of deciphering the conflict between multiple wills and B) non-material starting points always necessarily materialize themselves in action, which requires a material analysis to understand the effectiveness of any immaterial approach. </w:t>
      </w:r>
    </w:p>
    <w:p w14:paraId="29E3A1E9" w14:textId="77777777" w:rsidR="005D5B28" w:rsidRPr="003F5A37" w:rsidRDefault="005D5B28" w:rsidP="005D5B28"/>
    <w:p w14:paraId="1CC73652" w14:textId="77777777" w:rsidR="005D5B28" w:rsidRPr="00442992" w:rsidRDefault="005D5B28" w:rsidP="005D5B28">
      <w:pPr>
        <w:rPr>
          <w:rFonts w:ascii="Times New Roman" w:hAnsi="Times New Roman" w:cs="Times New Roman"/>
        </w:rPr>
      </w:pPr>
      <w:r w:rsidRPr="00082E66">
        <w:rPr>
          <w:rFonts w:ascii="Times New Roman" w:hAnsi="Times New Roman" w:cs="Times New Roman"/>
          <w:b/>
          <w:sz w:val="26"/>
          <w:szCs w:val="26"/>
        </w:rPr>
        <w:t xml:space="preserve">This culminates in the act of appropriation – the ability to view yourself as a practical agent capable of taking up a project that actively changes your own subject and the role itself. </w:t>
      </w:r>
      <w:r w:rsidRPr="00082E66">
        <w:rPr>
          <w:rFonts w:ascii="Times New Roman" w:hAnsi="Times New Roman" w:cs="Times New Roman"/>
          <w:b/>
          <w:sz w:val="26"/>
          <w:szCs w:val="26"/>
          <w:u w:val="single"/>
        </w:rPr>
        <w:t>Jaeggi 14,</w:t>
      </w:r>
      <w:r w:rsidRPr="00442992">
        <w:rPr>
          <w:rFonts w:ascii="Times New Roman" w:hAnsi="Times New Roman" w:cs="Times New Roman"/>
          <w:b/>
        </w:rPr>
        <w:t xml:space="preserve"> </w:t>
      </w:r>
      <w:r w:rsidRPr="00442992">
        <w:rPr>
          <w:rFonts w:ascii="Times New Roman" w:hAnsi="Times New Roman" w:cs="Times New Roman"/>
          <w:sz w:val="12"/>
          <w:szCs w:val="12"/>
        </w:rPr>
        <w:t>Jaeggi, Rahel. “Alienation.” Columbia University Press, cup.columbia.edu/book/alienation///Scopa.</w:t>
      </w:r>
      <w:r w:rsidRPr="00442992">
        <w:rPr>
          <w:rFonts w:ascii="Times New Roman" w:hAnsi="Times New Roman" w:cs="Times New Roman"/>
        </w:rPr>
        <w:t xml:space="preserve"> </w:t>
      </w:r>
      <w:r w:rsidRPr="00442992">
        <w:rPr>
          <w:rFonts w:ascii="Times New Roman" w:hAnsi="Times New Roman" w:cs="Times New Roman"/>
          <w:sz w:val="12"/>
        </w:rPr>
        <w:t xml:space="preserve">What does it mean to appropriate something?12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 </w:t>
      </w:r>
      <w:r w:rsidRPr="00066BC7">
        <w:rPr>
          <w:rFonts w:ascii="Times New Roman" w:hAnsi="Times New Roman" w:cs="Times New Roman"/>
          <w:b/>
          <w:highlight w:val="cyan"/>
          <w:u w:val="single"/>
        </w:rPr>
        <w:t>In contrast to merely theoretical insight</w:t>
      </w:r>
      <w:r w:rsidRPr="00442992">
        <w:rPr>
          <w:rFonts w:ascii="Times New Roman" w:hAnsi="Times New Roman" w:cs="Times New Roman"/>
          <w:b/>
          <w:u w:val="single"/>
        </w:rPr>
        <w:t xml:space="preserve"> into some issue, </w:t>
      </w:r>
      <w:r w:rsidRPr="00066BC7">
        <w:rPr>
          <w:rFonts w:ascii="Times New Roman" w:hAnsi="Times New Roman" w:cs="Times New Roman"/>
          <w:b/>
          <w:highlight w:val="cyan"/>
          <w:u w:val="single"/>
        </w:rPr>
        <w:t>appropriation</w:t>
      </w:r>
      <w:r w:rsidRPr="00442992">
        <w:rPr>
          <w:rFonts w:ascii="Times New Roman" w:hAnsi="Times New Roman" w:cs="Times New Roman"/>
          <w:sz w:val="12"/>
        </w:rPr>
        <w:t>—comparable to the psychoanalytic process of “working through”—</w:t>
      </w:r>
      <w:r w:rsidRPr="00066BC7">
        <w:rPr>
          <w:rFonts w:ascii="Times New Roman" w:hAnsi="Times New Roman" w:cs="Times New Roman"/>
          <w:b/>
          <w:highlight w:val="cyan"/>
          <w:u w:val="single"/>
        </w:rPr>
        <w:t>means</w:t>
      </w:r>
      <w:r w:rsidRPr="00442992">
        <w:rPr>
          <w:rFonts w:ascii="Times New Roman" w:hAnsi="Times New Roman" w:cs="Times New Roman"/>
          <w:b/>
          <w:u w:val="single"/>
        </w:rPr>
        <w:t xml:space="preserve"> that one can “deal with” what one knows, that it stands at one’s disposal as </w:t>
      </w:r>
      <w:r w:rsidRPr="00442992">
        <w:rPr>
          <w:rFonts w:ascii="Times New Roman" w:hAnsi="Times New Roman" w:cs="Times New Roman"/>
          <w:b/>
          <w:u w:val="single"/>
        </w:rPr>
        <w:lastRenderedPageBreak/>
        <w:t xml:space="preserve">knowledge and that </w:t>
      </w:r>
      <w:r w:rsidRPr="00066BC7">
        <w:rPr>
          <w:rFonts w:ascii="Times New Roman" w:hAnsi="Times New Roman" w:cs="Times New Roman"/>
          <w:b/>
          <w:highlight w:val="cyan"/>
          <w:u w:val="single"/>
        </w:rPr>
        <w:t>one really and practically has command over it</w:t>
      </w:r>
      <w:r w:rsidRPr="00442992">
        <w:rPr>
          <w:rFonts w:ascii="Times New Roman" w:hAnsi="Times New Roman" w:cs="Times New Roman"/>
          <w:sz w:val="12"/>
        </w:rPr>
        <w:t xml:space="preserve">. And appropriating a role means more than being able to fill it: one is, we could say, identified with it. Something that we appropriate does not remain external to ourselves. </w:t>
      </w:r>
      <w:r w:rsidRPr="00066BC7">
        <w:rPr>
          <w:rFonts w:ascii="Times New Roman" w:hAnsi="Times New Roman" w:cs="Times New Roman"/>
          <w:b/>
          <w:highlight w:val="cyan"/>
          <w:u w:val="single"/>
        </w:rPr>
        <w:t>In making something our own, it becomes a part of ourselves</w:t>
      </w:r>
      <w:r w:rsidRPr="00442992">
        <w:rPr>
          <w:rFonts w:ascii="Times New Roman" w:hAnsi="Times New Roman" w:cs="Times New Roman"/>
          <w:sz w:val="12"/>
        </w:rPr>
        <w:t xml:space="preserve"> in a certain respect. This suggests a kind of introjection and a mixing of oneself with the objects of appropriation. </w:t>
      </w:r>
      <w:r w:rsidRPr="00442992">
        <w:rPr>
          <w:rFonts w:ascii="Times New Roman" w:hAnsi="Times New Roman" w:cs="Times New Roman"/>
          <w:b/>
          <w:u w:val="single"/>
        </w:rPr>
        <w:t>It also evokes the idea of productively and formatively interacting with what one makes one’s own</w:t>
      </w:r>
      <w:r w:rsidRPr="00442992">
        <w:rPr>
          <w:rFonts w:ascii="Times New Roman" w:hAnsi="Times New Roman" w:cs="Times New Roman"/>
          <w:sz w:val="12"/>
        </w:rPr>
        <w:t xml:space="preserve">. Appropriation does not leave what is appropriated unchanged. </w:t>
      </w:r>
      <w:r w:rsidRPr="00442992">
        <w:rPr>
          <w:rFonts w:ascii="Times New Roman" w:hAnsi="Times New Roman" w:cs="Times New Roman"/>
          <w:b/>
          <w:u w:val="single"/>
        </w:rPr>
        <w:t xml:space="preserve">This is why the </w:t>
      </w:r>
      <w:r w:rsidRPr="00066BC7">
        <w:rPr>
          <w:rFonts w:ascii="Times New Roman" w:hAnsi="Times New Roman" w:cs="Times New Roman"/>
          <w:b/>
          <w:highlight w:val="cyan"/>
          <w:u w:val="single"/>
        </w:rPr>
        <w:t>appropriation of public spaces</w:t>
      </w:r>
      <w:r w:rsidRPr="00442992">
        <w:rPr>
          <w:rFonts w:ascii="Times New Roman" w:hAnsi="Times New Roman" w:cs="Times New Roman"/>
          <w:b/>
          <w:u w:val="single"/>
        </w:rPr>
        <w:t xml:space="preserve">, for example, </w:t>
      </w:r>
      <w:r w:rsidRPr="00066BC7">
        <w:rPr>
          <w:rFonts w:ascii="Times New Roman" w:hAnsi="Times New Roman" w:cs="Times New Roman"/>
          <w:b/>
          <w:highlight w:val="cyan"/>
          <w:u w:val="single"/>
        </w:rPr>
        <w:t>means more than that one uses them. We make them our own by making a mark on them through what we do in and with them</w:t>
      </w:r>
      <w:r w:rsidRPr="00442992">
        <w:rPr>
          <w:rFonts w:ascii="Times New Roman" w:hAnsi="Times New Roman" w:cs="Times New Roman"/>
          <w:sz w:val="12"/>
        </w:rPr>
        <w:t xml:space="preserve">, by transforming them through appropriative use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Relations of appropriation, then, are characterized by several features: appropriation is a form of praxis, a way of relating practically to the world. It refers to a relation of penetration, assimilation, and internalization in which what is appropriated is at the same time altered, structured, and formed. The crucial point of this model (also of great importance for Marx) is a consequence of this structure of penetration and assimilation: appropriation always means a transformation of both poles of the relation. </w:t>
      </w:r>
      <w:r w:rsidRPr="00442992">
        <w:rPr>
          <w:rFonts w:ascii="Times New Roman" w:hAnsi="Times New Roman" w:cs="Times New Roman"/>
          <w:b/>
          <w:u w:val="single"/>
        </w:rPr>
        <w:t xml:space="preserve">In a process of appropriation </w:t>
      </w:r>
      <w:r w:rsidRPr="00066BC7">
        <w:rPr>
          <w:rFonts w:ascii="Times New Roman" w:hAnsi="Times New Roman" w:cs="Times New Roman"/>
          <w:b/>
          <w:highlight w:val="cyan"/>
          <w:u w:val="single"/>
        </w:rPr>
        <w:t>both what is appropriated and the appropriator are transformed</w:t>
      </w:r>
      <w:r w:rsidRPr="00442992">
        <w:rPr>
          <w:rFonts w:ascii="Times New Roman" w:hAnsi="Times New Roman" w:cs="Times New Roman"/>
          <w:sz w:val="12"/>
        </w:rPr>
        <w:t>. In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cases this is obvious: there is no public space as such without its being publicly appropriated; but even social roles exist only insofar as they are constantly reappropriated.) One now sees the potential and the peculiar character of the concept: the possibility of appropriating something refers, on the one hand, to a subject’s power to act and form and to impose its own meaningful mark on the world it appropriates. (A successful appropriation of social roles or activities and, by extension, the appropriating relation one can take to one’s life in general constitute something like self-determination and being the author of one’s own life.) On the other hand, a process of appropriation is always bound to a given, previously existing content and thereby also to an independent meaning and dynamic over which one does not have complete command. (</w:t>
      </w:r>
      <w:r w:rsidRPr="00066BC7">
        <w:rPr>
          <w:rFonts w:ascii="Times New Roman" w:hAnsi="Times New Roman" w:cs="Times New Roman"/>
          <w:b/>
          <w:highlight w:val="cyan"/>
          <w:u w:val="single"/>
        </w:rPr>
        <w:t>Thus a role</w:t>
      </w:r>
      <w:r w:rsidRPr="00442992">
        <w:rPr>
          <w:rFonts w:ascii="Times New Roman" w:hAnsi="Times New Roman" w:cs="Times New Roman"/>
          <w:sz w:val="12"/>
        </w:rPr>
        <w:t xml:space="preserve">, for example, </w:t>
      </w:r>
      <w:r w:rsidRPr="00442992">
        <w:rPr>
          <w:rFonts w:ascii="Times New Roman" w:hAnsi="Times New Roman" w:cs="Times New Roman"/>
          <w:b/>
          <w:u w:val="single"/>
        </w:rPr>
        <w:t xml:space="preserve">in order to be appropriated, </w:t>
      </w:r>
      <w:r w:rsidRPr="00066BC7">
        <w:rPr>
          <w:rFonts w:ascii="Times New Roman" w:hAnsi="Times New Roman" w:cs="Times New Roman"/>
          <w:b/>
          <w:highlight w:val="cyan"/>
          <w:u w:val="single"/>
        </w:rPr>
        <w:t>must always be “found” as an already existing model</w:t>
      </w:r>
      <w:r w:rsidRPr="00442992">
        <w:rPr>
          <w:rFonts w:ascii="Times New Roman" w:hAnsi="Times New Roman" w:cs="Times New Roman"/>
          <w:b/>
          <w:u w:val="single"/>
        </w:rPr>
        <w:t xml:space="preserve"> and complex of rules; it can be </w:t>
      </w:r>
      <w:r w:rsidRPr="00066BC7">
        <w:rPr>
          <w:rFonts w:ascii="Times New Roman" w:hAnsi="Times New Roman" w:cs="Times New Roman"/>
          <w:b/>
          <w:highlight w:val="cyan"/>
          <w:u w:val="single"/>
        </w:rPr>
        <w:t>reinterpreted but not invented</w:t>
      </w:r>
      <w:r w:rsidRPr="00442992">
        <w:rPr>
          <w:rFonts w:ascii="Times New Roman" w:hAnsi="Times New Roman" w:cs="Times New Roman"/>
          <w:b/>
          <w:u w:val="single"/>
        </w:rPr>
        <w:t xml:space="preserve"> from scratch</w:t>
      </w:r>
      <w:r w:rsidRPr="00442992">
        <w:rPr>
          <w:rFonts w:ascii="Times New Roman" w:hAnsi="Times New Roman" w:cs="Times New Roman"/>
          <w:sz w:val="12"/>
        </w:rPr>
        <w:t xml:space="preserve">. Skills that we appropriate are constrained by success conditions; leading our own life depends on circumstances over which we do not have complete command.) There is, then, an interesting tension in the idea of appropriation between what is previously given and what is formable, between taking over and creating, between the subject’s sovereignty and its dependence. The crucial relation here is that between something’s being alien and its accessibility: objects of appropriation are neither exclusively alien nor exclusively one’s own. As Michael Theunissen puts it, “I do not need to appropriate what is exclusively my own, and what is exclusively alien I am unable to appropriate.”14 In contrast to Marx, then, for whom appropriation is conceived of according to a model of reappropriation,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a permanent process of transformation in which what is appropriated first comes to be through its appropriation, without one needing to fall back into the myth of a creation ex nihilo. 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 The aspiration of a </w:t>
      </w:r>
      <w:r w:rsidRPr="00066BC7">
        <w:rPr>
          <w:rFonts w:ascii="Times New Roman" w:hAnsi="Times New Roman" w:cs="Times New Roman"/>
          <w:b/>
          <w:highlight w:val="cyan"/>
          <w:u w:val="single"/>
        </w:rPr>
        <w:t>successful appropriation</w:t>
      </w:r>
      <w:r w:rsidRPr="00442992">
        <w:rPr>
          <w:rFonts w:ascii="Times New Roman" w:hAnsi="Times New Roman" w:cs="Times New Roman"/>
          <w:b/>
          <w:u w:val="single"/>
        </w:rPr>
        <w:t xml:space="preserve"> of self and world </w:t>
      </w:r>
      <w:r w:rsidRPr="00066BC7">
        <w:rPr>
          <w:rFonts w:ascii="Times New Roman" w:hAnsi="Times New Roman" w:cs="Times New Roman"/>
          <w:b/>
          <w:highlight w:val="cyan"/>
          <w:u w:val="single"/>
        </w:rPr>
        <w:t>would be</w:t>
      </w:r>
      <w:r w:rsidRPr="00442992">
        <w:rPr>
          <w:rFonts w:ascii="Times New Roman" w:hAnsi="Times New Roman" w:cs="Times New Roman"/>
          <w:b/>
          <w:u w:val="single"/>
        </w:rPr>
        <w:t xml:space="preserve">, then, </w:t>
      </w:r>
      <w:r w:rsidRPr="00066BC7">
        <w:rPr>
          <w:rFonts w:ascii="Times New Roman" w:hAnsi="Times New Roman" w:cs="Times New Roman"/>
          <w:b/>
          <w:highlight w:val="cyan"/>
          <w:u w:val="single"/>
        </w:rPr>
        <w:t>to make the world one’s own without it having been already one’s own</w:t>
      </w:r>
      <w:r w:rsidRPr="00442992">
        <w:rPr>
          <w:rFonts w:ascii="Times New Roman" w:hAnsi="Times New Roman" w:cs="Times New Roman"/>
          <w:b/>
          <w:u w:val="single"/>
        </w:rPr>
        <w:t xml:space="preserve"> and in wanting to give structure to the world and to one’s own life without beginning from a position of already having complete command over them</w:t>
      </w:r>
      <w:r w:rsidRPr="00442992">
        <w:rPr>
          <w:rFonts w:ascii="Times New Roman" w:hAnsi="Times New Roman" w:cs="Times New Roman"/>
          <w:sz w:val="12"/>
        </w:rPr>
        <w:t>.</w:t>
      </w:r>
    </w:p>
    <w:p w14:paraId="217BB6FE" w14:textId="77777777" w:rsidR="005D5B28" w:rsidRPr="00E24D46" w:rsidRDefault="005D5B28" w:rsidP="005D5B28">
      <w:pPr>
        <w:pStyle w:val="Heading4"/>
        <w:rPr>
          <w:rFonts w:ascii="Times New Roman" w:hAnsi="Times New Roman" w:cs="Times New Roman"/>
        </w:rPr>
      </w:pPr>
      <w:r>
        <w:rPr>
          <w:rFonts w:ascii="Times New Roman" w:hAnsi="Times New Roman" w:cs="Times New Roman"/>
        </w:rPr>
        <w:lastRenderedPageBreak/>
        <w:t xml:space="preserve">Thus, the standard is consistency with dialectical appropriation. </w:t>
      </w:r>
    </w:p>
    <w:p w14:paraId="2227E187" w14:textId="77777777" w:rsidR="005D5B28" w:rsidRDefault="005D5B28" w:rsidP="005D5B28">
      <w:pPr>
        <w:pStyle w:val="Heading4"/>
        <w:rPr>
          <w:rFonts w:cs="Calibri"/>
        </w:rPr>
      </w:pPr>
      <w:r>
        <w:t xml:space="preserve">[1] </w:t>
      </w:r>
      <w:r w:rsidRPr="00111D1F">
        <w:rPr>
          <w:rFonts w:cs="Calibri"/>
        </w:rPr>
        <w:t xml:space="preserve">Action theory – </w:t>
      </w:r>
      <w:r>
        <w:rPr>
          <w:rFonts w:cs="Calibri"/>
        </w:rPr>
        <w:t>O</w:t>
      </w:r>
      <w:r w:rsidRPr="00111D1F">
        <w:rPr>
          <w:rFonts w:cs="Calibri"/>
        </w:rPr>
        <w:t>nly viewing an agent as an active body capable of generating intentions can hold agents culpable and decipher the difference between actions and wishes.</w:t>
      </w:r>
      <w:r>
        <w:rPr>
          <w:rFonts w:cs="Calibri"/>
        </w:rPr>
        <w:t xml:space="preserve"> That’s a necessary feature of ethics since we must be able to warrant a coherent conception of what motivates our actions in order to provide a method to actually implement ethical principles.</w:t>
      </w:r>
    </w:p>
    <w:p w14:paraId="6F03B4CF" w14:textId="77777777" w:rsidR="005D5B28" w:rsidRDefault="005D5B28" w:rsidP="005D5B28">
      <w:pPr>
        <w:pStyle w:val="Analytic"/>
      </w:pPr>
      <w:r>
        <w:t xml:space="preserve">[2] </w:t>
      </w:r>
      <w:r>
        <w:rPr>
          <w:rFonts w:eastAsia="Times New Roman" w:cs="Times New Roman"/>
          <w:szCs w:val="24"/>
        </w:rPr>
        <w:t xml:space="preserve">Psychology – Agents intuitively don’t like consequences. </w:t>
      </w:r>
      <w:r w:rsidRPr="00BD5BE0">
        <w:rPr>
          <w:u w:val="single"/>
        </w:rPr>
        <w:t>Botti et al 09,</w:t>
      </w:r>
      <w:r w:rsidRPr="00F20C29">
        <w:t xml:space="preserve"> </w:t>
      </w:r>
      <w:r w:rsidRPr="007E7F0F">
        <w:rPr>
          <w:b w:val="0"/>
          <w:sz w:val="12"/>
          <w:szCs w:val="12"/>
        </w:rPr>
        <w:t xml:space="preserve">Botti, Simona, Kristina Orfali, and Sheena S. Iyengar. "Tragic Choices: Autonomy and Emotional Responses to Medical Decisions." </w:t>
      </w:r>
      <w:r w:rsidRPr="00F20C29">
        <w:rPr>
          <w:i/>
          <w:iCs/>
          <w:sz w:val="12"/>
          <w:szCs w:val="12"/>
        </w:rPr>
        <w:t>J Consum Res Journal of Consumer Research</w:t>
      </w:r>
      <w:r w:rsidRPr="007E7F0F">
        <w:rPr>
          <w:b w:val="0"/>
          <w:sz w:val="12"/>
          <w:szCs w:val="12"/>
        </w:rPr>
        <w:t xml:space="preserve"> 36.3 (2009): 337-52. 2009. Web. Specifically, we study how </w:t>
      </w:r>
      <w:r w:rsidRPr="00AF728D">
        <w:rPr>
          <w:u w:val="single"/>
        </w:rPr>
        <w:t>making a</w:t>
      </w:r>
      <w:r w:rsidRPr="00AF728D">
        <w:t xml:space="preserve"> </w:t>
      </w:r>
      <w:r w:rsidRPr="007E7F0F">
        <w:rPr>
          <w:b w:val="0"/>
          <w:sz w:val="12"/>
          <w:szCs w:val="12"/>
        </w:rPr>
        <w:t xml:space="preserve">tragic </w:t>
      </w:r>
      <w:r w:rsidRPr="00AF728D">
        <w:rPr>
          <w:u w:val="single"/>
        </w:rPr>
        <w:t>choice</w:t>
      </w:r>
      <w:r w:rsidRPr="00F20C29">
        <w:rPr>
          <w:u w:val="single"/>
        </w:rPr>
        <w:t>, versus having the same</w:t>
      </w:r>
      <w:r w:rsidRPr="00F20C29">
        <w:t xml:space="preserve"> </w:t>
      </w:r>
      <w:r w:rsidRPr="007E7F0F">
        <w:rPr>
          <w:b w:val="0"/>
          <w:sz w:val="12"/>
          <w:szCs w:val="12"/>
        </w:rPr>
        <w:t xml:space="preserve">tragic </w:t>
      </w:r>
      <w:r w:rsidRPr="00F20C29">
        <w:rPr>
          <w:u w:val="single"/>
        </w:rPr>
        <w:t>choice externally made, affects individuals’ desire for autonomy and their emotional reactions to the same decision</w:t>
      </w:r>
      <w:r w:rsidRPr="00F20C29">
        <w:t xml:space="preserve"> </w:t>
      </w:r>
      <w:r w:rsidRPr="007E7F0F">
        <w:rPr>
          <w:b w:val="0"/>
          <w:sz w:val="12"/>
          <w:szCs w:val="12"/>
        </w:rPr>
        <w:t>outcome. Prior research has shown that</w:t>
      </w:r>
      <w:r w:rsidRPr="00F20C29">
        <w:t xml:space="preserve"> </w:t>
      </w:r>
      <w:r w:rsidRPr="00F20C29">
        <w:rPr>
          <w:u w:val="single"/>
        </w:rPr>
        <w:t xml:space="preserve">the </w:t>
      </w:r>
      <w:r w:rsidRPr="00523E0B">
        <w:rPr>
          <w:highlight w:val="yellow"/>
          <w:u w:val="single"/>
        </w:rPr>
        <w:t>sense of agency</w:t>
      </w:r>
      <w:r w:rsidRPr="00F20C29">
        <w:t xml:space="preserve"> </w:t>
      </w:r>
      <w:r w:rsidRPr="007E7F0F">
        <w:rPr>
          <w:b w:val="0"/>
          <w:sz w:val="12"/>
          <w:szCs w:val="12"/>
        </w:rPr>
        <w:t>and internal locus of control</w:t>
      </w:r>
      <w:r w:rsidRPr="00F20C29">
        <w:t xml:space="preserve"> </w:t>
      </w:r>
      <w:r w:rsidRPr="00F20C29">
        <w:rPr>
          <w:u w:val="single"/>
        </w:rPr>
        <w:t>associated with the act of choosing lead to</w:t>
      </w:r>
      <w:r w:rsidRPr="00F20C29">
        <w:t xml:space="preserve"> </w:t>
      </w:r>
      <w:r w:rsidRPr="007E7F0F">
        <w:rPr>
          <w:b w:val="0"/>
          <w:sz w:val="12"/>
          <w:szCs w:val="12"/>
        </w:rPr>
        <w:t>perceptions of personal causality, whereas the imposition of a choice is removed from the idea of personal causality because it presupposes an external, rather than internal, locus of control (Brehm 1966; deCharms 1968; Deci and Ryan 1985; Langer 1975; Seligman 1975; Taylor and Brown 1988).</w:t>
      </w:r>
      <w:r w:rsidRPr="00F20C29">
        <w:t xml:space="preserve"> </w:t>
      </w:r>
      <w:r w:rsidRPr="00F20C29">
        <w:rPr>
          <w:u w:val="single"/>
        </w:rPr>
        <w:t>Stronger causal ascriptions</w:t>
      </w:r>
      <w:r w:rsidRPr="007E7F0F">
        <w:rPr>
          <w:b w:val="0"/>
          <w:sz w:val="12"/>
          <w:szCs w:val="12"/>
        </w:rPr>
        <w:t>, in turn,</w:t>
      </w:r>
      <w:r w:rsidRPr="00F20C29">
        <w:t xml:space="preserve"> </w:t>
      </w:r>
      <w:r w:rsidRPr="00F20C29">
        <w:rPr>
          <w:u w:val="single"/>
        </w:rPr>
        <w:t xml:space="preserve">have been found to </w:t>
      </w:r>
      <w:r w:rsidRPr="00523E0B">
        <w:rPr>
          <w:highlight w:val="yellow"/>
          <w:u w:val="single"/>
        </w:rPr>
        <w:t>magnify</w:t>
      </w:r>
      <w:r w:rsidRPr="00F20C29">
        <w:rPr>
          <w:u w:val="single"/>
        </w:rPr>
        <w:t xml:space="preserve"> the intensity of </w:t>
      </w:r>
      <w:r w:rsidRPr="00523E0B">
        <w:rPr>
          <w:highlight w:val="yellow"/>
          <w:u w:val="single"/>
        </w:rPr>
        <w:t>emotional responses</w:t>
      </w:r>
      <w:r w:rsidRPr="00F20C29">
        <w:t xml:space="preserve"> </w:t>
      </w:r>
      <w:r w:rsidRPr="007E7F0F">
        <w:rPr>
          <w:b w:val="0"/>
          <w:sz w:val="12"/>
          <w:szCs w:val="12"/>
        </w:rPr>
        <w:t>to an event,</w:t>
      </w:r>
      <w:r w:rsidRPr="00F20C29">
        <w:t xml:space="preserve"> </w:t>
      </w:r>
      <w:r w:rsidRPr="00F20C29">
        <w:rPr>
          <w:u w:val="single"/>
        </w:rPr>
        <w:t xml:space="preserve">so </w:t>
      </w:r>
      <w:r w:rsidRPr="00523E0B">
        <w:rPr>
          <w:highlight w:val="yellow"/>
          <w:u w:val="single"/>
        </w:rPr>
        <w:t>that</w:t>
      </w:r>
      <w:r w:rsidRPr="00F20C29">
        <w:rPr>
          <w:u w:val="single"/>
        </w:rPr>
        <w:t xml:space="preserve"> perceptions of personal causation </w:t>
      </w:r>
      <w:r w:rsidRPr="00523E0B">
        <w:rPr>
          <w:highlight w:val="yellow"/>
          <w:u w:val="single"/>
        </w:rPr>
        <w:t>intensify</w:t>
      </w:r>
      <w:r w:rsidRPr="00F20C29">
        <w:rPr>
          <w:u w:val="single"/>
        </w:rPr>
        <w:t xml:space="preserve"> </w:t>
      </w:r>
      <w:r w:rsidRPr="00523E0B">
        <w:rPr>
          <w:highlight w:val="yellow"/>
          <w:u w:val="single"/>
        </w:rPr>
        <w:t>positive affect</w:t>
      </w:r>
      <w:r w:rsidRPr="00F20C29">
        <w:t xml:space="preserve"> </w:t>
      </w:r>
      <w:r w:rsidRPr="007E7F0F">
        <w:rPr>
          <w:b w:val="0"/>
          <w:sz w:val="12"/>
          <w:szCs w:val="12"/>
        </w:rPr>
        <w:t>from desirable outcomes but also enhance negative affect from undesirable outcomes (Gilovich, Medvec, and Chen 1995; Landman 1987; Ritov and Baron 1995; Weiner 1986). Thus, we hypothesize that a decision outcome following a tragic choice will generate more extreme negative emotions when it is personally chosen because of a greater sense of causality; in contrast, when the same tragic choice is externally determined, negative emotions will be lessened by the per- ceived absence of a causal link with the aversive experience.  Yet</w:t>
      </w:r>
      <w:r w:rsidRPr="00F20C29">
        <w:t xml:space="preserve"> </w:t>
      </w:r>
      <w:r w:rsidRPr="00F20C29">
        <w:rPr>
          <w:u w:val="single"/>
        </w:rPr>
        <w:t>the torments of making tragic choices do not</w:t>
      </w:r>
      <w:r w:rsidRPr="00F20C29">
        <w:t xml:space="preserve"> </w:t>
      </w:r>
      <w:r w:rsidRPr="007E7F0F">
        <w:rPr>
          <w:b w:val="0"/>
          <w:sz w:val="12"/>
          <w:szCs w:val="12"/>
        </w:rPr>
        <w:t xml:space="preserve">necessarily </w:t>
      </w:r>
      <w:r w:rsidRPr="00F20C29">
        <w:rPr>
          <w:u w:val="single"/>
        </w:rPr>
        <w:t xml:space="preserve">reduce </w:t>
      </w:r>
      <w:r w:rsidRPr="00523E0B">
        <w:rPr>
          <w:highlight w:val="yellow"/>
          <w:u w:val="single"/>
        </w:rPr>
        <w:t>people</w:t>
      </w:r>
      <w:r w:rsidRPr="00F20C29">
        <w:rPr>
          <w:u w:val="single"/>
        </w:rPr>
        <w:t>’s desire for autonomy.</w:t>
      </w:r>
      <w:r w:rsidRPr="00F20C29">
        <w:t xml:space="preserve"> </w:t>
      </w:r>
      <w:r w:rsidRPr="007E7F0F">
        <w:rPr>
          <w:b w:val="0"/>
          <w:sz w:val="12"/>
          <w:szCs w:val="12"/>
        </w:rPr>
        <w:t>Prior</w:t>
      </w:r>
      <w:r w:rsidRPr="00F20C29">
        <w:t xml:space="preserve"> </w:t>
      </w:r>
      <w:r w:rsidRPr="00F20C29">
        <w:rPr>
          <w:u w:val="single"/>
        </w:rPr>
        <w:t xml:space="preserve">research has shown that consumers </w:t>
      </w:r>
      <w:r w:rsidRPr="00523E0B">
        <w:rPr>
          <w:highlight w:val="yellow"/>
          <w:u w:val="single"/>
        </w:rPr>
        <w:t>confronted with choices that detrimentally affect</w:t>
      </w:r>
      <w:r w:rsidRPr="00F20C29">
        <w:rPr>
          <w:u w:val="single"/>
        </w:rPr>
        <w:t xml:space="preserve"> their </w:t>
      </w:r>
      <w:r w:rsidRPr="00523E0B">
        <w:rPr>
          <w:highlight w:val="yellow"/>
          <w:u w:val="single"/>
        </w:rPr>
        <w:t>well-being still prefer making these choices</w:t>
      </w:r>
      <w:r w:rsidRPr="00F20C29">
        <w:rPr>
          <w:u w:val="single"/>
        </w:rPr>
        <w:t xml:space="preserve"> themselves rather than having the same choices made for them by somebody else</w:t>
      </w:r>
      <w:r w:rsidRPr="00F20C29">
        <w:t xml:space="preserve"> </w:t>
      </w:r>
      <w:r w:rsidRPr="007E7F0F">
        <w:rPr>
          <w:b w:val="0"/>
          <w:sz w:val="12"/>
          <w:szCs w:val="12"/>
        </w:rPr>
        <w:t xml:space="preserve">(Botti and Iyengar 2004; Botti and McGill 2006). </w:t>
      </w:r>
      <w:r w:rsidRPr="00F20C29">
        <w:rPr>
          <w:u w:val="single"/>
        </w:rPr>
        <w:t xml:space="preserve">This </w:t>
      </w:r>
      <w:r w:rsidRPr="00523E0B">
        <w:rPr>
          <w:highlight w:val="yellow"/>
          <w:u w:val="single"/>
        </w:rPr>
        <w:t>desire for</w:t>
      </w:r>
      <w:r w:rsidRPr="00F20C29">
        <w:rPr>
          <w:u w:val="single"/>
        </w:rPr>
        <w:t xml:space="preserve"> </w:t>
      </w:r>
      <w:r w:rsidRPr="00523E0B">
        <w:rPr>
          <w:highlight w:val="yellow"/>
          <w:u w:val="single"/>
        </w:rPr>
        <w:t>choice in spite of its</w:t>
      </w:r>
      <w:r w:rsidRPr="00F20C29">
        <w:rPr>
          <w:u w:val="single"/>
        </w:rPr>
        <w:t xml:space="preserve"> negative </w:t>
      </w:r>
      <w:r w:rsidRPr="00523E0B">
        <w:rPr>
          <w:highlight w:val="yellow"/>
          <w:u w:val="single"/>
        </w:rPr>
        <w:t>consequences can be attributed to</w:t>
      </w:r>
      <w:r w:rsidRPr="00F20C29">
        <w:rPr>
          <w:u w:val="single"/>
        </w:rPr>
        <w:t xml:space="preserve"> consumers’ belief that they will maximize subjective utility by </w:t>
      </w:r>
      <w:r w:rsidRPr="00523E0B">
        <w:rPr>
          <w:highlight w:val="yellow"/>
          <w:u w:val="single"/>
        </w:rPr>
        <w:t>selecting the option that</w:t>
      </w:r>
      <w:r w:rsidRPr="00F20C29">
        <w:rPr>
          <w:u w:val="single"/>
        </w:rPr>
        <w:t xml:space="preserve"> best </w:t>
      </w:r>
      <w:r w:rsidRPr="00523E0B">
        <w:rPr>
          <w:highlight w:val="yellow"/>
          <w:u w:val="single"/>
        </w:rPr>
        <w:t>matches personal preferences</w:t>
      </w:r>
      <w:r w:rsidRPr="00F20C29">
        <w:t xml:space="preserve"> </w:t>
      </w:r>
      <w:r w:rsidRPr="007E7F0F">
        <w:rPr>
          <w:b w:val="0"/>
          <w:sz w:val="12"/>
          <w:szCs w:val="12"/>
        </w:rPr>
        <w:t>(Hotelling 1929).</w:t>
      </w:r>
      <w:r w:rsidRPr="00F20C29">
        <w:t xml:space="preserve"> </w:t>
      </w:r>
      <w:r w:rsidRPr="00F20C29">
        <w:rPr>
          <w:u w:val="single"/>
        </w:rPr>
        <w:t>Even when individuals are unaware of their preferences, choosing activates a psychological immune system that facilitates preference matching by subjectively bolstering the value of a personally selected outcome</w:t>
      </w:r>
      <w:r w:rsidRPr="00F20C29">
        <w:t xml:space="preserve"> </w:t>
      </w:r>
      <w:r w:rsidRPr="007E7F0F">
        <w:rPr>
          <w:b w:val="0"/>
          <w:sz w:val="12"/>
          <w:szCs w:val="12"/>
        </w:rPr>
        <w:t xml:space="preserve">(Gilbert et al. 1998). Through subjective bolstering </w:t>
      </w:r>
      <w:r w:rsidRPr="00F20C29">
        <w:rPr>
          <w:u w:val="single"/>
        </w:rPr>
        <w:t>decision makers are able to reduce the emotional discomfort of decisions that may not be consistent with individual preferences</w:t>
      </w:r>
      <w:r w:rsidRPr="00F20C29">
        <w:t xml:space="preserve"> </w:t>
      </w:r>
      <w:r w:rsidRPr="007E7F0F">
        <w:rPr>
          <w:b w:val="0"/>
          <w:sz w:val="12"/>
          <w:szCs w:val="12"/>
        </w:rPr>
        <w:t>by con- vincing themselves and others that they had chosen the best- matching option (Brehm 1966; Festinger 1957; Shafir et al. 1993).</w:t>
      </w:r>
      <w:r w:rsidRPr="00F20C29">
        <w:t xml:space="preserve"> </w:t>
      </w:r>
    </w:p>
    <w:p w14:paraId="7C3C4EF3" w14:textId="77777777" w:rsidR="005D5B28" w:rsidRDefault="005D5B28" w:rsidP="005D5B28"/>
    <w:p w14:paraId="30ADB3E5" w14:textId="77777777" w:rsidR="005D5B28" w:rsidRPr="00186517" w:rsidRDefault="005D5B28" w:rsidP="005D5B28"/>
    <w:p w14:paraId="12DB1629" w14:textId="77777777" w:rsidR="005D5B28" w:rsidRDefault="005D5B28" w:rsidP="005D5B28"/>
    <w:p w14:paraId="79EDDEAF" w14:textId="77777777" w:rsidR="005D5B28" w:rsidRDefault="005D5B28" w:rsidP="005D5B28">
      <w:pPr>
        <w:pStyle w:val="Heading4"/>
        <w:rPr>
          <w:rFonts w:ascii="Times New Roman" w:hAnsi="Times New Roman" w:cs="Times New Roman"/>
        </w:rPr>
      </w:pPr>
      <w:r>
        <w:rPr>
          <w:rFonts w:ascii="Times New Roman" w:hAnsi="Times New Roman" w:cs="Times New Roman"/>
        </w:rPr>
        <w:t xml:space="preserve">I contend that the appropriation of outer space is not unjust. </w:t>
      </w:r>
    </w:p>
    <w:p w14:paraId="3584DDD4" w14:textId="77777777" w:rsidR="005D5B28" w:rsidRDefault="005D5B28" w:rsidP="005D5B28"/>
    <w:p w14:paraId="453EEA67" w14:textId="77777777" w:rsidR="005D5B28" w:rsidRPr="00254F23" w:rsidRDefault="005D5B28" w:rsidP="005D5B28">
      <w:pPr>
        <w:pStyle w:val="Heading4"/>
        <w:rPr>
          <w:rFonts w:ascii="Times New Roman" w:hAnsi="Times New Roman" w:cs="Times New Roman"/>
        </w:rPr>
      </w:pPr>
      <w:r>
        <w:rPr>
          <w:rFonts w:ascii="Times New Roman" w:hAnsi="Times New Roman" w:cs="Times New Roman"/>
        </w:rPr>
        <w:lastRenderedPageBreak/>
        <w:t xml:space="preserve">1. A) </w:t>
      </w:r>
      <w:r w:rsidRPr="00254F23">
        <w:rPr>
          <w:rFonts w:ascii="Times New Roman" w:hAnsi="Times New Roman" w:cs="Times New Roman"/>
        </w:rPr>
        <w:t xml:space="preserve">Appropriation </w:t>
      </w:r>
      <w:r>
        <w:rPr>
          <w:rFonts w:ascii="Times New Roman" w:hAnsi="Times New Roman" w:cs="Times New Roman"/>
        </w:rPr>
        <w:t>is what</w:t>
      </w:r>
      <w:r w:rsidRPr="00254F23">
        <w:rPr>
          <w:rFonts w:ascii="Times New Roman" w:hAnsi="Times New Roman" w:cs="Times New Roman"/>
        </w:rPr>
        <w:t xml:space="preserve"> </w:t>
      </w:r>
      <w:r>
        <w:rPr>
          <w:rFonts w:ascii="Times New Roman" w:hAnsi="Times New Roman" w:cs="Times New Roman"/>
        </w:rPr>
        <w:t xml:space="preserve">produces </w:t>
      </w:r>
      <w:r w:rsidRPr="00254F23">
        <w:rPr>
          <w:rFonts w:ascii="Times New Roman" w:hAnsi="Times New Roman" w:cs="Times New Roman"/>
        </w:rPr>
        <w:t>meaning</w:t>
      </w:r>
      <w:r>
        <w:rPr>
          <w:rFonts w:ascii="Times New Roman" w:hAnsi="Times New Roman" w:cs="Times New Roman"/>
        </w:rPr>
        <w:t xml:space="preserve">. mixing our will with the cosmos is what allows us to ground ourselves as subjects. B) Fixation – Preventing space exploration artificially limits the possibility of human experience, which alienates us from our potential and from the world that exists beyond the arbitrary limits of our atmosphere C) Increases our connection to nature </w:t>
      </w:r>
    </w:p>
    <w:p w14:paraId="19B349D6" w14:textId="77777777" w:rsidR="005D5B28" w:rsidRDefault="005D5B28" w:rsidP="005D5B28"/>
    <w:p w14:paraId="0E24571C" w14:textId="77777777" w:rsidR="005D5B28" w:rsidRDefault="005D5B28" w:rsidP="005D5B28">
      <w:pPr>
        <w:pStyle w:val="Heading4"/>
        <w:rPr>
          <w:rFonts w:ascii="Times New Roman" w:hAnsi="Times New Roman" w:cs="Times New Roman"/>
        </w:rPr>
      </w:pPr>
      <w:r>
        <w:rPr>
          <w:rFonts w:ascii="Times New Roman" w:hAnsi="Times New Roman" w:cs="Times New Roman"/>
        </w:rPr>
        <w:t xml:space="preserve">2. Epistemology – Ideas are generated through material action and confrontation – that requires an exploration of an idea in order to create a thesis and begin the epistemological process of ethics creation. This requires us to </w:t>
      </w:r>
      <w:r w:rsidRPr="00254F23">
        <w:rPr>
          <w:rFonts w:ascii="Times New Roman" w:hAnsi="Times New Roman" w:cs="Times New Roman"/>
        </w:rPr>
        <w:t xml:space="preserve">appropriate </w:t>
      </w:r>
      <w:r>
        <w:rPr>
          <w:rFonts w:ascii="Times New Roman" w:hAnsi="Times New Roman" w:cs="Times New Roman"/>
        </w:rPr>
        <w:t>space since only the act of appropriation can begin the process of understanding and making a judgement of it as an externality.</w:t>
      </w:r>
    </w:p>
    <w:p w14:paraId="232E81C6" w14:textId="77777777" w:rsidR="005D5B28" w:rsidRDefault="005D5B28" w:rsidP="005D5B28"/>
    <w:p w14:paraId="4A355009" w14:textId="77777777" w:rsidR="005D5B28" w:rsidRPr="00F43DE3" w:rsidRDefault="005D5B28" w:rsidP="005D5B28">
      <w:pPr>
        <w:pStyle w:val="Heading4"/>
        <w:rPr>
          <w:rFonts w:cs="Calibri"/>
        </w:rPr>
      </w:pPr>
      <w:r>
        <w:t xml:space="preserve">3. </w:t>
      </w:r>
      <w:r>
        <w:rPr>
          <w:rFonts w:cs="Calibri"/>
        </w:rPr>
        <w:t>Private property</w:t>
      </w:r>
      <w:r w:rsidRPr="00F43DE3">
        <w:rPr>
          <w:rFonts w:cs="Calibri"/>
        </w:rPr>
        <w:t xml:space="preserve"> is key to recognizing agents through the personality in their work. Recognition is necessary for agents to be non-alienated </w:t>
      </w:r>
      <w:r>
        <w:rPr>
          <w:rFonts w:cs="Calibri"/>
        </w:rPr>
        <w:t xml:space="preserve">bc we need to establish relations with the world. </w:t>
      </w:r>
      <w:r w:rsidRPr="00F43DE3">
        <w:rPr>
          <w:rFonts w:cs="Calibri"/>
        </w:rPr>
        <w:t xml:space="preserve"> </w:t>
      </w:r>
    </w:p>
    <w:p w14:paraId="7A4C5191" w14:textId="77777777" w:rsidR="005D5B28" w:rsidRPr="00F43DE3" w:rsidRDefault="005D5B28" w:rsidP="005D5B28">
      <w:r w:rsidRPr="00F43DE3">
        <w:rPr>
          <w:b/>
          <w:bCs/>
          <w:sz w:val="26"/>
          <w:szCs w:val="26"/>
        </w:rPr>
        <w:t xml:space="preserve">Hughes </w:t>
      </w:r>
      <w:r>
        <w:rPr>
          <w:b/>
          <w:bCs/>
          <w:sz w:val="26"/>
          <w:szCs w:val="26"/>
        </w:rPr>
        <w:t>98</w:t>
      </w:r>
      <w:r w:rsidRPr="00F43DE3">
        <w:rPr>
          <w:b/>
          <w:bCs/>
          <w:sz w:val="26"/>
          <w:szCs w:val="26"/>
        </w:rPr>
        <w:t xml:space="preserve"> -</w:t>
      </w:r>
      <w:r w:rsidRPr="00F43DE3">
        <w:t xml:space="preserve"> "The Philosophy of Intellectual Property," 77 Georgetown L.J. 287, 330-350 (1988)  by Justin Hughes [https://cyber.harvard.edu/IPCoop/88hugh2.html] // ahs emi</w:t>
      </w:r>
    </w:p>
    <w:p w14:paraId="5CE221E2" w14:textId="77777777" w:rsidR="005D5B28" w:rsidRPr="00F43DE3" w:rsidRDefault="005D5B28" w:rsidP="005D5B28">
      <w:pPr>
        <w:pStyle w:val="NormalWeb"/>
        <w:rPr>
          <w:rFonts w:ascii="Calibri" w:hAnsi="Calibri" w:cs="Calibri"/>
          <w:color w:val="000000"/>
          <w:sz w:val="12"/>
          <w:szCs w:val="27"/>
        </w:rPr>
      </w:pPr>
      <w:r w:rsidRPr="00F43DE3">
        <w:rPr>
          <w:rFonts w:ascii="Calibri" w:hAnsi="Calibri" w:cs="Calibri"/>
          <w:color w:val="000000"/>
          <w:sz w:val="12"/>
          <w:szCs w:val="27"/>
        </w:rPr>
        <w:t xml:space="preserve">At first blush, this economic rationale seems far removed from the concerns of personality theory, </w:t>
      </w:r>
      <w:hyperlink r:id="rId5" w:anchor="n244" w:history="1">
        <w:r w:rsidRPr="00F43DE3">
          <w:rPr>
            <w:rStyle w:val="Hyperlink"/>
            <w:rFonts w:eastAsiaTheme="majorEastAsia" w:cs="Calibri"/>
            <w:sz w:val="12"/>
            <w:szCs w:val="27"/>
          </w:rPr>
          <w:t>n244</w:t>
        </w:r>
      </w:hyperlink>
      <w:r w:rsidRPr="00F43DE3">
        <w:rPr>
          <w:rFonts w:ascii="Calibri" w:hAnsi="Calibri" w:cs="Calibri"/>
          <w:color w:val="000000"/>
          <w:sz w:val="12"/>
          <w:szCs w:val="27"/>
        </w:rPr>
        <w:t xml:space="preserve"> yet it can be recast into the framework of the personality theory. From the Hegelian </w:t>
      </w:r>
      <w:r w:rsidRPr="004F5D03">
        <w:rPr>
          <w:rFonts w:ascii="Calibri" w:hAnsi="Calibri" w:cs="Calibri"/>
          <w:color w:val="000000"/>
          <w:sz w:val="12"/>
          <w:szCs w:val="27"/>
        </w:rPr>
        <w:t xml:space="preserve">perspective, </w:t>
      </w:r>
      <w:r w:rsidRPr="004F5D03">
        <w:rPr>
          <w:rStyle w:val="StyleUnderline"/>
          <w:rFonts w:eastAsiaTheme="majorEastAsia" w:cs="Calibri"/>
          <w:highlight w:val="yellow"/>
        </w:rPr>
        <w:t>payments from</w:t>
      </w:r>
      <w:r w:rsidRPr="004F5D03">
        <w:rPr>
          <w:rStyle w:val="StyleUnderline"/>
          <w:rFonts w:eastAsiaTheme="majorEastAsia" w:cs="Calibri"/>
        </w:rPr>
        <w:t xml:space="preserve"> intellectual</w:t>
      </w:r>
      <w:r w:rsidRPr="00F43DE3">
        <w:rPr>
          <w:rStyle w:val="StyleUnderline"/>
          <w:rFonts w:eastAsiaTheme="majorEastAsia" w:cs="Calibri"/>
          <w:highlight w:val="yellow"/>
        </w:rPr>
        <w:t xml:space="preserve"> property </w:t>
      </w:r>
      <w:r w:rsidRPr="004F5D03">
        <w:rPr>
          <w:rStyle w:val="StyleUnderline"/>
          <w:rFonts w:eastAsiaTheme="majorEastAsia" w:cs="Calibri"/>
        </w:rPr>
        <w:t xml:space="preserve">users to the property creator </w:t>
      </w:r>
      <w:r w:rsidRPr="00F43DE3">
        <w:rPr>
          <w:rStyle w:val="StyleUnderline"/>
          <w:rFonts w:eastAsiaTheme="majorEastAsia" w:cs="Calibri"/>
          <w:highlight w:val="yellow"/>
        </w:rPr>
        <w:t>are acts of recognition.</w:t>
      </w:r>
      <w:r w:rsidRPr="00F43DE3">
        <w:rPr>
          <w:rFonts w:ascii="Calibri" w:hAnsi="Calibri" w:cs="Calibri"/>
          <w:color w:val="000000"/>
          <w:sz w:val="12"/>
          <w:szCs w:val="27"/>
        </w:rPr>
        <w:t xml:space="preserve"> These </w:t>
      </w:r>
      <w:r w:rsidRPr="00F43DE3">
        <w:rPr>
          <w:rStyle w:val="StyleUnderline"/>
          <w:rFonts w:eastAsiaTheme="majorEastAsia" w:cs="Calibri"/>
        </w:rPr>
        <w:t xml:space="preserve">payments acknowledge the individual's claim over the property, and </w:t>
      </w:r>
      <w:r w:rsidRPr="00F43DE3">
        <w:rPr>
          <w:rStyle w:val="StyleUnderline"/>
          <w:rFonts w:eastAsiaTheme="majorEastAsia" w:cs="Calibri"/>
          <w:highlight w:val="yellow"/>
        </w:rPr>
        <w:t>it is through</w:t>
      </w:r>
      <w:r w:rsidRPr="00F43DE3">
        <w:rPr>
          <w:rStyle w:val="StyleUnderline"/>
          <w:rFonts w:eastAsiaTheme="majorEastAsia" w:cs="Calibri"/>
        </w:rPr>
        <w:t xml:space="preserve"> such </w:t>
      </w:r>
      <w:r w:rsidRPr="00F43DE3">
        <w:rPr>
          <w:rStyle w:val="StyleUnderline"/>
          <w:rFonts w:eastAsiaTheme="majorEastAsia" w:cs="Calibri"/>
          <w:highlight w:val="yellow"/>
        </w:rPr>
        <w:t>acknowledgement that an individual is recognized by others as a person.</w:t>
      </w:r>
      <w:r w:rsidRPr="00F43DE3">
        <w:rPr>
          <w:rFonts w:ascii="Calibri" w:hAnsi="Calibri" w:cs="Calibri"/>
          <w:color w:val="000000"/>
          <w:sz w:val="12"/>
          <w:szCs w:val="27"/>
        </w:rPr>
        <w:t xml:space="preserve"> </w:t>
      </w:r>
      <w:hyperlink r:id="rId6" w:anchor="n245" w:history="1">
        <w:r w:rsidRPr="00F43DE3">
          <w:rPr>
            <w:rStyle w:val="Hyperlink"/>
            <w:rFonts w:eastAsiaTheme="majorEastAsia" w:cs="Calibri"/>
            <w:sz w:val="12"/>
            <w:szCs w:val="27"/>
          </w:rPr>
          <w:t>n245</w:t>
        </w:r>
      </w:hyperlink>
      <w:r w:rsidRPr="00F43DE3">
        <w:rPr>
          <w:rFonts w:ascii="Calibri" w:hAnsi="Calibri" w:cs="Calibri"/>
          <w:color w:val="000000"/>
          <w:sz w:val="12"/>
          <w:szCs w:val="27"/>
        </w:rPr>
        <w:t xml:space="preserve"> "Recognition" involves more than lip service. If I say "this forest is your property" and then proceed to flagrantly trespass, cut your timber, and hunt your deer, I have not recognized your property rights. Similarly, verbal recognition of an intellectual property claim is not equal to the recognition implicit in a payment. Purchasers of a copyrighted work or licensees of a patent form a circle of people recognizing the creator as a person. Furthermore, </w:t>
      </w:r>
      <w:r w:rsidRPr="00F43DE3">
        <w:rPr>
          <w:rStyle w:val="StyleUnderline"/>
          <w:rFonts w:eastAsiaTheme="majorEastAsia" w:cs="Calibri"/>
        </w:rPr>
        <w:t xml:space="preserve">this generation of </w:t>
      </w:r>
      <w:r w:rsidRPr="00F43DE3">
        <w:rPr>
          <w:rStyle w:val="StyleUnderline"/>
          <w:rFonts w:eastAsiaTheme="majorEastAsia" w:cs="Calibri"/>
          <w:highlight w:val="yellow"/>
        </w:rPr>
        <w:t>income complements the personality theory</w:t>
      </w:r>
      <w:r w:rsidRPr="00F43DE3">
        <w:rPr>
          <w:rStyle w:val="StyleUnderline"/>
          <w:rFonts w:eastAsiaTheme="majorEastAsia" w:cs="Calibri"/>
        </w:rPr>
        <w:t xml:space="preserve"> in </w:t>
      </w:r>
      <w:r w:rsidRPr="00F43DE3">
        <w:rPr>
          <w:rStyle w:val="StyleUnderline"/>
          <w:rFonts w:eastAsiaTheme="majorEastAsia" w:cs="Calibri"/>
          <w:highlight w:val="yellow"/>
        </w:rPr>
        <w:t>as</w:t>
      </w:r>
      <w:r w:rsidRPr="00F43DE3">
        <w:rPr>
          <w:rStyle w:val="StyleUnderline"/>
          <w:rFonts w:eastAsiaTheme="majorEastAsia" w:cs="Calibri"/>
        </w:rPr>
        <w:t xml:space="preserve"> much as </w:t>
      </w:r>
      <w:r w:rsidRPr="00F43DE3">
        <w:rPr>
          <w:rStyle w:val="StyleUnderline"/>
          <w:rFonts w:eastAsiaTheme="majorEastAsia" w:cs="Calibri"/>
          <w:highlight w:val="yellow"/>
        </w:rPr>
        <w:t>income facilitates further expression.</w:t>
      </w:r>
      <w:r w:rsidRPr="00F43DE3">
        <w:rPr>
          <w:rStyle w:val="StyleUnderline"/>
          <w:rFonts w:eastAsiaTheme="majorEastAsia" w:cs="Calibri"/>
        </w:rPr>
        <w:t xml:space="preserve"> </w:t>
      </w:r>
      <w:r w:rsidRPr="00F43DE3">
        <w:rPr>
          <w:rFonts w:ascii="Calibri" w:hAnsi="Calibri" w:cs="Calibri"/>
          <w:color w:val="000000"/>
          <w:sz w:val="12"/>
          <w:szCs w:val="27"/>
        </w:rPr>
        <w:t xml:space="preserve">When </w:t>
      </w:r>
      <w:r w:rsidRPr="00F43DE3">
        <w:rPr>
          <w:rStyle w:val="StyleUnderline"/>
          <w:rFonts w:eastAsiaTheme="majorEastAsia" w:cs="Calibri"/>
          <w:highlight w:val="yellow"/>
        </w:rPr>
        <w:t>royalties from an invention</w:t>
      </w:r>
      <w:r w:rsidRPr="00F43DE3">
        <w:rPr>
          <w:rFonts w:ascii="Calibri" w:hAnsi="Calibri" w:cs="Calibri"/>
          <w:color w:val="000000"/>
          <w:sz w:val="12"/>
          <w:szCs w:val="27"/>
        </w:rPr>
        <w:t xml:space="preserve"> allow the inventor to buy a grand piano he has always wanted, the transaction helps </w:t>
      </w:r>
      <w:r w:rsidRPr="00F43DE3">
        <w:rPr>
          <w:rStyle w:val="StyleUnderline"/>
          <w:rFonts w:eastAsiaTheme="majorEastAsia" w:cs="Calibri"/>
          <w:highlight w:val="yellow"/>
        </w:rPr>
        <w:t>maximize personality.</w:t>
      </w:r>
      <w:r w:rsidRPr="00F43DE3">
        <w:rPr>
          <w:rStyle w:val="StyleUnderline"/>
          <w:rFonts w:eastAsiaTheme="majorEastAsia" w:cs="Calibri"/>
        </w:rPr>
        <w:t xml:space="preserve"> </w:t>
      </w:r>
      <w:r w:rsidRPr="00F43DE3">
        <w:rPr>
          <w:rFonts w:ascii="Calibri" w:hAnsi="Calibri" w:cs="Calibri"/>
          <w:color w:val="000000"/>
          <w:sz w:val="12"/>
          <w:szCs w:val="27"/>
        </w:rPr>
        <w:t xml:space="preserve">But this argument tends to be too broad. First, much income is used for basic necessities, leading to the vacuous position that life-sustenance is "personally maximizing" because it allows the personality to continue. Second, this approach could justify property rights for after-the-fact development of personality interests without requiring [*350] such interests in the property at the time the property rights are granted. The personality theory provides a better, more direct justification for the alienation of intellectual property, especially copies. The alienation of </w:t>
      </w:r>
      <w:r w:rsidRPr="00F43DE3">
        <w:rPr>
          <w:rStyle w:val="StyleUnderline"/>
          <w:rFonts w:eastAsiaTheme="majorEastAsia" w:cs="Calibri"/>
          <w:highlight w:val="yellow"/>
        </w:rPr>
        <w:t>copies</w:t>
      </w:r>
      <w:r w:rsidRPr="00F43DE3">
        <w:rPr>
          <w:rStyle w:val="StyleUnderline"/>
          <w:rFonts w:eastAsiaTheme="majorEastAsia" w:cs="Calibri"/>
        </w:rPr>
        <w:t xml:space="preserve"> is perhaps the most rational way to </w:t>
      </w:r>
      <w:r w:rsidRPr="00F43DE3">
        <w:rPr>
          <w:rStyle w:val="StyleUnderline"/>
          <w:rFonts w:eastAsiaTheme="majorEastAsia" w:cs="Calibri"/>
          <w:highlight w:val="yellow"/>
        </w:rPr>
        <w:t>gain exposure for one's ideas</w:t>
      </w:r>
      <w:r w:rsidRPr="00F43DE3">
        <w:rPr>
          <w:rStyle w:val="StyleUnderline"/>
          <w:rFonts w:eastAsiaTheme="majorEastAsia" w:cs="Calibri"/>
        </w:rPr>
        <w:t>.</w:t>
      </w:r>
      <w:r w:rsidRPr="00F43DE3">
        <w:rPr>
          <w:rFonts w:ascii="Calibri" w:hAnsi="Calibri" w:cs="Calibri"/>
          <w:color w:val="000000"/>
          <w:sz w:val="12"/>
          <w:szCs w:val="27"/>
        </w:rPr>
        <w:t xml:space="preserve"> This is a non-economic, and perhaps higher, form of the idea of recognition: </w:t>
      </w:r>
      <w:r w:rsidRPr="00F43DE3">
        <w:rPr>
          <w:rStyle w:val="StyleUnderline"/>
          <w:rFonts w:eastAsiaTheme="majorEastAsia" w:cs="Calibri"/>
          <w:highlight w:val="yellow"/>
        </w:rPr>
        <w:t>respect, honor, and admiration</w:t>
      </w:r>
      <w:r w:rsidRPr="00F43DE3">
        <w:rPr>
          <w:rFonts w:ascii="Calibri" w:hAnsi="Calibri" w:cs="Calibri"/>
          <w:color w:val="000000"/>
          <w:sz w:val="12"/>
          <w:szCs w:val="27"/>
          <w:highlight w:val="yellow"/>
        </w:rPr>
        <w:t>.</w:t>
      </w:r>
      <w:r w:rsidRPr="00F43DE3">
        <w:rPr>
          <w:rFonts w:ascii="Calibri" w:hAnsi="Calibri" w:cs="Calibri"/>
          <w:color w:val="000000"/>
          <w:sz w:val="12"/>
          <w:szCs w:val="27"/>
        </w:rPr>
        <w:t xml:space="preserve"> Even for starving artists recognition of this sort may be far more valuable than economic rewards. Two conditions appear essential, however, to this justification of alienation: first, the creator of the work must receive public identification, and, second, the work must receive protection against any changes unintended or unapproved by the creator.VARA Hegel's prohibition of "complete" alienation of intellectual property appears to result from his recognition of the necessity for these two conditions. While he would permit alienation of copies, and even the rights to further reproduction, </w:t>
      </w:r>
      <w:hyperlink r:id="rId7" w:anchor="n246" w:history="1">
        <w:r w:rsidRPr="00F43DE3">
          <w:rPr>
            <w:rStyle w:val="Hyperlink"/>
            <w:rFonts w:eastAsiaTheme="majorEastAsia" w:cs="Calibri"/>
            <w:sz w:val="12"/>
            <w:szCs w:val="27"/>
          </w:rPr>
          <w:t>n246</w:t>
        </w:r>
      </w:hyperlink>
      <w:r w:rsidRPr="00F43DE3">
        <w:rPr>
          <w:rFonts w:ascii="Calibri" w:hAnsi="Calibri" w:cs="Calibri"/>
          <w:color w:val="000000"/>
          <w:sz w:val="12"/>
          <w:szCs w:val="27"/>
        </w:rPr>
        <w:t xml:space="preserve"> he disapproves alienation of "those goods, or rather substantive characteristics, which constitute . . . private personality and the universal essence of . . . self-consciousness." </w:t>
      </w:r>
      <w:hyperlink r:id="rId8" w:anchor="n247" w:history="1">
        <w:r w:rsidRPr="00F43DE3">
          <w:rPr>
            <w:rStyle w:val="Hyperlink"/>
            <w:rFonts w:eastAsiaTheme="majorEastAsia" w:cs="Calibri"/>
            <w:sz w:val="12"/>
            <w:szCs w:val="27"/>
          </w:rPr>
          <w:t>n247</w:t>
        </w:r>
      </w:hyperlink>
      <w:r w:rsidRPr="00F43DE3">
        <w:rPr>
          <w:rFonts w:ascii="Calibri" w:hAnsi="Calibri" w:cs="Calibri"/>
          <w:color w:val="000000"/>
          <w:sz w:val="12"/>
          <w:szCs w:val="27"/>
        </w:rPr>
        <w:t xml:space="preserve"> Such </w:t>
      </w:r>
      <w:r w:rsidRPr="00F43DE3">
        <w:rPr>
          <w:rStyle w:val="StyleUnderline"/>
          <w:rFonts w:eastAsiaTheme="majorEastAsia" w:cs="Calibri"/>
          <w:highlight w:val="yellow"/>
        </w:rPr>
        <w:t>alienation</w:t>
      </w:r>
      <w:r w:rsidRPr="00F43DE3">
        <w:rPr>
          <w:rStyle w:val="StyleUnderline"/>
          <w:rFonts w:eastAsiaTheme="majorEastAsia" w:cs="Calibri"/>
        </w:rPr>
        <w:t xml:space="preserve"> necessarily </w:t>
      </w:r>
      <w:r w:rsidRPr="00F43DE3">
        <w:rPr>
          <w:rStyle w:val="StyleUnderline"/>
          <w:rFonts w:eastAsiaTheme="majorEastAsia" w:cs="Calibri"/>
          <w:highlight w:val="yellow"/>
        </w:rPr>
        <w:t>occurs if the recognition of the connection between a creator and his expression is destroyed or distorted</w:t>
      </w:r>
      <w:r w:rsidRPr="00F43DE3">
        <w:rPr>
          <w:rFonts w:ascii="Calibri" w:hAnsi="Calibri" w:cs="Calibri"/>
          <w:color w:val="000000"/>
          <w:sz w:val="12"/>
          <w:szCs w:val="27"/>
          <w:highlight w:val="yellow"/>
        </w:rPr>
        <w:t>.</w:t>
      </w:r>
      <w:r w:rsidRPr="00F43DE3">
        <w:rPr>
          <w:rFonts w:ascii="Calibri" w:hAnsi="Calibri" w:cs="Calibri"/>
          <w:color w:val="000000"/>
          <w:sz w:val="12"/>
          <w:szCs w:val="27"/>
        </w:rPr>
        <w:t xml:space="preserve"> When the first condition is violated, this recognition is destroyed; when the second condition is violated, it is distorted.</w:t>
      </w:r>
    </w:p>
    <w:p w14:paraId="2A595F9F" w14:textId="77777777" w:rsidR="002748E7" w:rsidRPr="005D5B28" w:rsidRDefault="002748E7" w:rsidP="005D5B28"/>
    <w:sectPr w:rsidR="002748E7" w:rsidRPr="005D5B28"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F6B"/>
    <w:rsid w:val="0001390E"/>
    <w:rsid w:val="00083981"/>
    <w:rsid w:val="00186517"/>
    <w:rsid w:val="00231F6B"/>
    <w:rsid w:val="002748E7"/>
    <w:rsid w:val="002D6C57"/>
    <w:rsid w:val="00452738"/>
    <w:rsid w:val="005C4F20"/>
    <w:rsid w:val="005D5B28"/>
    <w:rsid w:val="006606E8"/>
    <w:rsid w:val="006C57CB"/>
    <w:rsid w:val="0087365B"/>
    <w:rsid w:val="008A00B9"/>
    <w:rsid w:val="00933E2B"/>
    <w:rsid w:val="009C7DA8"/>
    <w:rsid w:val="00B71847"/>
    <w:rsid w:val="00B91CD1"/>
    <w:rsid w:val="00C33BD0"/>
    <w:rsid w:val="00C82434"/>
    <w:rsid w:val="00C920A7"/>
    <w:rsid w:val="00CB03BE"/>
    <w:rsid w:val="00CC1BBB"/>
    <w:rsid w:val="00D240AD"/>
    <w:rsid w:val="00D36664"/>
    <w:rsid w:val="00DD5231"/>
    <w:rsid w:val="00F25AEC"/>
    <w:rsid w:val="00F87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51B83"/>
  <w15:chartTrackingRefBased/>
  <w15:docId w15:val="{8182B862-4A5F-7C4F-85C7-BC71885EC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7DA8"/>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9C7D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7D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C7D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9C7D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C7D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7DA8"/>
  </w:style>
  <w:style w:type="character" w:customStyle="1" w:styleId="Heading1Char">
    <w:name w:val="Heading 1 Char"/>
    <w:aliases w:val="Pocket Char"/>
    <w:basedOn w:val="DefaultParagraphFont"/>
    <w:link w:val="Heading1"/>
    <w:uiPriority w:val="9"/>
    <w:rsid w:val="009C7DA8"/>
    <w:rPr>
      <w:rFonts w:ascii="Calibri" w:eastAsiaTheme="majorEastAsia" w:hAnsi="Calibri" w:cstheme="majorBidi"/>
      <w:b/>
      <w:bCs/>
      <w:sz w:val="52"/>
      <w:szCs w:val="32"/>
    </w:rPr>
  </w:style>
  <w:style w:type="character" w:customStyle="1" w:styleId="Heading3Char">
    <w:name w:val="Heading 3 Char"/>
    <w:aliases w:val="Block Char"/>
    <w:basedOn w:val="DefaultParagraphFont"/>
    <w:link w:val="Heading3"/>
    <w:uiPriority w:val="9"/>
    <w:rsid w:val="009C7DA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9C7DA8"/>
    <w:rPr>
      <w:rFonts w:ascii="Calibri" w:eastAsiaTheme="majorEastAsia" w:hAnsi="Calibri" w:cstheme="majorBidi"/>
      <w:b/>
      <w:bCs/>
      <w:sz w:val="26"/>
      <w:szCs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9C7DA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9C7DA8"/>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9C7DA8"/>
    <w:rPr>
      <w:b w:val="0"/>
      <w:sz w:val="22"/>
      <w:u w:val="single"/>
    </w:rPr>
  </w:style>
  <w:style w:type="character" w:styleId="Hyperlink">
    <w:name w:val="Hyperlink"/>
    <w:aliases w:val="heading 1 (block title),Card Text,Important,Internet Link,Analytic Text,Internet link,Char Char1,Heading 3 Char2,Block Char1,Heading 3 Char1 Char1,No Underline Char1,Char Char Char Char Char Char Char Char1,Text 7 Char1,Tags v 2 Char1,TAG "/>
    <w:basedOn w:val="DefaultParagraphFont"/>
    <w:uiPriority w:val="99"/>
    <w:unhideWhenUsed/>
    <w:rsid w:val="009C7DA8"/>
    <w:rPr>
      <w:color w:val="auto"/>
      <w:u w:val="none"/>
    </w:rPr>
  </w:style>
  <w:style w:type="paragraph" w:customStyle="1" w:styleId="textbold">
    <w:name w:val="text bold"/>
    <w:basedOn w:val="Normal"/>
    <w:link w:val="Emphasis"/>
    <w:autoRedefine/>
    <w:uiPriority w:val="20"/>
    <w:qFormat/>
    <w:rsid w:val="00231F6B"/>
    <w:rPr>
      <w:rFonts w:eastAsiaTheme="minorHAnsi"/>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C82434"/>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C82434"/>
    <w:rPr>
      <w:rFonts w:ascii="Times New Roman" w:eastAsia="Times New Roman" w:hAnsi="Times New Roman" w:cs="Times New Roman"/>
    </w:rPr>
  </w:style>
  <w:style w:type="paragraph" w:customStyle="1" w:styleId="Analytic">
    <w:name w:val="Analytic"/>
    <w:basedOn w:val="Heading4"/>
    <w:link w:val="AnalyticChar"/>
    <w:qFormat/>
    <w:rsid w:val="00186517"/>
    <w:rPr>
      <w:color w:val="000000" w:themeColor="text1"/>
    </w:rPr>
  </w:style>
  <w:style w:type="character" w:customStyle="1" w:styleId="AnalyticChar">
    <w:name w:val="Analytic Char"/>
    <w:basedOn w:val="DefaultParagraphFont"/>
    <w:link w:val="Analytic"/>
    <w:rsid w:val="00186517"/>
    <w:rPr>
      <w:rFonts w:ascii="Calibri" w:eastAsiaTheme="majorEastAsia" w:hAnsi="Calibri" w:cstheme="majorBidi"/>
      <w:b/>
      <w:bCs/>
      <w:color w:val="000000" w:themeColor="text1"/>
      <w:sz w:val="26"/>
      <w:szCs w:val="26"/>
    </w:rPr>
  </w:style>
  <w:style w:type="character" w:customStyle="1" w:styleId="Heading2Char">
    <w:name w:val="Heading 2 Char"/>
    <w:aliases w:val="Hat Char"/>
    <w:basedOn w:val="DefaultParagraphFont"/>
    <w:link w:val="Heading2"/>
    <w:uiPriority w:val="9"/>
    <w:rsid w:val="009C7DA8"/>
    <w:rPr>
      <w:rFonts w:ascii="Calibri" w:eastAsiaTheme="majorEastAsia" w:hAnsi="Calibri" w:cstheme="majorBidi"/>
      <w:b/>
      <w:bCs/>
      <w:sz w:val="44"/>
      <w:szCs w:val="44"/>
      <w:u w:val="double"/>
    </w:rPr>
  </w:style>
  <w:style w:type="character" w:styleId="FollowedHyperlink">
    <w:name w:val="FollowedHyperlink"/>
    <w:basedOn w:val="DefaultParagraphFont"/>
    <w:uiPriority w:val="99"/>
    <w:semiHidden/>
    <w:unhideWhenUsed/>
    <w:rsid w:val="009C7DA8"/>
    <w:rPr>
      <w:color w:val="auto"/>
      <w:u w:val="none"/>
    </w:rPr>
  </w:style>
  <w:style w:type="paragraph" w:styleId="DocumentMap">
    <w:name w:val="Document Map"/>
    <w:basedOn w:val="Normal"/>
    <w:link w:val="DocumentMapChar"/>
    <w:uiPriority w:val="99"/>
    <w:semiHidden/>
    <w:unhideWhenUsed/>
    <w:rsid w:val="009C7D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7DA8"/>
    <w:rPr>
      <w:rFonts w:ascii="Lucida Grande" w:eastAsiaTheme="minorEastAsia"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harvard.edu/IPCoop/88hugh2.html" TargetMode="External"/><Relationship Id="rId3" Type="http://schemas.openxmlformats.org/officeDocument/2006/relationships/settings" Target="settings.xml"/><Relationship Id="rId7" Type="http://schemas.openxmlformats.org/officeDocument/2006/relationships/hyperlink" Target="https://cyber.harvard.edu/IPCoop/88hugh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yber.harvard.edu/IPCoop/88hugh2.html" TargetMode="External"/><Relationship Id="rId5" Type="http://schemas.openxmlformats.org/officeDocument/2006/relationships/hyperlink" Target="https://cyber.harvard.edu/IPCoop/88hugh2.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milinmath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38</TotalTime>
  <Pages>4</Pages>
  <Words>2409</Words>
  <Characters>13737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12</cp:revision>
  <dcterms:created xsi:type="dcterms:W3CDTF">2022-01-28T21:03:00Z</dcterms:created>
  <dcterms:modified xsi:type="dcterms:W3CDTF">2022-01-28T22:24:00Z</dcterms:modified>
</cp:coreProperties>
</file>