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2C41B" w14:textId="77777777" w:rsidR="00733F33" w:rsidRPr="00E20F8E" w:rsidRDefault="00733F33" w:rsidP="00733F33">
      <w:pPr>
        <w:pStyle w:val="Heading2"/>
        <w:rPr>
          <w:rFonts w:cs="Calibri"/>
        </w:rPr>
      </w:pPr>
      <w:bookmarkStart w:id="0" w:name="_GoBack"/>
      <w:bookmarkEnd w:id="0"/>
      <w:r w:rsidRPr="00E20F8E">
        <w:rPr>
          <w:rFonts w:cs="Calibri"/>
        </w:rPr>
        <w:t>Fwk</w:t>
      </w:r>
    </w:p>
    <w:p w14:paraId="74AA0F9B" w14:textId="77777777" w:rsidR="00733F33" w:rsidRPr="00E20F8E" w:rsidRDefault="00733F33" w:rsidP="00733F33">
      <w:pPr>
        <w:pStyle w:val="Heading4"/>
        <w:rPr>
          <w:rFonts w:cs="Calibri"/>
        </w:rPr>
      </w:pPr>
      <w:r w:rsidRPr="00E20F8E">
        <w:rPr>
          <w:rFonts w:cs="Calibri"/>
        </w:rPr>
        <w:t>The meta-ethic is consistency with transcendental form of subjects.</w:t>
      </w:r>
    </w:p>
    <w:p w14:paraId="3B25984F" w14:textId="77777777" w:rsidR="00733F33" w:rsidRPr="00E20F8E" w:rsidRDefault="00733F33" w:rsidP="00733F33">
      <w:pPr>
        <w:rPr>
          <w:b/>
          <w:szCs w:val="26"/>
        </w:rPr>
      </w:pPr>
    </w:p>
    <w:p w14:paraId="2C50D0DD" w14:textId="77777777" w:rsidR="00733F33" w:rsidRPr="00E20F8E" w:rsidRDefault="00733F33" w:rsidP="00733F33">
      <w:pPr>
        <w:pStyle w:val="Heading4"/>
        <w:rPr>
          <w:rFonts w:cs="Calibri"/>
        </w:rPr>
      </w:pPr>
      <w:r w:rsidRPr="00E20F8E">
        <w:rPr>
          <w:rFonts w:cs="Calibri"/>
        </w:rPr>
        <w:t>Moral Realism is true – there is an ethical truth that exists metaphysically: a) otherwise we could not make moral claims since we would merely claim disagreement rather than an absolute wrong, justifying any ethical statement b) relativism is circular since asserting relativism assumes its own universal truth, which concedes the authority of realism c) regressive moral debates always terminate in an endpoint of agreement, we just compare different values in an attempt to find the ultimate one.</w:t>
      </w:r>
    </w:p>
    <w:p w14:paraId="336970AC" w14:textId="77777777" w:rsidR="00733F33" w:rsidRPr="00E20F8E" w:rsidRDefault="00733F33" w:rsidP="00733F33">
      <w:pPr>
        <w:pStyle w:val="Normal1"/>
        <w:spacing w:line="240" w:lineRule="auto"/>
        <w:rPr>
          <w:rFonts w:ascii="Calibri" w:hAnsi="Calibri" w:cs="Calibri"/>
          <w:b/>
          <w:sz w:val="26"/>
          <w:szCs w:val="26"/>
        </w:rPr>
      </w:pPr>
    </w:p>
    <w:p w14:paraId="6F144DC6" w14:textId="77777777" w:rsidR="00733F33" w:rsidRPr="00E20F8E" w:rsidRDefault="00733F33" w:rsidP="00733F33">
      <w:pPr>
        <w:pStyle w:val="Heading4"/>
        <w:rPr>
          <w:rFonts w:eastAsia="Times New Roman" w:cs="Calibri"/>
          <w:sz w:val="24"/>
        </w:rPr>
      </w:pPr>
      <w:r w:rsidRPr="00E20F8E">
        <w:rPr>
          <w:rFonts w:cs="Calibri"/>
        </w:rPr>
        <w:t xml:space="preserve">And,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&lt;http://digitalcommons.law.lsu.edu/cgi/viewcontent.cgi?article=5780&amp;context=lalrev&gt;.//Scopa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szCs w:val="22"/>
          <w:u w:val="single"/>
        </w:rPr>
        <w:t>why one should be just is</w:t>
      </w:r>
      <w:r w:rsidRPr="00E20F8E">
        <w:rPr>
          <w:rFonts w:eastAsia="Times New Roman" w:cs="Calibri"/>
          <w:b w:val="0"/>
          <w:sz w:val="12"/>
        </w:rPr>
        <w:t xml:space="preserve"> an </w:t>
      </w:r>
      <w:r w:rsidRPr="00E20F8E">
        <w:rPr>
          <w:rFonts w:eastAsia="Times New Roman" w:cs="Calibri"/>
          <w:szCs w:val="22"/>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szCs w:val="22"/>
          <w:highlight w:val="yellow"/>
          <w:u w:val="single"/>
        </w:rPr>
        <w:t>obligation</w:t>
      </w:r>
      <w:r w:rsidRPr="00E20F8E">
        <w:rPr>
          <w:rFonts w:eastAsia="Times New Roman" w:cs="Calibri"/>
          <w:szCs w:val="22"/>
          <w:u w:val="single"/>
        </w:rPr>
        <w:t xml:space="preserve"> to be just </w:t>
      </w:r>
      <w:r w:rsidRPr="00E20F8E">
        <w:rPr>
          <w:rFonts w:eastAsia="Times New Roman" w:cs="Calibri"/>
          <w:szCs w:val="22"/>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szCs w:val="22"/>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szCs w:val="22"/>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szCs w:val="22"/>
          <w:u w:val="single"/>
        </w:rPr>
        <w:t xml:space="preserve">lack binding force; </w:t>
      </w:r>
      <w:r w:rsidRPr="00E20F8E">
        <w:rPr>
          <w:rFonts w:eastAsia="Times New Roman" w:cs="Calibri"/>
          <w:szCs w:val="22"/>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szCs w:val="22"/>
          <w:highlight w:val="yellow"/>
          <w:u w:val="single"/>
        </w:rPr>
        <w:t>Principles of justice not based on objective moral principles are arbitrary</w:t>
      </w:r>
      <w:r w:rsidRPr="00E20F8E">
        <w:rPr>
          <w:rFonts w:eastAsia="Times New Roman" w:cs="Calibri"/>
          <w:szCs w:val="22"/>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szCs w:val="22"/>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szCs w:val="22"/>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szCs w:val="22"/>
          <w:highlight w:val="yellow"/>
          <w:u w:val="single"/>
        </w:rPr>
        <w:t>that compels individuals to sacrifice</w:t>
      </w:r>
      <w:r w:rsidRPr="00E20F8E">
        <w:rPr>
          <w:rFonts w:eastAsia="Times New Roman" w:cs="Calibri"/>
          <w:szCs w:val="22"/>
          <w:u w:val="single"/>
        </w:rPr>
        <w:t xml:space="preserve"> their </w:t>
      </w:r>
      <w:r w:rsidRPr="00E20F8E">
        <w:rPr>
          <w:rFonts w:eastAsia="Times New Roman" w:cs="Calibri"/>
          <w:szCs w:val="22"/>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szCs w:val="22"/>
          <w:u w:val="single"/>
        </w:rPr>
        <w:t>The gap</w:t>
      </w:r>
      <w:r w:rsidRPr="00E20F8E">
        <w:rPr>
          <w:rFonts w:eastAsia="Times New Roman" w:cs="Calibri"/>
          <w:b w:val="0"/>
          <w:sz w:val="12"/>
        </w:rPr>
        <w:t xml:space="preserve"> between "is" and "ought" </w:t>
      </w:r>
      <w:r w:rsidRPr="00E20F8E">
        <w:rPr>
          <w:rFonts w:eastAsia="Times New Roman" w:cs="Calibri"/>
          <w:szCs w:val="22"/>
          <w:u w:val="single"/>
        </w:rPr>
        <w:t>reflects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szCs w:val="22"/>
          <w:u w:val="single"/>
        </w:rPr>
        <w:t xml:space="preserve">description and obligation. </w:t>
      </w:r>
    </w:p>
    <w:p w14:paraId="78F89638" w14:textId="77777777" w:rsidR="00733F33" w:rsidRPr="00E20F8E" w:rsidRDefault="00733F33" w:rsidP="00733F33">
      <w:pPr>
        <w:rPr>
          <w:b/>
          <w:szCs w:val="26"/>
        </w:rPr>
      </w:pPr>
    </w:p>
    <w:p w14:paraId="73A7D4C2" w14:textId="77777777" w:rsidR="00733F33" w:rsidRPr="00E20F8E" w:rsidRDefault="00733F33" w:rsidP="00733F33">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r w:rsidRPr="00E20F8E">
        <w:rPr>
          <w:rFonts w:cs="Calibri"/>
          <w:u w:val="single"/>
        </w:rPr>
        <w:t>Heyüman 15,</w:t>
      </w:r>
      <w:r w:rsidRPr="00E20F8E">
        <w:rPr>
          <w:rFonts w:cs="Calibri"/>
        </w:rPr>
        <w:t xml:space="preserve"> </w:t>
      </w:r>
      <w:hyperlink r:id="rId4" w:history="1">
        <w:r w:rsidRPr="00E20F8E">
          <w:rPr>
            <w:rStyle w:val="Hyperlink"/>
            <w:rFonts w:cs="Calibri"/>
            <w:b w:val="0"/>
            <w:sz w:val="12"/>
            <w:szCs w:val="12"/>
          </w:rPr>
          <w:t>http://ftp.oxfordphilsoc.org/Documents/StudentPrize/2015_H1b.pdf</w:t>
        </w:r>
      </w:hyperlink>
      <w:r w:rsidRPr="00E20F8E">
        <w:rPr>
          <w:rFonts w:cs="Calibri"/>
          <w:b w:val="0"/>
          <w:sz w:val="12"/>
          <w:szCs w:val="12"/>
        </w:rPr>
        <w:t xml:space="preserve"> //scopa</w:t>
      </w:r>
    </w:p>
    <w:p w14:paraId="0899FE68" w14:textId="77777777" w:rsidR="00733F33" w:rsidRPr="00E20F8E" w:rsidRDefault="00733F33" w:rsidP="00733F33">
      <w:pPr>
        <w:rPr>
          <w:sz w:val="12"/>
          <w:szCs w:val="22"/>
        </w:rPr>
      </w:pPr>
      <w:r w:rsidRPr="00E20F8E">
        <w:rPr>
          <w:b/>
          <w:szCs w:val="22"/>
          <w:highlight w:val="yellow"/>
          <w:u w:val="single"/>
        </w:rPr>
        <w:t>Forms</w:t>
      </w:r>
      <w:r w:rsidRPr="00E20F8E">
        <w:rPr>
          <w:sz w:val="12"/>
          <w:szCs w:val="22"/>
        </w:rPr>
        <w:t xml:space="preserve"> can be thought of </w:t>
      </w:r>
      <w:r w:rsidRPr="00E20F8E">
        <w:rPr>
          <w:b/>
          <w:szCs w:val="22"/>
          <w:u w:val="single"/>
        </w:rPr>
        <w:t>as abstract entities</w:t>
      </w:r>
      <w:r w:rsidRPr="00E20F8E">
        <w:rPr>
          <w:sz w:val="12"/>
          <w:szCs w:val="22"/>
        </w:rPr>
        <w:t xml:space="preserve"> or qualities that </w:t>
      </w:r>
      <w:r w:rsidRPr="00E20F8E">
        <w:rPr>
          <w:b/>
          <w:szCs w:val="22"/>
          <w:highlight w:val="yellow"/>
          <w:u w:val="single"/>
        </w:rPr>
        <w:t>are the essence of</w:t>
      </w:r>
      <w:r w:rsidRPr="00E20F8E">
        <w:rPr>
          <w:b/>
          <w:szCs w:val="22"/>
          <w:u w:val="single"/>
        </w:rPr>
        <w:t xml:space="preserve"> sensible </w:t>
      </w:r>
      <w:r w:rsidRPr="00E20F8E">
        <w:rPr>
          <w:b/>
          <w:szCs w:val="22"/>
          <w:highlight w:val="yellow"/>
          <w:u w:val="single"/>
        </w:rPr>
        <w:t>things</w:t>
      </w:r>
      <w:r w:rsidRPr="00E20F8E">
        <w:rPr>
          <w:sz w:val="12"/>
          <w:szCs w:val="22"/>
        </w:rPr>
        <w:t xml:space="preserve">. Take, </w:t>
      </w:r>
      <w:r w:rsidRPr="00E20F8E">
        <w:rPr>
          <w:b/>
          <w:szCs w:val="22"/>
          <w:u w:val="single"/>
        </w:rPr>
        <w:t xml:space="preserve">for example, an apple: Roundness, color and weight of the apple are all the properties that make up that apple, each </w:t>
      </w:r>
      <w:r w:rsidRPr="00E20F8E">
        <w:rPr>
          <w:b/>
          <w:szCs w:val="22"/>
          <w:u w:val="single"/>
        </w:rPr>
        <w:lastRenderedPageBreak/>
        <w:t>of which is a separate form in itself</w:t>
      </w:r>
      <w:r w:rsidRPr="00E20F8E">
        <w:rPr>
          <w:sz w:val="12"/>
          <w:szCs w:val="22"/>
        </w:rPr>
        <w:t xml:space="preserve">. According to Plato, two apples are “round” because they both partake in the form of “roundness”. This “partaking” in any form is what makes things share similar attributes. </w:t>
      </w:r>
      <w:r w:rsidRPr="00E20F8E">
        <w:rPr>
          <w:b/>
          <w:szCs w:val="22"/>
          <w:highlight w:val="yellow"/>
          <w:u w:val="single"/>
        </w:rPr>
        <w:t>All material objects owe their existence to</w:t>
      </w:r>
      <w:r w:rsidRPr="00E20F8E">
        <w:rPr>
          <w:b/>
          <w:szCs w:val="22"/>
          <w:u w:val="single"/>
        </w:rPr>
        <w:t xml:space="preserve"> these </w:t>
      </w:r>
      <w:r w:rsidRPr="00E20F8E">
        <w:rPr>
          <w:b/>
          <w:szCs w:val="22"/>
          <w:highlight w:val="yellow"/>
          <w:u w:val="single"/>
        </w:rPr>
        <w:t>forms</w:t>
      </w:r>
      <w:r w:rsidRPr="00E20F8E">
        <w:rPr>
          <w:b/>
          <w:szCs w:val="22"/>
          <w:u w:val="single"/>
        </w:rPr>
        <w:t>; whereas each form exists by itself, independently of the object that exemplifies the particular form</w:t>
      </w:r>
      <w:r w:rsidRPr="00E20F8E">
        <w:rPr>
          <w:sz w:val="12"/>
          <w:szCs w:val="22"/>
        </w:rPr>
        <w:t xml:space="preserve">. In Phaedo, which is widely agreed to be the first dialogue Plato introduced the forms, forms are “marked as auto kath auto beings, beings that are what they are in virtue of themselves1 .” </w:t>
      </w:r>
      <w:r w:rsidRPr="00E20F8E">
        <w:rPr>
          <w:b/>
          <w:szCs w:val="22"/>
          <w:highlight w:val="yellow"/>
          <w:u w:val="single"/>
        </w:rPr>
        <w:t>Forms</w:t>
      </w:r>
      <w:r w:rsidRPr="00E20F8E">
        <w:rPr>
          <w:b/>
          <w:szCs w:val="22"/>
          <w:u w:val="single"/>
        </w:rPr>
        <w:t xml:space="preserve"> are transcendent to our material world in that they </w:t>
      </w:r>
      <w:r w:rsidRPr="00E20F8E">
        <w:rPr>
          <w:b/>
          <w:szCs w:val="22"/>
          <w:highlight w:val="yellow"/>
          <w:u w:val="single"/>
        </w:rPr>
        <w:t>exist beyond space and time</w:t>
      </w:r>
      <w:r w:rsidRPr="00E20F8E">
        <w:rPr>
          <w:b/>
          <w:szCs w:val="22"/>
          <w:u w:val="single"/>
        </w:rPr>
        <w:t>, whereas material objects occupy a specific place at a specific time</w:t>
      </w:r>
      <w:r w:rsidRPr="00E20F8E">
        <w:rPr>
          <w:sz w:val="12"/>
          <w:szCs w:val="22"/>
        </w:rPr>
        <w:t xml:space="preserve">. Atemporal and aspatial features of forms have very important implications. First, this explains why </w:t>
      </w:r>
      <w:r w:rsidRPr="00E20F8E">
        <w:rPr>
          <w:b/>
          <w:szCs w:val="22"/>
          <w:u w:val="single"/>
        </w:rPr>
        <w:t>the form of F does not change</w:t>
      </w:r>
      <w:r w:rsidRPr="00E20F8E">
        <w:rPr>
          <w:sz w:val="12"/>
          <w:szCs w:val="22"/>
        </w:rPr>
        <w:t xml:space="preserve">, and remains stable beyond a spatio-temporal world while particulars are subject to continuous change. Second, </w:t>
      </w:r>
      <w:r w:rsidRPr="00E20F8E">
        <w:rPr>
          <w:b/>
          <w:szCs w:val="22"/>
          <w:u w:val="single"/>
        </w:rPr>
        <w:t>since F does not exist in space, it can be instantiated in many particulars at once or need not even be instantiated to exist</w:t>
      </w:r>
      <w:r w:rsidRPr="00E20F8E">
        <w:rPr>
          <w:sz w:val="12"/>
          <w:szCs w:val="22"/>
        </w:rPr>
        <w:t xml:space="preserve">. The forms are also pure. The roundness of an apple is one of its properties and roundness is only “roundness” in its pure and perfect form. Unlike forms, </w:t>
      </w:r>
      <w:r w:rsidRPr="00E20F8E">
        <w:rPr>
          <w:b/>
          <w:szCs w:val="22"/>
          <w:u w:val="single"/>
        </w:rPr>
        <w:t>material objects are impure, imperfect</w:t>
      </w:r>
      <w:r w:rsidRPr="00E20F8E">
        <w:rPr>
          <w:sz w:val="12"/>
          <w:szCs w:val="22"/>
        </w:rPr>
        <w:t xml:space="preserve">, and are complex combinations of several forms. </w:t>
      </w:r>
      <w:r w:rsidRPr="00E20F8E">
        <w:rPr>
          <w:b/>
          <w:szCs w:val="22"/>
          <w:highlight w:val="yellow"/>
          <w:u w:val="single"/>
        </w:rPr>
        <w:t>Being is the ontological relation that ties the form</w:t>
      </w:r>
      <w:r w:rsidRPr="00E20F8E">
        <w:rPr>
          <w:b/>
          <w:szCs w:val="22"/>
          <w:u w:val="single"/>
        </w:rPr>
        <w:t xml:space="preserve"> of F </w:t>
      </w:r>
      <w:r w:rsidRPr="00E20F8E">
        <w:rPr>
          <w:b/>
          <w:szCs w:val="22"/>
          <w:highlight w:val="yellow"/>
          <w:u w:val="single"/>
        </w:rPr>
        <w:t>to its essence</w:t>
      </w:r>
      <w:r w:rsidRPr="00E20F8E">
        <w:rPr>
          <w:b/>
          <w:szCs w:val="22"/>
          <w:u w:val="single"/>
        </w:rPr>
        <w:t xml:space="preserve">, and each form of F is of one essence </w:t>
      </w:r>
      <w:r w:rsidRPr="00E20F8E">
        <w:rPr>
          <w:sz w:val="12"/>
          <w:szCs w:val="22"/>
        </w:rPr>
        <w:t xml:space="preserve">(monoeides). It follows from these principles that each form self-predicates; each form of F is itself F. The form of beauty is itself beautiful, and Helen would not be beautiful if the form of Beauty were not beautiful itself. </w:t>
      </w:r>
      <w:r w:rsidRPr="00E20F8E">
        <w:rPr>
          <w:b/>
          <w:szCs w:val="22"/>
          <w:u w:val="single"/>
        </w:rPr>
        <w:t xml:space="preserve">The </w:t>
      </w:r>
      <w:r w:rsidRPr="00E20F8E">
        <w:rPr>
          <w:b/>
          <w:szCs w:val="22"/>
          <w:highlight w:val="yellow"/>
          <w:u w:val="single"/>
        </w:rPr>
        <w:t>forms</w:t>
      </w:r>
      <w:r w:rsidRPr="00E20F8E">
        <w:rPr>
          <w:b/>
          <w:szCs w:val="22"/>
          <w:u w:val="single"/>
        </w:rPr>
        <w:t xml:space="preserve"> are real, sublime entities that </w:t>
      </w:r>
      <w:r w:rsidRPr="00E20F8E">
        <w:rPr>
          <w:b/>
          <w:szCs w:val="22"/>
          <w:highlight w:val="yellow"/>
          <w:u w:val="single"/>
        </w:rPr>
        <w:t>belong to an intelligible realm</w:t>
      </w:r>
      <w:r w:rsidRPr="00E20F8E">
        <w:rPr>
          <w:b/>
          <w:szCs w:val="22"/>
          <w:u w:val="single"/>
        </w:rPr>
        <w:t xml:space="preserve"> that can </w:t>
      </w:r>
      <w:r w:rsidRPr="00E20F8E">
        <w:rPr>
          <w:b/>
          <w:szCs w:val="22"/>
          <w:highlight w:val="yellow"/>
          <w:u w:val="single"/>
        </w:rPr>
        <w:t>only</w:t>
      </w:r>
      <w:r w:rsidRPr="00E20F8E">
        <w:rPr>
          <w:b/>
          <w:szCs w:val="22"/>
          <w:u w:val="single"/>
        </w:rPr>
        <w:t xml:space="preserve"> be </w:t>
      </w:r>
      <w:r w:rsidRPr="00E20F8E">
        <w:rPr>
          <w:b/>
          <w:szCs w:val="22"/>
          <w:highlight w:val="yellow"/>
          <w:u w:val="single"/>
        </w:rPr>
        <w:t>grasped by reason</w:t>
      </w:r>
      <w:r w:rsidRPr="00E20F8E">
        <w:rPr>
          <w:b/>
          <w:szCs w:val="22"/>
          <w:u w:val="single"/>
        </w:rPr>
        <w:t>. They are not subject to change; are stable and enduring, while particulars/material objects belong to this material world of change</w:t>
      </w:r>
      <w:r w:rsidRPr="00E20F8E">
        <w:rPr>
          <w:sz w:val="12"/>
          <w:szCs w:val="22"/>
        </w:rPr>
        <w:t xml:space="preserve">, becoming and perishing in a Heraclitean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Sinem Hümeydan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be2 ”.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szCs w:val="22"/>
          <w:u w:val="single"/>
        </w:rPr>
        <w:t xml:space="preserve">The visible realm is </w:t>
      </w:r>
      <w:r w:rsidRPr="00E20F8E">
        <w:rPr>
          <w:b/>
          <w:szCs w:val="22"/>
          <w:highlight w:val="yellow"/>
          <w:u w:val="single"/>
        </w:rPr>
        <w:t>the physical world</w:t>
      </w:r>
      <w:r w:rsidRPr="00E20F8E">
        <w:rPr>
          <w:b/>
          <w:szCs w:val="22"/>
          <w:u w:val="single"/>
        </w:rPr>
        <w:t xml:space="preserve"> that </w:t>
      </w:r>
      <w:r w:rsidRPr="00E20F8E">
        <w:rPr>
          <w:b/>
          <w:szCs w:val="22"/>
          <w:highlight w:val="yellow"/>
          <w:u w:val="single"/>
        </w:rPr>
        <w:t>is perceived through senses</w:t>
      </w:r>
      <w:r w:rsidRPr="00E20F8E">
        <w:rPr>
          <w:b/>
          <w:szCs w:val="22"/>
          <w:u w:val="single"/>
        </w:rPr>
        <w:t xml:space="preserve">, and is </w:t>
      </w:r>
      <w:r w:rsidRPr="00E20F8E">
        <w:rPr>
          <w:b/>
          <w:szCs w:val="22"/>
          <w:highlight w:val="yellow"/>
          <w:u w:val="single"/>
        </w:rPr>
        <w:t>susceptible to “becoming” and “ceasing to be”</w:t>
      </w:r>
      <w:r w:rsidRPr="00E20F8E">
        <w:rPr>
          <w:b/>
          <w:szCs w:val="22"/>
          <w:u w:val="single"/>
        </w:rPr>
        <w:t>. On the contrary, the intelligible realm represents the ultimate reality, is enduring, and is accessible only via reasoning</w:t>
      </w:r>
      <w:r w:rsidRPr="00E20F8E">
        <w:rPr>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szCs w:val="22"/>
          <w:u w:val="single"/>
        </w:rPr>
        <w:t xml:space="preserve">what we perceive through </w:t>
      </w:r>
      <w:r w:rsidRPr="00E20F8E">
        <w:rPr>
          <w:b/>
          <w:szCs w:val="22"/>
          <w:highlight w:val="yellow"/>
          <w:u w:val="single"/>
        </w:rPr>
        <w:t>our deceptive senses</w:t>
      </w:r>
      <w:r w:rsidRPr="00E20F8E">
        <w:rPr>
          <w:b/>
          <w:szCs w:val="22"/>
          <w:u w:val="single"/>
        </w:rPr>
        <w:t xml:space="preserve"> in this world of appearence </w:t>
      </w:r>
      <w:r w:rsidRPr="00E20F8E">
        <w:rPr>
          <w:b/>
          <w:szCs w:val="22"/>
          <w:highlight w:val="yellow"/>
          <w:u w:val="single"/>
        </w:rPr>
        <w:t>are</w:t>
      </w:r>
      <w:r w:rsidRPr="00E20F8E">
        <w:rPr>
          <w:b/>
          <w:szCs w:val="22"/>
          <w:u w:val="single"/>
        </w:rPr>
        <w:t xml:space="preserve"> merely </w:t>
      </w:r>
      <w:r w:rsidRPr="00E20F8E">
        <w:rPr>
          <w:b/>
          <w:szCs w:val="22"/>
          <w:highlight w:val="yellow"/>
          <w:u w:val="single"/>
        </w:rPr>
        <w:t>shadows of reality, one cannot have any genuine knowledge of these things</w:t>
      </w:r>
      <w:r w:rsidRPr="00E20F8E">
        <w:rPr>
          <w:b/>
          <w:szCs w:val="22"/>
          <w:u w:val="single"/>
        </w:rPr>
        <w:t>, but can only have beliefs/opinions</w:t>
      </w:r>
      <w:r w:rsidRPr="00E20F8E">
        <w:rPr>
          <w:sz w:val="12"/>
          <w:szCs w:val="22"/>
        </w:rPr>
        <w:t xml:space="preserve"> about these objects. In other words, Plato thinks that one can only have “knowledge of forms and of Forms one can only have knowledge3 .” Because forms are the only objects of knowledge, individuals should endeavour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szCs w:val="22"/>
          <w:highlight w:val="yellow"/>
          <w:u w:val="single"/>
        </w:rPr>
        <w:t>what we perceive</w:t>
      </w:r>
      <w:r w:rsidRPr="00E20F8E">
        <w:rPr>
          <w:b/>
          <w:szCs w:val="22"/>
          <w:u w:val="single"/>
        </w:rPr>
        <w:t xml:space="preserve"> via our senses </w:t>
      </w:r>
      <w:r w:rsidRPr="00E20F8E">
        <w:rPr>
          <w:b/>
          <w:szCs w:val="22"/>
          <w:highlight w:val="yellow"/>
          <w:u w:val="single"/>
        </w:rPr>
        <w:t>is</w:t>
      </w:r>
      <w:r w:rsidRPr="00E20F8E">
        <w:rPr>
          <w:b/>
          <w:szCs w:val="22"/>
          <w:u w:val="single"/>
        </w:rPr>
        <w:t xml:space="preserve"> usually </w:t>
      </w:r>
      <w:r w:rsidRPr="00E20F8E">
        <w:rPr>
          <w:b/>
          <w:szCs w:val="22"/>
          <w:highlight w:val="yellow"/>
          <w:u w:val="single"/>
        </w:rPr>
        <w:t>deceitful, the objects</w:t>
      </w:r>
      <w:r w:rsidRPr="00E20F8E">
        <w:rPr>
          <w:b/>
          <w:szCs w:val="22"/>
          <w:u w:val="single"/>
        </w:rPr>
        <w:t xml:space="preserve"> of experience </w:t>
      </w:r>
      <w:r w:rsidRPr="00E20F8E">
        <w:rPr>
          <w:b/>
          <w:szCs w:val="22"/>
          <w:highlight w:val="yellow"/>
          <w:u w:val="single"/>
        </w:rPr>
        <w:t>cannot be real entities</w:t>
      </w:r>
      <w:r w:rsidRPr="00E20F8E">
        <w:rPr>
          <w:sz w:val="12"/>
          <w:szCs w:val="22"/>
        </w:rPr>
        <w:t xml:space="preserve">. Besides, </w:t>
      </w:r>
      <w:r w:rsidRPr="00E20F8E">
        <w:rPr>
          <w:b/>
          <w:szCs w:val="22"/>
          <w:highlight w:val="yellow"/>
          <w:u w:val="single"/>
        </w:rPr>
        <w:t>it is possible to form different subjective views</w:t>
      </w:r>
      <w:r w:rsidRPr="00E20F8E">
        <w:rPr>
          <w:b/>
          <w:szCs w:val="22"/>
          <w:u w:val="single"/>
        </w:rPr>
        <w:t xml:space="preserve"> of the same objects; </w:t>
      </w:r>
      <w:r w:rsidRPr="00E20F8E">
        <w:rPr>
          <w:b/>
          <w:szCs w:val="22"/>
          <w:highlight w:val="yellow"/>
          <w:u w:val="single"/>
        </w:rPr>
        <w:t>depending on</w:t>
      </w:r>
      <w:r w:rsidRPr="00E20F8E">
        <w:rPr>
          <w:b/>
          <w:szCs w:val="22"/>
          <w:u w:val="single"/>
        </w:rPr>
        <w:t xml:space="preserve"> the </w:t>
      </w:r>
      <w:r w:rsidRPr="00E20F8E">
        <w:rPr>
          <w:b/>
          <w:szCs w:val="22"/>
          <w:highlight w:val="yellow"/>
          <w:u w:val="single"/>
        </w:rPr>
        <w:t>perceptual or mental states of the observer</w:t>
      </w:r>
      <w:r w:rsidRPr="00E20F8E">
        <w:rPr>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16C18CDD" w14:textId="77777777" w:rsidR="00733F33" w:rsidRPr="00E20F8E" w:rsidRDefault="00733F33" w:rsidP="00733F33">
      <w:pPr>
        <w:rPr>
          <w:b/>
          <w:szCs w:val="26"/>
        </w:rPr>
      </w:pPr>
    </w:p>
    <w:p w14:paraId="1A45ACCA" w14:textId="77777777" w:rsidR="00733F33" w:rsidRPr="00E20F8E" w:rsidRDefault="00733F33" w:rsidP="00733F33">
      <w:pPr>
        <w:pStyle w:val="Heading4"/>
        <w:rPr>
          <w:rFonts w:cs="Calibri"/>
        </w:rPr>
      </w:pPr>
      <w:r w:rsidRPr="00E20F8E">
        <w:rPr>
          <w:rFonts w:cs="Calibri"/>
        </w:rPr>
        <w:t xml:space="preserve">Prefer – </w:t>
      </w:r>
    </w:p>
    <w:p w14:paraId="7E028531" w14:textId="77777777" w:rsidR="00733F33" w:rsidRPr="00E20F8E" w:rsidRDefault="00733F33" w:rsidP="00733F33">
      <w:pPr>
        <w:rPr>
          <w:b/>
          <w:szCs w:val="26"/>
        </w:rPr>
      </w:pPr>
    </w:p>
    <w:p w14:paraId="41BC9167" w14:textId="77777777" w:rsidR="00733F33" w:rsidRPr="00E20F8E" w:rsidRDefault="00733F33" w:rsidP="00733F33">
      <w:pPr>
        <w:pStyle w:val="Heading4"/>
        <w:rPr>
          <w:rFonts w:cs="Calibri"/>
        </w:rPr>
      </w:pPr>
      <w:r w:rsidRPr="00E20F8E">
        <w:rPr>
          <w:rFonts w:cs="Calibri"/>
        </w:rPr>
        <w:lastRenderedPageBreak/>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7A22E5C5" w14:textId="77777777" w:rsidR="00733F33" w:rsidRPr="00E20F8E" w:rsidRDefault="00733F33" w:rsidP="00733F33">
      <w:pPr>
        <w:rPr>
          <w:b/>
          <w:szCs w:val="26"/>
        </w:rPr>
      </w:pPr>
    </w:p>
    <w:p w14:paraId="27D5B01A" w14:textId="77777777" w:rsidR="00733F33" w:rsidRPr="00E20F8E" w:rsidRDefault="00733F33" w:rsidP="00733F33">
      <w:pPr>
        <w:pStyle w:val="Heading4"/>
        <w:rPr>
          <w:rFonts w:cs="Calibri"/>
        </w:rPr>
      </w:pPr>
      <w:r w:rsidRPr="00E20F8E">
        <w:rPr>
          <w:rFonts w:cs="Calibri"/>
        </w:rPr>
        <w:t xml:space="preserve">2. Performativity </w:t>
      </w:r>
      <w:r>
        <w:rPr>
          <w:rFonts w:cs="Calibri"/>
        </w:rPr>
        <w:t xml:space="preserve">- </w:t>
      </w:r>
      <w:r w:rsidRPr="00E20F8E">
        <w:rPr>
          <w:rFonts w:cs="Calibri"/>
        </w:rPr>
        <w:t xml:space="preserve">thoughts and ideas can only exist insofar as the theory of the form is true since it is what defines our ability to generate those thoughts in the first place. </w:t>
      </w:r>
    </w:p>
    <w:p w14:paraId="4BD1A0E6" w14:textId="77777777" w:rsidR="00733F33" w:rsidRPr="00E20F8E" w:rsidRDefault="00733F33" w:rsidP="00733F33">
      <w:pPr>
        <w:rPr>
          <w:b/>
          <w:szCs w:val="26"/>
        </w:rPr>
      </w:pPr>
    </w:p>
    <w:p w14:paraId="44166E06" w14:textId="77777777" w:rsidR="00733F33" w:rsidRPr="00E20F8E" w:rsidRDefault="00733F33" w:rsidP="00733F33">
      <w:pPr>
        <w:pStyle w:val="Heading4"/>
        <w:rPr>
          <w:rFonts w:cs="Calibri"/>
        </w:rPr>
      </w:pPr>
      <w:r w:rsidRPr="00E20F8E">
        <w:rPr>
          <w:rFonts w:cs="Calibri"/>
        </w:rPr>
        <w:t xml:space="preserve">3. Constitutivism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51094173" w14:textId="77777777" w:rsidR="00733F33" w:rsidRPr="00E20F8E" w:rsidRDefault="00733F33" w:rsidP="00733F33"/>
    <w:p w14:paraId="6B20A98C" w14:textId="77777777" w:rsidR="00733F33" w:rsidRPr="00E20F8E" w:rsidRDefault="00733F33" w:rsidP="00733F33">
      <w:pPr>
        <w:pStyle w:val="Heading4"/>
        <w:rPr>
          <w:rFonts w:cs="Calibri"/>
        </w:rPr>
      </w:pPr>
      <w:r w:rsidRPr="00E20F8E">
        <w:rPr>
          <w:rFonts w:cs="Calibri"/>
        </w:rPr>
        <w:t xml:space="preserve">Next, ethics are split between the deontic and the aretaic. Deontic theories guide ethics by looking at the actions of moral actors, whereas aretaic theories guide ethics by looking at the character of moral actors themselves. </w:t>
      </w:r>
    </w:p>
    <w:p w14:paraId="5F1558B8" w14:textId="77777777" w:rsidR="00733F33" w:rsidRPr="00E20F8E" w:rsidRDefault="00733F33" w:rsidP="00733F33">
      <w:pPr>
        <w:shd w:val="clear" w:color="auto" w:fill="FFFFFF"/>
        <w:spacing w:after="150"/>
        <w:rPr>
          <w:color w:val="333333"/>
          <w:sz w:val="21"/>
          <w:szCs w:val="21"/>
        </w:rPr>
      </w:pPr>
    </w:p>
    <w:p w14:paraId="50F9643C" w14:textId="77777777" w:rsidR="00733F33" w:rsidRPr="00E20F8E" w:rsidRDefault="00733F33" w:rsidP="00733F33">
      <w:pPr>
        <w:pStyle w:val="Heading4"/>
        <w:rPr>
          <w:rFonts w:cs="Calibri"/>
        </w:rPr>
      </w:pPr>
      <w:r w:rsidRPr="00E20F8E">
        <w:rPr>
          <w:rFonts w:cs="Calibri"/>
        </w:rPr>
        <w:t>Prefer the aretaic:</w:t>
      </w:r>
    </w:p>
    <w:p w14:paraId="0A872007" w14:textId="77777777" w:rsidR="00733F33" w:rsidRPr="001349E1" w:rsidRDefault="00733F33" w:rsidP="00733F33">
      <w:pPr>
        <w:pStyle w:val="Heading4"/>
        <w:rPr>
          <w:rFonts w:cs="Calibri"/>
          <w:b w:val="0"/>
          <w:bCs w:val="0"/>
        </w:rPr>
      </w:pPr>
      <w:r w:rsidRPr="00E20F8E">
        <w:rPr>
          <w:rFonts w:cs="Calibri"/>
        </w:rPr>
        <w:t xml:space="preserve">[1] Descriptively – </w:t>
      </w:r>
      <w:r w:rsidRPr="00E20F8E">
        <w:rPr>
          <w:rFonts w:cs="Calibri"/>
          <w:b w:val="0"/>
          <w:bCs w:val="0"/>
        </w:rPr>
        <w:t>The aretaic provides an infinitely richer vocabulary for evaluating actions that extends beyond goodness and badness.</w:t>
      </w:r>
      <w:r>
        <w:rPr>
          <w:rFonts w:cs="Calibri"/>
          <w:b w:val="0"/>
          <w:bCs w:val="0"/>
        </w:rPr>
        <w:t xml:space="preserve"> For example, deontic fwks can’t distinguish admirable vs praise worthy actions. </w:t>
      </w:r>
    </w:p>
    <w:p w14:paraId="7CE451EE" w14:textId="77777777" w:rsidR="00733F33" w:rsidRPr="004D1430" w:rsidRDefault="00733F33" w:rsidP="00733F33">
      <w:pPr>
        <w:pStyle w:val="Heading4"/>
        <w:rPr>
          <w:rFonts w:cs="Calibri"/>
          <w:b w:val="0"/>
          <w:bCs w:val="0"/>
        </w:rPr>
      </w:pPr>
      <w:r w:rsidRPr="00E20F8E">
        <w:rPr>
          <w:rFonts w:cs="Calibri"/>
        </w:rPr>
        <w:t xml:space="preserve">[2] Deontic theories collapse – </w:t>
      </w:r>
      <w:r w:rsidRPr="00E20F8E">
        <w:rPr>
          <w:rFonts w:cs="Calibri"/>
          <w:b w:val="0"/>
          <w:bCs w:val="0"/>
        </w:rPr>
        <w:t>If agents were conditioned properly, they would independently take the right actions, which proves there cannot be a net benefit to deontic theories</w:t>
      </w:r>
      <w:r>
        <w:rPr>
          <w:rFonts w:cs="Calibri"/>
          <w:b w:val="0"/>
          <w:bCs w:val="0"/>
        </w:rPr>
        <w:t>.</w:t>
      </w:r>
    </w:p>
    <w:p w14:paraId="5E2809CD" w14:textId="77777777" w:rsidR="00733F33" w:rsidRPr="00E20F8E" w:rsidRDefault="00733F33" w:rsidP="00733F33">
      <w:pPr>
        <w:pStyle w:val="Heading4"/>
        <w:rPr>
          <w:rFonts w:cs="Calibri"/>
        </w:rPr>
      </w:pPr>
      <w:r w:rsidRPr="00E20F8E">
        <w:rPr>
          <w:rFonts w:cs="Calibri"/>
        </w:rPr>
        <w:t>[3] Motivation – A.</w:t>
      </w:r>
      <w:r w:rsidRPr="00E20F8E">
        <w:rPr>
          <w:rFonts w:cs="Calibri"/>
          <w:b w:val="0"/>
          <w:bCs w:val="0"/>
        </w:rPr>
        <w:t xml:space="preserve"> The aretaic improves citizens’ moral standing. People can always opt-out of a deontic theory but by focusing on the aretaic we improve the moral character of citizens, causing them to act ethically out of their own volition. </w:t>
      </w:r>
      <w:r w:rsidRPr="00E20F8E">
        <w:rPr>
          <w:rFonts w:cs="Calibri"/>
        </w:rPr>
        <w:t xml:space="preserve">B. </w:t>
      </w:r>
      <w:r w:rsidRPr="00E20F8E">
        <w:rPr>
          <w:rFonts w:cs="Calibri"/>
          <w:b w:val="0"/>
          <w:bCs w:val="0"/>
        </w:rPr>
        <w:t>The</w:t>
      </w:r>
      <w:r w:rsidRPr="00E20F8E">
        <w:rPr>
          <w:rFonts w:cs="Calibri"/>
        </w:rPr>
        <w:t xml:space="preserve"> </w:t>
      </w:r>
      <w:r w:rsidRPr="00E20F8E">
        <w:rPr>
          <w:rFonts w:cs="Calibri"/>
          <w:b w:val="0"/>
          <w:bCs w:val="0"/>
        </w:rPr>
        <w:t xml:space="preserve">aretaic allows people to understand the intrinsic nature behind their actions; they are no longer following an abstract theory but making the choice they think is correct. </w:t>
      </w:r>
      <w:r w:rsidRPr="00E20F8E">
        <w:rPr>
          <w:rFonts w:cs="Calibri"/>
        </w:rPr>
        <w:t xml:space="preserve"> </w:t>
      </w:r>
    </w:p>
    <w:p w14:paraId="410CDE81" w14:textId="77777777" w:rsidR="00733F33" w:rsidRPr="00E20F8E" w:rsidRDefault="00733F33" w:rsidP="00733F33"/>
    <w:p w14:paraId="25C0DD52" w14:textId="77777777" w:rsidR="00733F33" w:rsidRPr="00E20F8E" w:rsidRDefault="00733F33" w:rsidP="00733F33">
      <w:pPr>
        <w:pStyle w:val="Heading4"/>
        <w:rPr>
          <w:rFonts w:cs="Calibri"/>
        </w:rPr>
      </w:pPr>
      <w:r w:rsidRPr="00E20F8E">
        <w:rPr>
          <w:rFonts w:cs="Calibri"/>
        </w:rPr>
        <w:t xml:space="preserve">Next, </w:t>
      </w:r>
      <w:r w:rsidRPr="00E20F8E">
        <w:rPr>
          <w:rFonts w:cs="Calibri"/>
          <w:b w:val="0"/>
          <w:bCs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72F76030" w14:textId="77777777" w:rsidR="00733F33" w:rsidRDefault="00733F33" w:rsidP="00733F33">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w:t>
      </w:r>
      <w:r w:rsidRPr="002244CC">
        <w:rPr>
          <w:sz w:val="12"/>
        </w:rPr>
        <w:t xml:space="preserve">claims that </w:t>
      </w:r>
      <w:r w:rsidRPr="002244CC">
        <w:rPr>
          <w:b/>
          <w:bCs/>
          <w:u w:val="single"/>
        </w:rPr>
        <w:t xml:space="preserve">what is to count </w:t>
      </w:r>
      <w:r w:rsidRPr="002244CC">
        <w:rPr>
          <w:b/>
          <w:bCs/>
          <w:u w:val="single"/>
        </w:rPr>
        <w:lastRenderedPageBreak/>
        <w:t>as a good action</w:t>
      </w:r>
      <w:r w:rsidRPr="002244CC">
        <w:rPr>
          <w:sz w:val="12"/>
        </w:rPr>
        <w:t xml:space="preserve"> or what is a good outcome </w:t>
      </w:r>
      <w:r w:rsidRPr="002244CC">
        <w:rPr>
          <w:b/>
          <w:bCs/>
          <w:u w:val="single"/>
        </w:rPr>
        <w:t>is</w:t>
      </w:r>
      <w:r w:rsidRPr="002244CC">
        <w:rPr>
          <w:sz w:val="12"/>
        </w:rPr>
        <w:t xml:space="preserve"> conceptually </w:t>
      </w:r>
      <w:r w:rsidRPr="002244CC">
        <w:rPr>
          <w:b/>
          <w:bCs/>
          <w:u w:val="single"/>
        </w:rPr>
        <w:t>dependent on claims about</w:t>
      </w:r>
      <w:r w:rsidRPr="002244CC">
        <w:rPr>
          <w:sz w:val="12"/>
        </w:rPr>
        <w:t xml:space="preserve"> </w:t>
      </w:r>
      <w:r w:rsidRPr="002244CC">
        <w:rPr>
          <w:b/>
          <w:bCs/>
          <w:u w:val="single"/>
        </w:rPr>
        <w:t>the virtue of an agent</w:t>
      </w:r>
      <w:r w:rsidRPr="002244CC">
        <w:rPr>
          <w:sz w:val="12"/>
        </w:rPr>
        <w:t>. How</w:t>
      </w:r>
      <w:r w:rsidRPr="00E20F8E">
        <w:rPr>
          <w:sz w:val="12"/>
        </w:rPr>
        <w:t xml:space="preserve">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phronimos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 </w:t>
      </w:r>
    </w:p>
    <w:p w14:paraId="173203A2" w14:textId="0A1E15E7" w:rsidR="00733F33" w:rsidRPr="00681BA2" w:rsidRDefault="00733F33" w:rsidP="00733F33">
      <w:pPr>
        <w:pStyle w:val="Heading4"/>
      </w:pPr>
      <w:r w:rsidRPr="00681BA2">
        <w:t>Solipsism is true - We can only verify that our consciousness exists. Only virtue solves because even if only one subject exists, virtue resolves the problem of acting for another because it’s a question of developing the self to be good, otherwise we couldn’t generate obligations.</w:t>
      </w:r>
    </w:p>
    <w:p w14:paraId="74C20A6E" w14:textId="77777777" w:rsidR="00733F33" w:rsidRPr="00E20F8E" w:rsidRDefault="00733F33" w:rsidP="00733F33">
      <w:pPr>
        <w:pStyle w:val="Heading4"/>
        <w:rPr>
          <w:rFonts w:cs="Calibri"/>
        </w:rPr>
      </w:pPr>
      <w:r w:rsidRPr="00E20F8E">
        <w:rPr>
          <w:rFonts w:cs="Calibri"/>
        </w:rPr>
        <w:t>Thus, the standard is promoting virtue.</w:t>
      </w:r>
    </w:p>
    <w:p w14:paraId="53172116" w14:textId="43542932" w:rsidR="00733F33" w:rsidRPr="007D34A4" w:rsidRDefault="007D34A4" w:rsidP="007D34A4">
      <w:pPr>
        <w:pStyle w:val="Heading4"/>
      </w:pPr>
      <w:r w:rsidRPr="007D34A4">
        <w:t>Prefer:</w:t>
      </w:r>
    </w:p>
    <w:p w14:paraId="0EABCC16" w14:textId="2FD50E97" w:rsidR="007D34A4" w:rsidRPr="00E35B03" w:rsidRDefault="007D34A4" w:rsidP="007D34A4">
      <w:pPr>
        <w:pStyle w:val="Heading4"/>
      </w:pPr>
      <w:r>
        <w:t xml:space="preserve">[1] </w:t>
      </w:r>
      <w:r w:rsidRPr="00E35B03">
        <w:t>Eudaimonia— Living a life consistent with virtues is key to human flourishing and fulfillment, the ultimate happiness. It’s the basis of an entire field of psychology. Anything else denies self-value which kills value to life</w:t>
      </w:r>
    </w:p>
    <w:p w14:paraId="6FC131F2" w14:textId="77777777" w:rsidR="007D34A4" w:rsidRDefault="007D34A4" w:rsidP="007D34A4">
      <w:pPr>
        <w:rPr>
          <w:rFonts w:eastAsia="Calibri"/>
          <w:bCs/>
          <w:sz w:val="12"/>
          <w:szCs w:val="26"/>
        </w:rPr>
      </w:pPr>
      <w:r w:rsidRPr="00F03216">
        <w:rPr>
          <w:rStyle w:val="Style13ptBold"/>
        </w:rPr>
        <w:t>Moore 20</w:t>
      </w:r>
      <w:r>
        <w:rPr>
          <w:rFonts w:eastAsia="Calibri"/>
          <w:bCs/>
          <w:sz w:val="12"/>
          <w:szCs w:val="26"/>
        </w:rPr>
        <w:t>, Dr. Catherine Moore PhD is a psychologist with a passion for positive psychology research, “</w:t>
      </w:r>
      <w:r w:rsidRPr="00D0040D">
        <w:rPr>
          <w:rFonts w:eastAsia="Calibri"/>
          <w:bCs/>
          <w:sz w:val="12"/>
          <w:szCs w:val="26"/>
        </w:rPr>
        <w:t>What is Eudaimonia? Aristotle and Eudaimonic Well-Being</w:t>
      </w:r>
      <w:r>
        <w:rPr>
          <w:rFonts w:eastAsia="Calibri"/>
          <w:bCs/>
          <w:sz w:val="12"/>
          <w:szCs w:val="26"/>
        </w:rPr>
        <w:t>”, 1/09/20, Positive Psychologist [</w:t>
      </w:r>
      <w:r w:rsidRPr="00CC43E2">
        <w:rPr>
          <w:rFonts w:eastAsia="Calibri"/>
          <w:bCs/>
          <w:sz w:val="12"/>
          <w:szCs w:val="26"/>
        </w:rPr>
        <w:t>https://positivepsychology.com/eudaimonia/</w:t>
      </w:r>
      <w:r>
        <w:rPr>
          <w:rFonts w:eastAsia="Calibri"/>
          <w:bCs/>
          <w:sz w:val="12"/>
          <w:szCs w:val="26"/>
        </w:rPr>
        <w:t>] Accessed 1/11/21 AHS///NPR</w:t>
      </w:r>
    </w:p>
    <w:p w14:paraId="61A5F577" w14:textId="77777777" w:rsidR="007D34A4" w:rsidRPr="00E35B03" w:rsidRDefault="007D34A4" w:rsidP="007D34A4">
      <w:pPr>
        <w:rPr>
          <w:sz w:val="8"/>
        </w:rPr>
      </w:pPr>
      <w:r w:rsidRPr="00E35B03">
        <w:rPr>
          <w:sz w:val="8"/>
        </w:rPr>
        <w:t xml:space="preserve">Eudaimonia is not only one of the oldest, but it has stood the test of time for another reason. That reason being, </w:t>
      </w:r>
      <w:r w:rsidRPr="00E35B03">
        <w:rPr>
          <w:rStyle w:val="StyleUnderline"/>
          <w:b/>
          <w:bCs/>
          <w:highlight w:val="yellow"/>
        </w:rPr>
        <w:t xml:space="preserve">eudaimonia has the whole </w:t>
      </w:r>
      <w:r w:rsidRPr="00E35B03">
        <w:rPr>
          <w:rStyle w:val="StyleUnderline"/>
          <w:b/>
          <w:bCs/>
        </w:rPr>
        <w:t xml:space="preserve">element of </w:t>
      </w:r>
      <w:r w:rsidRPr="00E35B03">
        <w:rPr>
          <w:rStyle w:val="StyleUnderline"/>
          <w:b/>
          <w:bCs/>
          <w:highlight w:val="yellow"/>
        </w:rPr>
        <w:t>subjectivity built into it.</w:t>
      </w:r>
      <w:r w:rsidRPr="00E35B03">
        <w:rPr>
          <w:sz w:val="8"/>
        </w:rPr>
        <w:t xml:space="preserve"> It’s simultaneously both less and more prescriptive and dives quite deeply into the ideas of virtues and virtue ethics. In this article, we’ll look at Aristotle’s definition of Eudaimonia and its significant influence on the way ‘happiness’ and ‘well-being’ are viewed in positive psychology. Most significantly, through its implications for subjective well-being. Before you read on, we thought you might like to download our 3 Meaning and Valued Living Exercises for free. These creative, science-based exercises will help you learn more about your values and goals and will give you the tools to inspire a sense of meaning and happiness in the lives of your clients, students or employees. What is Eudaimonia? (Incl. Definition) In </w:t>
      </w:r>
      <w:r w:rsidRPr="00E35B03">
        <w:rPr>
          <w:rStyle w:val="Emphasis"/>
          <w:highlight w:val="yellow"/>
        </w:rPr>
        <w:t>i</w:t>
      </w:r>
      <w:r w:rsidRPr="00E35B03">
        <w:rPr>
          <w:rStyle w:val="StyleUnderline"/>
          <w:b/>
          <w:bCs/>
          <w:highlight w:val="yellow"/>
        </w:rPr>
        <w:t>ts</w:t>
      </w:r>
      <w:r w:rsidRPr="00E35B03">
        <w:rPr>
          <w:sz w:val="8"/>
        </w:rPr>
        <w:t xml:space="preserve"> simplest (translated) form, eudaimonia is often taken to mean happiness (Deci &amp; Ryan, 2006; Huta &amp; Waterman, 2014; Heintzelman, 2018). Sometimes it is translated from the original ancient Greek as welfare, sometimes flourishing, and sometimes as well-being (Kraut, 2018). The concept of Eudaimonia comes from Aristotle’s Nicomachean Ethics, his philosophical work on the ‘science of happiness’ (Irwin, 2012). We’ll look at this idea of ‘the science of happiness’ a little more closely later in this article. </w:t>
      </w:r>
      <w:r w:rsidRPr="00483F80">
        <w:rPr>
          <w:rStyle w:val="StyleUnderline"/>
          <w:b/>
          <w:bCs/>
        </w:rPr>
        <w:t xml:space="preserve">Eudaimonia is </w:t>
      </w:r>
      <w:r w:rsidRPr="00E35B03">
        <w:rPr>
          <w:rStyle w:val="StyleUnderline"/>
          <w:b/>
          <w:bCs/>
          <w:highlight w:val="yellow"/>
        </w:rPr>
        <w:t>about individual happiness;</w:t>
      </w:r>
      <w:r w:rsidRPr="00E35B03">
        <w:rPr>
          <w:sz w:val="8"/>
        </w:rPr>
        <w:t xml:space="preserve"> according to Deci and Ryan (2006: 2), it maintains that: “…well-being is </w:t>
      </w:r>
      <w:r w:rsidRPr="00E35B03">
        <w:rPr>
          <w:rStyle w:val="StyleUnderline"/>
          <w:b/>
          <w:bCs/>
          <w:highlight w:val="yellow"/>
        </w:rPr>
        <w:t>not</w:t>
      </w:r>
      <w:r w:rsidRPr="00483F80">
        <w:rPr>
          <w:rStyle w:val="StyleUnderline"/>
          <w:b/>
          <w:bCs/>
        </w:rPr>
        <w:t xml:space="preserve"> so much an </w:t>
      </w:r>
      <w:r w:rsidRPr="00E35B03">
        <w:rPr>
          <w:rStyle w:val="StyleUnderline"/>
          <w:b/>
          <w:bCs/>
          <w:highlight w:val="yellow"/>
        </w:rPr>
        <w:t>outcome or end state as it is a process of fulfilling</w:t>
      </w:r>
      <w:r w:rsidRPr="00483F80">
        <w:rPr>
          <w:rStyle w:val="StyleUnderline"/>
          <w:b/>
          <w:bCs/>
        </w:rPr>
        <w:t xml:space="preserve"> or realizing one’s daimon or true nature</w:t>
      </w:r>
      <w:r w:rsidRPr="00E35B03">
        <w:rPr>
          <w:sz w:val="8"/>
        </w:rPr>
        <w:t>—</w:t>
      </w:r>
      <w:r w:rsidRPr="00483F80">
        <w:rPr>
          <w:rStyle w:val="StyleUnderline"/>
          <w:b/>
          <w:bCs/>
        </w:rPr>
        <w:t xml:space="preserve">that is, of fulfilling </w:t>
      </w:r>
      <w:r w:rsidRPr="00E35B03">
        <w:rPr>
          <w:rStyle w:val="StyleUnderline"/>
          <w:b/>
          <w:bCs/>
          <w:highlight w:val="yellow"/>
        </w:rPr>
        <w:t>one’s virtuous potentials and living as one was inherently intended to live.”</w:t>
      </w:r>
      <w:r w:rsidRPr="00E35B03">
        <w:rPr>
          <w:sz w:val="8"/>
        </w:rPr>
        <w:t xml:space="preserve"> As there are so many different ways to translate the term into English, it may even be helpful to look at the etymology. If it helps to provide more context, eudaimonia is a combination of the prefix eu (which means good, or well), and daimon (which means spirit) (Gåvertsson, n.d.). The latter also appears in various related forms in contemporary literature, such as the idea of a dæmon as one’s soul in Philip Pullman’s bestselling Northern Lights (Oxford Dictionaries, 2019). A Brief History of Eudaimonia As noted, the concept of Eudaimonia can be traced back to Aristotle’s Nicomachean Ethics. Prior to this, however, Athenian philosophers such as Socrates and Plato (Aristotle’s mentor) were already entertaining similar concepts. Socrates on Eudaimonia Socrates, like Plato, believed that virtue (or arête, the very idea of virtue) was a form of knowledge—specifically, a knowledge of good and evil (Bobonich, 2010). That is, he saw numerous virtues—justice, piety, courage as united. That is, all were one, and they were all knowledge. Socrates viewed this knowledge as required for us as humans to achieve the ‘ultimate good’, which was eudaimonia. And by ‘us’, Socrates meant the individual (Waterman, 1993; Deci &amp; Ryan, 2006). Plato and Eudaimonism In a somewhat similar vein, Plato believed that individuals naturally feel unhappiness when they do something they know and acknowledge to be wrong (Price, 2011). Eudaimonia, according to Plato, was the highest and ultimate aim of both moral thought and behavior. Nonetheless, while Plato was believed somewhat to have refined the concept, he offered no direct definition for it. As with Socrates, he saw virtue as integral to eudaimonia. One thing is worth noting at this point. If this idea of an ‘ultimate goal’ for individuals is beginning to sound familiar, rest assured that there is good reason for thinking so. The similarities between eudaimonia and concepts such as Maslow’s self-actualization (1968) are indeed widely accepted in the psychological literature (Heintzelman, 2018). Given that we know Plato mentored Aristotle, let’s look at what the latter believed. Aristotlean Eudaimonia Numerous interpretations have been offered for Aristotle’s eudaimonia, with a general consensus on the idea that eudaimonia reflects “pursuit of virtue, excellence, and the best within us” (Huta &amp; Waterman, 2014: 1426). That is, he believed eudaimonia was rational activity aimed at pursuing ‘what is worthwhile in life’. Where Aristotle diverged from Plato and some other thinkers is in his belief about what is ‘enough’ (roughly) for eudaimonia. For the latter, virtue was enough for the ultimate good that is eudaimonia. For Aristotle, virtue was required, but not sufficient (Annas, 1993). In layperson’s terms, we can’t just act with virtuous, but we have also to intend to be virtuous, too. I will return to this a little later when looking at Aristotle’s ethics. But for now, he believes that </w:t>
      </w:r>
      <w:r w:rsidRPr="00E35B03">
        <w:rPr>
          <w:rStyle w:val="StyleUnderline"/>
          <w:b/>
          <w:bCs/>
          <w:highlight w:val="yellow"/>
        </w:rPr>
        <w:t>happiness and well-being come from how we live our lives.</w:t>
      </w:r>
      <w:r w:rsidRPr="00E35B03">
        <w:rPr>
          <w:sz w:val="8"/>
        </w:rPr>
        <w:t xml:space="preserve"> And that’s not in pursuit of material wealth, power, or honor. Rather, eudaimonic happiness is about lives lived and actions taken in pursuit of eudaimonia. Also at this point, you probably understand why some translations are argued to fall a little flat when it comes to describing Aristotle’s philosophical concept. Where rational activity is required to pursue an ultimate goal, beings such as plants—which do ‘flourish’—don’t qualify. Where these rational activities include “pride, wittiness, friendships that are mutually beneficial, pride and honesty among others”, neither do lots of other creatures (Hursthouse, 1999). A Look at Aristotle’s Concept of Happiness and Well-Being If you could ask Aristotle himself what happiness is, this is exactly what he’d say: “…Some identify happiness with virtue, some with practical wisdom, others with a kind of philosophic wisdom, others with these, or one of these, accompanied by pleasure or not without pleasure; while others include also external prosperity…it is not probable that…these should be entirely mistaken, but rather that they should be right in at least some one respect or even in most respects.” Aristotle, Nichomacean Ethics, Book I, Chapter 8 (excerpt from Nothingistic.org, 2019) Happily, we also have more concise and straightforward excerpts that reveal how we go about it. Happy Life According to Aristotle To be honest, a lot of Nichomacean Ethics is about what happiness isn’t. ‘Satisfying appetites’, Ryan and Singer argue is akin to “life suitable to beasts”, according to the philosopher (2006: 16). The pursuit of political power, material wealth, even fun and leisure, he saw as “laughable things”, inferior to “serious things” (Ryff &amp; Singer, 2008: 16). Instead, </w:t>
      </w:r>
      <w:r w:rsidRPr="00E35B03">
        <w:rPr>
          <w:rStyle w:val="StyleUnderline"/>
          <w:b/>
          <w:bCs/>
          <w:highlight w:val="yellow"/>
        </w:rPr>
        <w:t>happiness is an ‘intermediate’</w:t>
      </w:r>
      <w:r w:rsidRPr="00E35B03">
        <w:rPr>
          <w:sz w:val="8"/>
        </w:rPr>
        <w:t xml:space="preserve">, or a ‘golden mean’ </w:t>
      </w:r>
      <w:r w:rsidRPr="00E35B03">
        <w:rPr>
          <w:rStyle w:val="StyleUnderline"/>
          <w:b/>
          <w:bCs/>
          <w:highlight w:val="yellow"/>
        </w:rPr>
        <w:t>between deficiency and excess</w:t>
      </w:r>
      <w:r w:rsidRPr="00E35B03">
        <w:rPr>
          <w:sz w:val="8"/>
        </w:rPr>
        <w:t xml:space="preserve"> (Ryff &amp; Singer, 2008). </w:t>
      </w:r>
      <w:r w:rsidRPr="00E35B03">
        <w:rPr>
          <w:rStyle w:val="StyleUnderline"/>
          <w:b/>
          <w:bCs/>
        </w:rPr>
        <w:t>One example of virtue as a mean between two extremes is courage – as a virtue, it’s halfway between recklessness and cowardice</w:t>
      </w:r>
      <w:r w:rsidRPr="00E35B03">
        <w:rPr>
          <w:sz w:val="8"/>
        </w:rPr>
        <w:t xml:space="preserve"> (Kings College London, 2012). Here, we see the ‘rational activity’ aspect of eudaimonia coming back to the fore. When we are faced with situations, therefore, it can be argued that Aristotle isn’t giving prescriptive advice. He is, however, telling us how he believes the rational, virtuous pursuit of eudaimonia might look in an everyday setting. Role of Externalities So, what if you’re very, very unlucky? If you’ve read Nichomacean Ethics (maybe only skimmed partway through), this question is not an unreasonable one. After all, Aristotle argued: “He is happy who lives in accordance with complete virtue and is sufficiently equipped with external goods, not for some chance period but throughout a complete life.” – Aristotle, Nichomacean Ethics, Book I, Chapter 10 (excerpt from Nothingistic.org, 2019). Basically, yes, Aristotle acknowledged that fate or luck can play a role in our happiness. Nonetheless, he also believed that this task of ‘individual self-realization’ is how we go about it with our ‘own disposition and talent’ (Ryff &amp; Singer, 2008: 17). This excerpt also suggests that we should be aiming for ‘all of the virtues’, so it’s worthwhile considering Aristotle’s stance on being virtuous. The Philosophy Behind Aristotle’s Ethics As we can now see, Aristotle’s eudaimonia is a moral happiness concept. It is very much about living a life in accordance with virtues (Hursthouse, 1999). But what are these virtues, then? Of course, there is a large subjective element to what ‘virtue’ is. What one person holds to be virtuous isn’t always going to ring with that of others. Ancient and Medieval Philosophy Professor Peter Adamson gives some brilliant examples in this Kings College London video: One of these is ‘piety’, which was mentioned in the earlier look at Socrates. For example, can you be too pious? Some would argue yes, others, no. From what we’ve already discussed, however, we know Aristotle believes happiness is not about pursuing eudaimonia </w:t>
      </w:r>
      <w:r w:rsidRPr="00E35B03">
        <w:rPr>
          <w:sz w:val="8"/>
        </w:rPr>
        <w:lastRenderedPageBreak/>
        <w:t xml:space="preserve">through various means in order to be happy. This is, he argues, is founded in instrumentality. </w:t>
      </w:r>
      <w:r w:rsidRPr="00E35B03">
        <w:rPr>
          <w:rStyle w:val="StyleUnderline"/>
          <w:b/>
          <w:bCs/>
        </w:rPr>
        <w:t>Happiness, he might be seen as arguing, is once again the rational activity in pursuit of virtue itself.</w:t>
      </w:r>
      <w:r w:rsidRPr="00E35B03">
        <w:rPr>
          <w:sz w:val="8"/>
        </w:rPr>
        <w:t xml:space="preserve"> These virtues won’t necessarily be cut in stone. But, if we ask ourselves what we believe is good, or how we should live our lives, virtue ethics would argue that we have at least some starting points (Hursthouse, 1999). Modern Psychology and Eudaimonia So far, we’ve looked a little bit at subjectivity, flourishing, happiness, wellbeing, and actualization. All in a philosophical context. Hopefully, it provided some context. Because, naturally, </w:t>
      </w:r>
      <w:r w:rsidRPr="00E35B03">
        <w:rPr>
          <w:rStyle w:val="StyleUnderline"/>
          <w:b/>
          <w:bCs/>
          <w:highlight w:val="yellow"/>
        </w:rPr>
        <w:t>eudaimonia</w:t>
      </w:r>
      <w:r w:rsidRPr="00E35B03">
        <w:rPr>
          <w:sz w:val="8"/>
          <w:highlight w:val="yellow"/>
        </w:rPr>
        <w:t xml:space="preserve"> </w:t>
      </w:r>
      <w:r w:rsidRPr="00E35B03">
        <w:rPr>
          <w:sz w:val="8"/>
        </w:rPr>
        <w:t xml:space="preserve">thus </w:t>
      </w:r>
      <w:r w:rsidRPr="00E35B03">
        <w:rPr>
          <w:rStyle w:val="StyleUnderline"/>
          <w:b/>
          <w:bCs/>
          <w:highlight w:val="yellow"/>
        </w:rPr>
        <w:t>has myriad implications for psychologists</w:t>
      </w:r>
      <w:r w:rsidRPr="00E35B03">
        <w:rPr>
          <w:sz w:val="8"/>
        </w:rPr>
        <w:t xml:space="preserve"> with an interest in subjective wellbeing (SWB), and psychological wellbeing (PWB). And positive psychology is all about human flourishing and happiness. Overview of Psychological Research on Eudaimonia As a very concise overview of how the concept appears within psychology, here are some aspects that have been studied: Definition – not only conceptualizing the idea of eudaimonia in terms of psychology, wellbeing, and happiness, but also trying to operationalize the concept (e.g. Waterman, 1993; Ryan &amp; Deci, 2001; Keyes, 2002; Bauer et al., 2008; Ryff &amp; Singer, 2008; Waterman et al. 2008); Measurement – lots of these attempts at operationalization are a preliminary step to measuring human experiences of eudaimonia. There are actually a fair few of these scales. The best-known actually measures a similar concept of psychological wellbeing (PWB), made famous by Professor Ryff (1989); Distinctiveness and relation to other happiness/wellbeing concepts – with the most popular earlier studies looking at eudaimonia alongside hedonia (Ryan &amp; Deci, 2001; Huta &amp; Waterman, 2014); This was accompanied by </w:t>
      </w:r>
      <w:r w:rsidRPr="00E35B03">
        <w:rPr>
          <w:rStyle w:val="StyleUnderline"/>
          <w:b/>
          <w:bCs/>
          <w:highlight w:val="yellow"/>
        </w:rPr>
        <w:t>empirical and statistical analyses</w:t>
      </w:r>
      <w:r w:rsidRPr="00E35B03">
        <w:rPr>
          <w:sz w:val="8"/>
        </w:rPr>
        <w:t xml:space="preserve"> of the same (Chen et al., 2013); and Studies have also </w:t>
      </w:r>
      <w:r w:rsidRPr="00E35B03">
        <w:rPr>
          <w:rStyle w:val="StyleUnderline"/>
          <w:b/>
          <w:bCs/>
          <w:highlight w:val="yellow"/>
        </w:rPr>
        <w:t>looked at</w:t>
      </w:r>
      <w:r w:rsidRPr="00E35B03">
        <w:rPr>
          <w:sz w:val="8"/>
        </w:rPr>
        <w:t xml:space="preserve"> how eudaimonia is related (or not) to PWB and SWB (e.g. Chen et al., 2013). Of course, this is far from an exhaustive list, and as interdisciplinary interest grows, we can expect the same from the broader body of research. Plato on Eudaimonia As mentioned above, Plato never distinctly referred to eudaimonia by that term. A lot of what we know about his stance on the same comes from Republic (Amazon), his work on justice. In it, he writes of three friends who talk about what a ‘just’ republic would look like, and he premised four virtues (Bhandari, 1999; VanderWeele, 2017): Temperance (moderation) – or self-regulation, to avoid the vices and corruption caused by excess; Courage (or fortitude) – to stand up for what we believe is right and good; Justice – a social consciousness that plays a key part in maintaining societal order; and Wisdom (practical wisdom, or prudence) – the pursuit of knowledge. He believed that happiness was about living in pursuit of these virtues, and thus virtue is central to flourishing. Socrates and Eudaimonia Socrates, as discussed, saw eudaimonia as an ‘ultimate’ goal. Like Aristotle after him, Socrates emphasized the role and importance of arête very heavily—in fact, he believed it was both a means and an end to human happiness. In pursuit of what we now commonly refer to as ‘flourishing’, he encouraged people to ask themselves, and others, what was ‘good’ for our souls (Cooper, 1996). He believed, it is argued, that eudaimonia was ‘justly living well’, and that in doing so, we seek not experiential pleasure or ‘honor’ in isolation, but a good and happy life, guided by our virtues (Cooper, 1997; Bobonich, 2010; Brown, 2012). 3 Examples of Eudaimonic Well-Being A couple of millennia later, the teachings of Socrates, Plato, and Aristotle continue to shape how we study flourishing and well-being. Modern conceptions of </w:t>
      </w:r>
      <w:r w:rsidRPr="00E35B03">
        <w:rPr>
          <w:rStyle w:val="StyleUnderline"/>
          <w:b/>
          <w:bCs/>
          <w:highlight w:val="yellow"/>
        </w:rPr>
        <w:t>Eudaimonic Well-being (EWB)</w:t>
      </w:r>
      <w:r w:rsidRPr="00E35B03">
        <w:rPr>
          <w:sz w:val="8"/>
        </w:rPr>
        <w:t xml:space="preserve"> are, on the whole, shaped by literature reviews, critical analyses, and empirical examinations of their texts. Coupled with modern research into quality of life and subjective well-being (SWB), we have come as far as being able to develop measures for the construct. EWB is defined by Waterman and colleagues (2010: 41) as: “quality of life derived from the development of a person’s best potentials and their application in the fulfillment of personally expressive, self-concordant goals (Sheldon, 2002; Waterman, 1990; 2008)” In their study, they give several </w:t>
      </w:r>
      <w:r w:rsidRPr="00E35B03">
        <w:rPr>
          <w:rStyle w:val="StyleUnderline"/>
          <w:b/>
          <w:bCs/>
          <w:highlight w:val="yellow"/>
        </w:rPr>
        <w:t>examples</w:t>
      </w:r>
      <w:r w:rsidRPr="00E35B03">
        <w:rPr>
          <w:sz w:val="8"/>
        </w:rPr>
        <w:t xml:space="preserve"> of EWB (Norton, 1976; Waterman et al., 2010). Here </w:t>
      </w:r>
      <w:r w:rsidRPr="00E35B03">
        <w:rPr>
          <w:rStyle w:val="StyleUnderline"/>
          <w:b/>
          <w:bCs/>
          <w:highlight w:val="yellow"/>
        </w:rPr>
        <w:t>are</w:t>
      </w:r>
      <w:r w:rsidRPr="00E35B03">
        <w:rPr>
          <w:sz w:val="8"/>
        </w:rPr>
        <w:t xml:space="preserve"> a few: “Knowing who you really are” – Examples of this self-discovery might include the self-identity knowledge that comes from meditating on your core beliefs. Or, it could be a good understanding of your personal character strengths and qualities. It could even be the self-knowledge that comes from reflecting on your personal development or the values that you hold important. “Developing these unique potentials” – </w:t>
      </w:r>
      <w:r w:rsidRPr="00E35B03">
        <w:rPr>
          <w:rStyle w:val="StyleUnderline"/>
          <w:b/>
          <w:bCs/>
          <w:highlight w:val="yellow"/>
        </w:rPr>
        <w:t>Someone who</w:t>
      </w:r>
      <w:r w:rsidRPr="00E35B03">
        <w:rPr>
          <w:sz w:val="8"/>
        </w:rPr>
        <w:t xml:space="preserve"> scores high on EWB (according to the Questionnaire for Eudaimonic Well-being) </w:t>
      </w:r>
      <w:r w:rsidRPr="00E35B03">
        <w:rPr>
          <w:rStyle w:val="StyleUnderline"/>
          <w:b/>
          <w:bCs/>
          <w:highlight w:val="yellow"/>
        </w:rPr>
        <w:t xml:space="preserve">makes a persistent, committed effort to building on </w:t>
      </w:r>
      <w:r w:rsidRPr="00E35B03">
        <w:rPr>
          <w:rStyle w:val="StyleUnderline"/>
          <w:b/>
          <w:bCs/>
        </w:rPr>
        <w:t xml:space="preserve">this </w:t>
      </w:r>
      <w:r w:rsidRPr="00E35B03">
        <w:rPr>
          <w:rStyle w:val="StyleUnderline"/>
          <w:b/>
          <w:bCs/>
          <w:highlight w:val="yellow"/>
        </w:rPr>
        <w:t>self-knowledge.</w:t>
      </w:r>
      <w:r w:rsidRPr="00E35B03">
        <w:rPr>
          <w:sz w:val="8"/>
        </w:rPr>
        <w:t xml:space="preserve"> A little more on the ‘how’ and the QEWB is covered very shortly. “Using those potentials to fulfill your life goals” – Someone who is committed to this pursuit, over the long term, would be a prime example. These describe some of the EWB concepts on which one well-known measure of EWB is based.</w:t>
      </w:r>
    </w:p>
    <w:p w14:paraId="55FF16C0" w14:textId="77777777" w:rsidR="007D34A4" w:rsidRPr="00E35B03" w:rsidRDefault="007D34A4" w:rsidP="007D34A4">
      <w:pPr>
        <w:pStyle w:val="Heading4"/>
      </w:pPr>
      <w:r>
        <w:t xml:space="preserve">[2] </w:t>
      </w:r>
      <w:r w:rsidRPr="00DB7A98">
        <w:t>Consequences fail – A) To account for all foreseen impacts would prevent action because individuals would become morally culpable for all actions and states of affairs not just those that factor into the will B) Induction is circular because it relies on the assumption that nature will hold uniform and we could only reach that conclusion through inductive reasoning based on observation of past events</w:t>
      </w:r>
      <w:r>
        <w:t>. C) Consequences trigger more consequences and there is no non-arbitrary stopping point to evaluating them which makes evaluating them impossible D) 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w:t>
      </w:r>
    </w:p>
    <w:p w14:paraId="0EBD4925" w14:textId="77777777" w:rsidR="007D34A4" w:rsidRPr="00E20F8E" w:rsidRDefault="007D34A4" w:rsidP="00733F33">
      <w:pPr>
        <w:rPr>
          <w:b/>
          <w:color w:val="FF0000"/>
          <w:szCs w:val="26"/>
        </w:rPr>
      </w:pPr>
    </w:p>
    <w:p w14:paraId="386660C3" w14:textId="7FA37F1B" w:rsidR="004F254A" w:rsidRPr="000D107D" w:rsidRDefault="00733F33" w:rsidP="004F254A">
      <w:pPr>
        <w:pStyle w:val="Analytic"/>
        <w:rPr>
          <w:b w:val="0"/>
        </w:rPr>
      </w:pPr>
      <w:r>
        <w:rPr>
          <w:rFonts w:cs="Calibri"/>
        </w:rPr>
        <w:lastRenderedPageBreak/>
        <w:t xml:space="preserve">Impact Calc: 1) </w:t>
      </w:r>
      <w:r w:rsidRPr="00656704">
        <w:t>The framing evaluates offense based on whether or not a</w:t>
      </w:r>
      <w:r>
        <w:t xml:space="preserve">n action </w:t>
      </w:r>
      <w:r w:rsidRPr="00656704">
        <w:t>allows for the procedural cultivation of virtues— takes out calc indicts since we don’t need to know what a virtue is, we just need to have humans making decisions</w:t>
      </w:r>
      <w:r>
        <w:t xml:space="preserve">. 2. </w:t>
      </w:r>
      <w:r w:rsidRPr="00E20F8E">
        <w:rPr>
          <w:rFonts w:cs="Calibri"/>
        </w:rPr>
        <w:t>Reject calc indicts – a) just proves being virtuous is hard but moral practice is the point, so it just proves the aff is necessary b) actions aimed toward the good are virtuous resolved by intuitions. Anything else collapses to skepticism since we can’t trust our own judgements about morality.</w:t>
      </w:r>
      <w:r w:rsidR="004F254A">
        <w:t xml:space="preserve"> </w:t>
      </w:r>
      <w:r w:rsidR="004F254A">
        <w:rPr>
          <w:rFonts w:cs="Calibri"/>
        </w:rPr>
        <w:t xml:space="preserve">3) </w:t>
      </w:r>
      <w:r w:rsidR="004F254A">
        <w:t xml:space="preserve">Ideal theory is good and outweighs – A) Measurement – it’s the only way to measure moral progress since we have a standard by which we can measure our actions in relation to the good that isn’t constantly changing B) Only ideal theory can justify the K. </w:t>
      </w:r>
      <w:r w:rsidR="004F254A" w:rsidRPr="006D6035">
        <w:rPr>
          <w:u w:val="single"/>
        </w:rPr>
        <w:t>Shelby 13,</w:t>
      </w:r>
      <w:r w:rsidR="004F254A">
        <w:t xml:space="preserve"> </w:t>
      </w:r>
      <w:r w:rsidR="004F254A" w:rsidRPr="006D6035">
        <w:rPr>
          <w:b w:val="0"/>
          <w:sz w:val="12"/>
          <w:szCs w:val="12"/>
        </w:rPr>
        <w:t xml:space="preserve">Shelby, Tommie [Tadwell Titcomb Professor of African-American Studies and Philosophy, Harvard University]. “Racial Realities and Corrective Justice: A Reply to Charles Mills.” </w:t>
      </w:r>
      <w:r w:rsidR="004F254A" w:rsidRPr="006D6035">
        <w:rPr>
          <w:b w:val="0"/>
          <w:i/>
          <w:sz w:val="12"/>
          <w:szCs w:val="12"/>
        </w:rPr>
        <w:t xml:space="preserve">Critical Philosophy of Race </w:t>
      </w:r>
      <w:r w:rsidR="004F254A" w:rsidRPr="006D6035">
        <w:rPr>
          <w:b w:val="0"/>
          <w:sz w:val="12"/>
          <w:szCs w:val="12"/>
        </w:rPr>
        <w:t>1.2 (2013): 145-162.</w:t>
      </w:r>
      <w:r w:rsidR="004F254A">
        <w:rPr>
          <w:b w:val="0"/>
          <w:sz w:val="12"/>
          <w:szCs w:val="12"/>
        </w:rPr>
        <w:t xml:space="preserve"> </w:t>
      </w:r>
      <w:r w:rsidR="004F254A" w:rsidRPr="006D6035">
        <w:rPr>
          <w:b w:val="0"/>
          <w:sz w:val="12"/>
          <w:szCs w:val="24"/>
        </w:rPr>
        <w:t>The trouble with Mills’s view is that he regards nonideal theory as independent of ideal theory, indeed as an alternative to it</w:t>
      </w:r>
      <w:r w:rsidR="004F254A" w:rsidRPr="000A7DCD">
        <w:rPr>
          <w:b w:val="0"/>
          <w:sz w:val="12"/>
          <w:szCs w:val="24"/>
        </w:rPr>
        <w:t xml:space="preserve">. But </w:t>
      </w:r>
      <w:r w:rsidR="004F254A" w:rsidRPr="00E3559B">
        <w:rPr>
          <w:sz w:val="24"/>
          <w:szCs w:val="24"/>
          <w:highlight w:val="yellow"/>
          <w:u w:val="single"/>
        </w:rPr>
        <w:t>nonideal theory</w:t>
      </w:r>
      <w:r w:rsidR="004F254A" w:rsidRPr="006D6035">
        <w:rPr>
          <w:b w:val="0"/>
          <w:sz w:val="12"/>
          <w:szCs w:val="24"/>
        </w:rPr>
        <w:t>—the study of the principles that should guide our responses to injustice—</w:t>
      </w:r>
      <w:r w:rsidR="004F254A" w:rsidRPr="00E3559B">
        <w:rPr>
          <w:sz w:val="24"/>
          <w:szCs w:val="24"/>
          <w:highlight w:val="yellow"/>
          <w:u w:val="single"/>
        </w:rPr>
        <w:t>cannot succeed without</w:t>
      </w:r>
      <w:r w:rsidR="004F254A" w:rsidRPr="006D6035">
        <w:rPr>
          <w:sz w:val="24"/>
          <w:szCs w:val="24"/>
          <w:u w:val="single"/>
        </w:rPr>
        <w:t xml:space="preserve"> knowing what the </w:t>
      </w:r>
      <w:r w:rsidR="004F254A" w:rsidRPr="00E3559B">
        <w:rPr>
          <w:sz w:val="24"/>
          <w:szCs w:val="24"/>
          <w:highlight w:val="yellow"/>
          <w:u w:val="single"/>
        </w:rPr>
        <w:t>standards of justice</w:t>
      </w:r>
      <w:r w:rsidR="004F254A" w:rsidRPr="006D6035">
        <w:rPr>
          <w:sz w:val="24"/>
          <w:szCs w:val="24"/>
          <w:u w:val="single"/>
        </w:rPr>
        <w:t xml:space="preserve"> are</w:t>
      </w:r>
      <w:r w:rsidR="004F254A" w:rsidRPr="006D6035">
        <w:rPr>
          <w:b w:val="0"/>
          <w:sz w:val="12"/>
          <w:szCs w:val="24"/>
        </w:rPr>
        <w:t xml:space="preserve"> (and perhaps also what justifies these standards). </w:t>
      </w:r>
      <w:r w:rsidR="004F254A" w:rsidRPr="00E3559B">
        <w:rPr>
          <w:sz w:val="24"/>
          <w:szCs w:val="24"/>
          <w:highlight w:val="yellow"/>
          <w:u w:val="single"/>
        </w:rPr>
        <w:t>It is not clear how we</w:t>
      </w:r>
      <w:r w:rsidR="004F254A" w:rsidRPr="006D6035">
        <w:rPr>
          <w:sz w:val="24"/>
          <w:szCs w:val="24"/>
          <w:u w:val="single"/>
        </w:rPr>
        <w:t xml:space="preserve"> are to</w:t>
      </w:r>
      <w:r w:rsidR="004F254A" w:rsidRPr="006D6035">
        <w:rPr>
          <w:b w:val="0"/>
          <w:sz w:val="12"/>
          <w:szCs w:val="24"/>
        </w:rPr>
        <w:t xml:space="preserve"> develop a philosophically adequate and complete theory of how to </w:t>
      </w:r>
      <w:r w:rsidR="004F254A" w:rsidRPr="00E3559B">
        <w:rPr>
          <w:sz w:val="24"/>
          <w:szCs w:val="24"/>
          <w:highlight w:val="yellow"/>
          <w:u w:val="single"/>
        </w:rPr>
        <w:t>respond to</w:t>
      </w:r>
      <w:r w:rsidR="004F254A" w:rsidRPr="006D6035">
        <w:rPr>
          <w:sz w:val="24"/>
          <w:szCs w:val="24"/>
          <w:u w:val="single"/>
        </w:rPr>
        <w:t xml:space="preserve"> social </w:t>
      </w:r>
      <w:r w:rsidR="004F254A" w:rsidRPr="00E3559B">
        <w:rPr>
          <w:sz w:val="24"/>
          <w:szCs w:val="24"/>
          <w:highlight w:val="yellow"/>
          <w:u w:val="single"/>
        </w:rPr>
        <w:t>injustice without</w:t>
      </w:r>
      <w:r w:rsidR="004F254A" w:rsidRPr="006D6035">
        <w:rPr>
          <w:b w:val="0"/>
          <w:sz w:val="12"/>
          <w:szCs w:val="24"/>
        </w:rPr>
        <w:t xml:space="preserve"> first </w:t>
      </w:r>
      <w:r w:rsidR="004F254A" w:rsidRPr="00E3559B">
        <w:rPr>
          <w:sz w:val="24"/>
          <w:szCs w:val="24"/>
          <w:highlight w:val="yellow"/>
          <w:u w:val="single"/>
        </w:rPr>
        <w:t>knowing what makes a</w:t>
      </w:r>
      <w:r w:rsidR="004F254A" w:rsidRPr="006D6035">
        <w:rPr>
          <w:sz w:val="24"/>
          <w:szCs w:val="24"/>
          <w:u w:val="single"/>
        </w:rPr>
        <w:t xml:space="preserve"> social </w:t>
      </w:r>
      <w:r w:rsidR="004F254A" w:rsidRPr="00E3559B">
        <w:rPr>
          <w:sz w:val="24"/>
          <w:szCs w:val="24"/>
          <w:highlight w:val="yellow"/>
          <w:u w:val="single"/>
        </w:rPr>
        <w:t>scheme unjust</w:t>
      </w:r>
      <w:r w:rsidR="004F254A" w:rsidRPr="006D6035">
        <w:rPr>
          <w:b w:val="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sidR="004F254A" w:rsidRPr="00E3559B">
        <w:rPr>
          <w:sz w:val="24"/>
          <w:szCs w:val="24"/>
          <w:highlight w:val="yellow"/>
          <w:u w:val="single"/>
        </w:rPr>
        <w:t>when</w:t>
      </w:r>
      <w:r w:rsidR="004F254A" w:rsidRPr="006D6035">
        <w:rPr>
          <w:sz w:val="24"/>
          <w:szCs w:val="24"/>
          <w:u w:val="single"/>
        </w:rPr>
        <w:t xml:space="preserve"> our political </w:t>
      </w:r>
      <w:r w:rsidR="004F254A" w:rsidRPr="00E3559B">
        <w:rPr>
          <w:sz w:val="24"/>
          <w:szCs w:val="24"/>
          <w:highlight w:val="yellow"/>
          <w:u w:val="single"/>
        </w:rPr>
        <w:t>values</w:t>
      </w:r>
      <w:r w:rsidR="004F254A" w:rsidRPr="006D6035">
        <w:rPr>
          <w:sz w:val="24"/>
          <w:szCs w:val="24"/>
          <w:u w:val="single"/>
        </w:rPr>
        <w:t xml:space="preserve"> seem to </w:t>
      </w:r>
      <w:r w:rsidR="004F254A" w:rsidRPr="00E3559B">
        <w:rPr>
          <w:sz w:val="24"/>
          <w:szCs w:val="24"/>
          <w:highlight w:val="yellow"/>
          <w:u w:val="single"/>
        </w:rPr>
        <w:t>conflict,</w:t>
      </w:r>
      <w:r w:rsidR="004F254A" w:rsidRPr="006D6035">
        <w:rPr>
          <w:sz w:val="24"/>
          <w:szCs w:val="24"/>
          <w:u w:val="single"/>
        </w:rPr>
        <w:t xml:space="preserve"> or when </w:t>
      </w:r>
      <w:r w:rsidR="004F254A" w:rsidRPr="00E3559B">
        <w:rPr>
          <w:sz w:val="24"/>
          <w:szCs w:val="24"/>
          <w:highlight w:val="yellow"/>
          <w:u w:val="single"/>
        </w:rPr>
        <w:t>we’re uncertain about what justice requires, or</w:t>
      </w:r>
      <w:r w:rsidR="004F254A" w:rsidRPr="006D6035">
        <w:rPr>
          <w:sz w:val="24"/>
          <w:szCs w:val="24"/>
          <w:u w:val="single"/>
        </w:rPr>
        <w:t xml:space="preserve"> when </w:t>
      </w:r>
      <w:r w:rsidR="004F254A" w:rsidRPr="00E3559B">
        <w:rPr>
          <w:sz w:val="24"/>
          <w:szCs w:val="24"/>
          <w:highlight w:val="yellow"/>
          <w:u w:val="single"/>
        </w:rPr>
        <w:t>there is</w:t>
      </w:r>
      <w:r w:rsidR="004F254A" w:rsidRPr="006D6035">
        <w:rPr>
          <w:sz w:val="24"/>
          <w:szCs w:val="24"/>
          <w:u w:val="single"/>
        </w:rPr>
        <w:t xml:space="preserve"> great but honest </w:t>
      </w:r>
      <w:r w:rsidR="004F254A" w:rsidRPr="00E3559B">
        <w:rPr>
          <w:sz w:val="24"/>
          <w:szCs w:val="24"/>
          <w:highlight w:val="yellow"/>
          <w:u w:val="single"/>
        </w:rPr>
        <w:t>disagreement</w:t>
      </w:r>
      <w:r w:rsidR="004F254A" w:rsidRPr="006D6035">
        <w:rPr>
          <w:sz w:val="24"/>
          <w:szCs w:val="24"/>
          <w:u w:val="single"/>
        </w:rPr>
        <w:t xml:space="preserve"> about whether a practice is unjust, </w:t>
      </w:r>
      <w:r w:rsidR="004F254A" w:rsidRPr="00E3559B">
        <w:rPr>
          <w:sz w:val="24"/>
          <w:szCs w:val="24"/>
          <w:highlight w:val="yellow"/>
          <w:u w:val="single"/>
        </w:rPr>
        <w:t>we won’t know which aspects of a society should be altered in the absence of a</w:t>
      </w:r>
      <w:r w:rsidR="004F254A" w:rsidRPr="006D6035">
        <w:rPr>
          <w:sz w:val="24"/>
          <w:szCs w:val="24"/>
          <w:u w:val="single"/>
        </w:rPr>
        <w:t xml:space="preserve"> more </w:t>
      </w:r>
      <w:r w:rsidR="004F254A" w:rsidRPr="00E3559B">
        <w:rPr>
          <w:sz w:val="24"/>
          <w:szCs w:val="24"/>
          <w:highlight w:val="yellow"/>
          <w:u w:val="single"/>
        </w:rPr>
        <w:t>systematic conception</w:t>
      </w:r>
      <w:r w:rsidR="004F254A" w:rsidRPr="006D6035">
        <w:rPr>
          <w:sz w:val="24"/>
          <w:szCs w:val="24"/>
          <w:u w:val="single"/>
        </w:rPr>
        <w:t xml:space="preserve"> of justice</w:t>
      </w:r>
      <w:r w:rsidR="004F254A" w:rsidRPr="006D6035">
        <w:rPr>
          <w:b w:val="0"/>
          <w:sz w:val="12"/>
          <w:szCs w:val="24"/>
        </w:rPr>
        <w:t>. Without a set of principles that enables us to identify the injustice-making features of a social system, we could not be confident in the direction social change should take, at least not if our aim is to realize a fully just society. In light of these considerations, I have two questions about Mills’s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395D1E09" w14:textId="4A9AF9DF" w:rsidR="00733F33" w:rsidRPr="00656704" w:rsidRDefault="00733F33" w:rsidP="00733F33">
      <w:pPr>
        <w:pStyle w:val="Heading4"/>
      </w:pPr>
    </w:p>
    <w:p w14:paraId="44561F54" w14:textId="7D47DD5F" w:rsidR="00733F33" w:rsidRDefault="00733F33" w:rsidP="00733F33"/>
    <w:p w14:paraId="49048291" w14:textId="77777777" w:rsidR="007D34A4" w:rsidRPr="00E20F8E" w:rsidRDefault="007D34A4" w:rsidP="00733F33"/>
    <w:p w14:paraId="36FCAE1C" w14:textId="77777777" w:rsidR="00733F33" w:rsidRDefault="00733F33" w:rsidP="00733F33">
      <w:pPr>
        <w:pStyle w:val="Heading2"/>
      </w:pPr>
      <w:r>
        <w:lastRenderedPageBreak/>
        <w:t>Offense</w:t>
      </w:r>
    </w:p>
    <w:p w14:paraId="16B044C9" w14:textId="77777777" w:rsidR="00733F33" w:rsidRPr="00E20F8E" w:rsidRDefault="00733F33" w:rsidP="00733F33">
      <w:pPr>
        <w:pStyle w:val="Heading4"/>
        <w:rPr>
          <w:rFonts w:cs="Calibri"/>
        </w:rPr>
      </w:pPr>
      <w:r w:rsidRPr="00E20F8E">
        <w:rPr>
          <w:rFonts w:cs="Calibri"/>
        </w:rPr>
        <w:t>I defend that the member nations of the World Trade Organization ought to reduce intellectual property protections for medicines.</w:t>
      </w:r>
    </w:p>
    <w:p w14:paraId="034B99FB" w14:textId="77777777" w:rsidR="00733F33" w:rsidRPr="00E20F8E" w:rsidRDefault="00733F33" w:rsidP="00733F33"/>
    <w:p w14:paraId="065EE630" w14:textId="77777777" w:rsidR="00733F33" w:rsidRPr="00E20F8E" w:rsidRDefault="00733F33" w:rsidP="00733F33">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01B1752B" w14:textId="77777777" w:rsidR="00733F33" w:rsidRPr="00E20F8E" w:rsidRDefault="00733F33" w:rsidP="00733F33">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//ahs emi</w:t>
      </w:r>
    </w:p>
    <w:p w14:paraId="0FE89FCC" w14:textId="77777777" w:rsidR="00733F33" w:rsidRPr="00E20F8E" w:rsidRDefault="00733F33" w:rsidP="00733F33">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principles.lT Virtue ethics emphasizes character formation and habits to foster positive improvements in the world.18 A virtuous person wants to behave well and looks at a circumstance and decides what is right and wishes to behave according to what is right.le This view aligns with Nussbaum who takes a capabilities view which is based on the idea that well-being is "of vital moral importance [and]... </w:t>
      </w:r>
      <w:r w:rsidRPr="00E20F8E">
        <w:rPr>
          <w:rStyle w:val="StyleUnderline"/>
          <w:bCs/>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bCs/>
          <w:highlight w:val="yellow"/>
        </w:rPr>
        <w:t>IP rights "generate a material circumstance for a majority of the world in which we can't maximally exercise our intellectual capacities, and thus we fail as a species to maximally flourish."</w:t>
      </w:r>
      <w:r w:rsidRPr="00E20F8E">
        <w:rPr>
          <w:sz w:val="12"/>
        </w:rPr>
        <w:t xml:space="preserve">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anti-retrovirals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bCs/>
          <w:highlight w:val="yellow"/>
        </w:rPr>
        <w:t>The ongoing tension</w:t>
      </w:r>
      <w:r w:rsidRPr="00E20F8E">
        <w:rPr>
          <w:rStyle w:val="StyleUnderline"/>
          <w:bCs/>
        </w:rPr>
        <w:t xml:space="preserve"> </w:t>
      </w:r>
      <w:r w:rsidRPr="00E20F8E">
        <w:rPr>
          <w:rStyle w:val="StyleUnderline"/>
          <w:bCs/>
          <w:highlight w:val="yellow"/>
        </w:rPr>
        <w:t>between</w:t>
      </w:r>
      <w:r w:rsidRPr="00E20F8E">
        <w:rPr>
          <w:rStyle w:val="StyleUnderline"/>
          <w:bCs/>
        </w:rPr>
        <w:t xml:space="preserve"> the fight against </w:t>
      </w:r>
      <w:r w:rsidRPr="00E20F8E">
        <w:rPr>
          <w:rStyle w:val="StyleUnderline"/>
          <w:bCs/>
          <w:highlight w:val="yellow"/>
        </w:rPr>
        <w:t>poverty and IP rights</w:t>
      </w:r>
      <w:r w:rsidRPr="00E20F8E">
        <w:rPr>
          <w:rStyle w:val="StyleUnderline"/>
          <w:bCs/>
        </w:rPr>
        <w:t xml:space="preserve"> continues to </w:t>
      </w:r>
      <w:r w:rsidRPr="00E20F8E">
        <w:rPr>
          <w:rStyle w:val="StyleUnderline"/>
          <w:bCs/>
          <w:highlight w:val="yellow"/>
        </w:rPr>
        <w:t>persist at the mercy of</w:t>
      </w:r>
      <w:r w:rsidRPr="00E20F8E">
        <w:rPr>
          <w:rStyle w:val="StyleUnderline"/>
          <w:bCs/>
        </w:rPr>
        <w:t xml:space="preserve"> humans in </w:t>
      </w:r>
      <w:r w:rsidRPr="00E20F8E">
        <w:rPr>
          <w:rStyle w:val="StyleUnderline"/>
          <w:bCs/>
          <w:highlight w:val="yellow"/>
        </w:rPr>
        <w:t>poorer nations</w:t>
      </w:r>
      <w:r w:rsidRPr="00E20F8E">
        <w:rPr>
          <w:rStyle w:val="StyleUnderline"/>
          <w:bCs/>
        </w:rPr>
        <w:t xml:space="preserve"> who are </w:t>
      </w:r>
      <w:r w:rsidRPr="00E20F8E">
        <w:rPr>
          <w:rStyle w:val="StyleUnderline"/>
          <w:bCs/>
          <w:highlight w:val="yellow"/>
        </w:rPr>
        <w:t>unable to afford medications</w:t>
      </w:r>
      <w:r w:rsidRPr="00E20F8E">
        <w:rPr>
          <w:rStyle w:val="StyleUnderline"/>
          <w:bCs/>
        </w:rPr>
        <w:t xml:space="preserve"> to cure their illnesses and diseases </w:t>
      </w:r>
      <w:r w:rsidRPr="00E20F8E">
        <w:rPr>
          <w:rStyle w:val="StyleUnderline"/>
          <w:bCs/>
          <w:highlight w:val="yellow"/>
        </w:rPr>
        <w:t>which hinders maximum</w:t>
      </w:r>
      <w:r w:rsidRPr="00E20F8E">
        <w:rPr>
          <w:rStyle w:val="StyleUnderline"/>
          <w:bCs/>
        </w:rPr>
        <w:t xml:space="preserve"> human </w:t>
      </w:r>
      <w:r w:rsidRPr="00E20F8E">
        <w:rPr>
          <w:rStyle w:val="Emphasis"/>
          <w:highlight w:val="yellow"/>
        </w:rPr>
        <w:t>f</w:t>
      </w:r>
      <w:r w:rsidRPr="00E20F8E">
        <w:rPr>
          <w:rStyle w:val="StyleUnderline"/>
          <w:bCs/>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bCs/>
          <w:highlight w:val="yellow"/>
        </w:rPr>
        <w:t>every person should have the ability to live a flourishing life yet the IP movement has placed limitations on what a person can do</w:t>
      </w:r>
      <w:r w:rsidRPr="00E20F8E">
        <w:rPr>
          <w:rStyle w:val="StyleUnderline"/>
          <w:bCs/>
        </w:rPr>
        <w:t xml:space="preserve"> and be as a result of continued poverty.33</w:t>
      </w:r>
    </w:p>
    <w:p w14:paraId="6A470DA2" w14:textId="77777777" w:rsidR="00733F33" w:rsidRPr="00E20F8E" w:rsidRDefault="00733F33" w:rsidP="00733F33"/>
    <w:p w14:paraId="42E2F672" w14:textId="77777777" w:rsidR="00733F33" w:rsidRPr="00E20F8E" w:rsidRDefault="00733F33" w:rsidP="00733F33">
      <w:pPr>
        <w:pStyle w:val="Heading4"/>
        <w:rPr>
          <w:rFonts w:cs="Calibri"/>
        </w:rPr>
      </w:pPr>
      <w:r w:rsidRPr="00E20F8E">
        <w:rPr>
          <w:rFonts w:cs="Calibri"/>
        </w:rPr>
        <w:t>[2] Removing IPs fosters the social relationships needed to cultivate communal virtues.</w:t>
      </w:r>
    </w:p>
    <w:p w14:paraId="1815435E" w14:textId="77777777" w:rsidR="00733F33" w:rsidRPr="00E20F8E" w:rsidRDefault="00733F33" w:rsidP="00733F33">
      <w:r w:rsidRPr="00E20F8E">
        <w:rPr>
          <w:b/>
          <w:bCs/>
          <w:sz w:val="26"/>
          <w:szCs w:val="26"/>
        </w:rPr>
        <w:t>Grimmelmann 9</w:t>
      </w:r>
      <w:r w:rsidRPr="00E20F8E">
        <w:t xml:space="preserve"> - “Ethical Visions of Copyright Law” by James Grimmelmann [https://ir.lawnet.fordham.edu/cgi/viewcontent.cgi?article=4433&amp;context=flr] // ahs emi</w:t>
      </w:r>
    </w:p>
    <w:p w14:paraId="02C6195C" w14:textId="77777777" w:rsidR="00733F33" w:rsidRPr="00E20F8E" w:rsidRDefault="00733F33" w:rsidP="00733F33">
      <w:pPr>
        <w:rPr>
          <w:sz w:val="16"/>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Benkler and Helen Nissenbaum give a virtue-ethics analysis of this phenomenon. For them, </w:t>
      </w:r>
      <w:r w:rsidRPr="00E20F8E">
        <w:rPr>
          <w:rStyle w:val="StyleUnderline"/>
          <w:bCs/>
        </w:rPr>
        <w:t xml:space="preserve">deeper principles of </w:t>
      </w:r>
      <w:r w:rsidRPr="00E20F8E">
        <w:rPr>
          <w:rStyle w:val="StyleUnderline"/>
          <w:bCs/>
          <w:highlight w:val="yellow"/>
        </w:rPr>
        <w:t>autonomy, democracy, and mutual respect are furthered by</w:t>
      </w:r>
      <w:r w:rsidRPr="00E20F8E">
        <w:rPr>
          <w:rStyle w:val="StyleUnderline"/>
          <w:bCs/>
        </w:rPr>
        <w:t xml:space="preserve"> a culture of </w:t>
      </w:r>
      <w:r w:rsidRPr="00E20F8E">
        <w:rPr>
          <w:rStyle w:val="StyleUnderline"/>
          <w:bCs/>
          <w:highlight w:val="yellow"/>
        </w:rPr>
        <w:lastRenderedPageBreak/>
        <w:t>mutual sharing-and participation</w:t>
      </w:r>
      <w:r w:rsidRPr="00E20F8E">
        <w:rPr>
          <w:rStyle w:val="StyleUnderline"/>
          <w:bCs/>
        </w:rPr>
        <w:t xml:space="preserve"> in </w:t>
      </w:r>
      <w:r w:rsidRPr="00E20F8E">
        <w:rPr>
          <w:rStyle w:val="StyleUnderline"/>
          <w:bCs/>
          <w:highlight w:val="yellow"/>
        </w:rPr>
        <w:t>such a culture teaches</w:t>
      </w:r>
      <w:r w:rsidRPr="00E20F8E">
        <w:rPr>
          <w:rStyle w:val="StyleUnderline"/>
          <w:bCs/>
        </w:rPr>
        <w:t xml:space="preserve"> individuals </w:t>
      </w:r>
      <w:r w:rsidRPr="00E20F8E">
        <w:rPr>
          <w:rStyle w:val="StyleUnderline"/>
          <w:bCs/>
          <w:highlight w:val="yellow"/>
        </w:rPr>
        <w:t>how to be virtuous.</w:t>
      </w:r>
      <w:r w:rsidRPr="00E20F8E">
        <w:rPr>
          <w:sz w:val="16"/>
        </w:rPr>
        <w:t xml:space="preserve"> 174 To summarize, then, </w:t>
      </w:r>
      <w:r w:rsidRPr="00E20F8E">
        <w:rPr>
          <w:rStyle w:val="StyleUnderline"/>
          <w:bCs/>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bCs/>
          <w:highlight w:val="yellow"/>
        </w:rPr>
        <w:t>placing material into the commons becomes an ethical act. It</w:t>
      </w:r>
      <w:r w:rsidRPr="00E20F8E">
        <w:rPr>
          <w:rStyle w:val="StyleUnderline"/>
          <w:bCs/>
        </w:rPr>
        <w:t xml:space="preserve"> also helps </w:t>
      </w:r>
      <w:r w:rsidRPr="00E20F8E">
        <w:rPr>
          <w:rStyle w:val="StyleUnderline"/>
          <w:bCs/>
          <w:highlight w:val="yellow"/>
        </w:rPr>
        <w:t>create bonds of respect, honor, and enthusiasm</w:t>
      </w:r>
      <w:r w:rsidRPr="00E20F8E">
        <w:rPr>
          <w:rStyle w:val="StyleUnderline"/>
          <w:bCs/>
        </w:rPr>
        <w:t xml:space="preserve"> between authors and grateful audiences-as well as </w:t>
      </w:r>
      <w:r w:rsidRPr="007343EA">
        <w:rPr>
          <w:rStyle w:val="StyleUnderline"/>
          <w:bCs/>
          <w:highlight w:val="yellow"/>
        </w:rPr>
        <w:t>fueling future repetitions of this exchange as audiences become authors themselves</w:t>
      </w:r>
      <w:r w:rsidRPr="00E20F8E">
        <w:rPr>
          <w:rStyle w:val="StyleUnderline"/>
          <w:bCs/>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04C79858" w14:textId="77777777" w:rsidR="00733F33" w:rsidRPr="00E20F8E" w:rsidRDefault="00733F33" w:rsidP="00733F33">
      <w:pPr>
        <w:rPr>
          <w:rStyle w:val="Style13ptBold"/>
          <w:rFonts w:eastAsiaTheme="majorEastAsia"/>
        </w:rPr>
      </w:pPr>
    </w:p>
    <w:p w14:paraId="782C2B1B" w14:textId="77777777" w:rsidR="00733F33" w:rsidRPr="00E20F8E" w:rsidRDefault="00733F33" w:rsidP="00733F33">
      <w:pPr>
        <w:pStyle w:val="Heading4"/>
        <w:rPr>
          <w:rFonts w:cs="Calibri"/>
        </w:rPr>
      </w:pPr>
      <w:r w:rsidRPr="00E20F8E">
        <w:rPr>
          <w:rFonts w:cs="Calibri"/>
        </w:rPr>
        <w:t>[3] Communitarian open-source platforms for developing biotechnology cultivate charity-based virtues and intellectual virtues aimed at healing the world of ailments</w:t>
      </w:r>
    </w:p>
    <w:p w14:paraId="517E920D" w14:textId="77777777" w:rsidR="00733F33" w:rsidRPr="00E20F8E" w:rsidRDefault="00733F33" w:rsidP="00733F33">
      <w:pPr>
        <w:rPr>
          <w:szCs w:val="22"/>
        </w:rPr>
      </w:pPr>
      <w:r w:rsidRPr="00E20F8E">
        <w:rPr>
          <w:rStyle w:val="Style13ptBold"/>
          <w:rFonts w:eastAsiaTheme="majorEastAsia"/>
        </w:rPr>
        <w:t>Opderbeck 07</w:t>
      </w:r>
      <w:r w:rsidRPr="00E20F8E">
        <w:rPr>
          <w:szCs w:val="22"/>
        </w:rPr>
        <w:t xml:space="preserve">, David W. Opderbeck, Maine Law Review Vol. 59 No.2 (2007) “A Virtue-Centered Approach to the Biotechnology Commons (Or, The Virtuous Penguin)” [https://digitalcommons.mainelaw.maine.edu/mlr/vol59/iss2/5/] Accessed 8/11/21 </w:t>
      </w:r>
      <w:r>
        <w:rPr>
          <w:szCs w:val="22"/>
        </w:rPr>
        <w:t>NPR</w:t>
      </w:r>
    </w:p>
    <w:p w14:paraId="7FB5D2F6" w14:textId="77777777" w:rsidR="00733F33" w:rsidRPr="00E20F8E" w:rsidRDefault="00733F33" w:rsidP="00733F33">
      <w:pPr>
        <w:rPr>
          <w:sz w:val="10"/>
        </w:rPr>
      </w:pPr>
      <w:r w:rsidRPr="00E20F8E">
        <w:rPr>
          <w:sz w:val="10"/>
        </w:rPr>
        <w:t xml:space="preserve">The virtue ethics notions of community and practices seem to map well onto the open source space. As Yochai Benkler has noted, open source communities require a system of "social-psychological" rewards in order to flourish. 75 Such rewards can include the sort of "internal goods" found in Maclntyrian "practices." 76 For example, a coder working on an open source software project might participate, at least in part, for the joy and satisfaction inherent in creating an elegant solution to a technical problem. 77 In addition, mature open source projects do not proceed aimlessly, but include standards of excellence established by the community and usually canonized by an influential individual or small group of individuals. 78 Finally, a pillar of open source production is the systematic extension of the project through the continuous feedback provided by numerous distributed workers. 79 A tension might arise, however, between Maclntyre's emphasis on a community's authoritative text or voice and the notion of open source production as an enterprise comprised of essentially self-actualizing individuals. In fact, Yochai Benkler and Helen Nissenbaum emphasize the virtue of "autonomy" as a core aspect of a virtue ethics approach to commons-based peer production. 80 Benkler in particular emphasizes the ways in which open source peer production contributes to justice by allowing space for individual autonomy.81 But open source communities should not be conceived of as fractiously individualistic. A successful, long term open source community requires an authoritative voice or voices that regulate exchange, lend status to social-psychological rewards, and canonize valuable contributions to the project. 82 Open source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r w:rsidRPr="00E20F8E">
        <w:rPr>
          <w:rStyle w:val="StyleUnderline"/>
          <w:bCs/>
          <w:highlight w:val="yellow"/>
        </w:rPr>
        <w:t>open source communities</w:t>
      </w:r>
      <w:r w:rsidRPr="00E20F8E">
        <w:rPr>
          <w:sz w:val="10"/>
          <w:highlight w:val="yellow"/>
        </w:rPr>
        <w:t xml:space="preserve"> </w:t>
      </w:r>
      <w:r w:rsidRPr="00E20F8E">
        <w:rPr>
          <w:sz w:val="10"/>
        </w:rPr>
        <w:t xml:space="preserve">are conceived in Maclntyrian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Benkler and Nissenbaum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Benkler and Nissenbaum propose "independence from the wide-ranging commercial entities influencing our actions and choices as well as from the typical array of institutional entities, whether employers, banks, agents of government, or whoever." 87 In his important book The Wealth of Networks, Benkler stresses autonomy as a fundamental value promoted by open source production, but not from a virtue ethics framework. 88 In The Wealth of Networks, Benkler seems to approach the question of autonomy from a Kantian perspective. 89 "Autonomy" seems better suited to the Kantian perspective Benkler takes in The Wealth of Networks than to the virtue ethics approach he takes with Nissenbaum.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open source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Benkler and Nissenbaum's focus on "creativity, productivity, [and] industry" seems closer to the heart of virtue ethics. 91 They helpfully note that creativity, productivity, and industry can be considered part ofa Maclntyrian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Benkler and Nissenbaum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open source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Benkler and Nissenbaum note, however, the literature concerning open source culture is ambiguous concerning whether participants offer their time, resources, and talents for altruistic reasons or as part of an essentially self-interested medium of exchange. 96 Finally, Benkler and Nissenbaum focus on the virtues of "sociability, camaraderie, friendship, cooperation[, and] civic virtue." 97 It is here that their link between virtue ethics and peer production is perhaps most salient. This cluster of virtues involves providing resources to a community engaged in a common project with a common goal. The concept is similar, Benkler and Nissenbaum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open source project </w:t>
      </w:r>
      <w:r w:rsidRPr="00E20F8E">
        <w:rPr>
          <w:rStyle w:val="StyleUnderline"/>
          <w:bCs/>
          <w:highlight w:val="yellow"/>
        </w:rPr>
        <w:t>provide small inputs of time, resources, and talent, which cumulate to a much larger good</w:t>
      </w:r>
      <w:r w:rsidRPr="00E20F8E">
        <w:rPr>
          <w:sz w:val="10"/>
        </w:rPr>
        <w:t>. B. Virtue and Biotechnology as an Environmental and Public Health Community If virtue ethics concepts can apply generally to open source production, can they apply to biotechnology, and specifically to open source biotechnology? Benkler and Nissenbaum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Open source production, Benkler and Nissenbaum suggest, structurally incorporates virtues that lead to greater human freedom. If we fail to encourage open source production, "[ w ]e might miss the chance to benefit from a distinctive sociotechnical system that promotes not only cultural and intellectual production but constitutes a venue for human character development." 101 In this vein, we can view biotechnology, like the communications networks with which Benkler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open source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anticommons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d'etre of biotechnology. </w:t>
      </w:r>
      <w:r w:rsidRPr="002244CC">
        <w:rPr>
          <w:rStyle w:val="StyleUnderline"/>
          <w:bCs/>
        </w:rPr>
        <w:t>Biotechnology</w:t>
      </w:r>
      <w:r w:rsidRPr="002244CC">
        <w:rPr>
          <w:sz w:val="10"/>
        </w:rPr>
        <w:t xml:space="preserve">, then, is more than a set of products; it </w:t>
      </w:r>
      <w:r w:rsidRPr="002244CC">
        <w:rPr>
          <w:rStyle w:val="StyleUnderline"/>
          <w:bCs/>
        </w:rPr>
        <w:t>is a Maclntyrian practice that seeks to improve human health and wellbeing</w:t>
      </w:r>
      <w:r w:rsidRPr="002244CC">
        <w:rPr>
          <w:sz w:val="10"/>
        </w:rPr>
        <w:t>. In his keynote address at BIO's 2005 annual convention, BIO President and CEO James Greenwood told the conferees, "[Y]ou serve every man, woman and child on earth. And even more impressively, you serve the uncountable billions</w:t>
      </w:r>
      <w:r w:rsidRPr="00E20F8E">
        <w:rPr>
          <w:sz w:val="10"/>
        </w:rPr>
        <w:t xml:space="preserve"> of humans who will inhabit this planet after we are gone." 107 Greenwood expressed the </w:t>
      </w:r>
      <w:r w:rsidRPr="00E20F8E">
        <w:rPr>
          <w:sz w:val="10"/>
        </w:rPr>
        <w:lastRenderedPageBreak/>
        <w:t xml:space="preserve">biotechnology community's vision, hyperbolically but no doubt sincerely, as follows: The convergence of systems biology, genomics, infomatics,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of[D]arwinian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weJls.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gonna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heath care and environmental issues. I will then offer some suggestions for how those perspectives could relate to biotechnology intellectual property policy.</w:t>
      </w:r>
    </w:p>
    <w:p w14:paraId="7D6B2A30" w14:textId="77777777" w:rsidR="00733F33" w:rsidRPr="00E20F8E" w:rsidRDefault="00733F33" w:rsidP="00733F33"/>
    <w:p w14:paraId="133E7956" w14:textId="77777777" w:rsidR="00733F33" w:rsidRPr="00E20F8E" w:rsidRDefault="00733F33" w:rsidP="00733F33">
      <w:pPr>
        <w:pStyle w:val="Heading4"/>
        <w:rPr>
          <w:rFonts w:cs="Calibri"/>
        </w:rPr>
      </w:pPr>
      <w:r w:rsidRPr="00E20F8E">
        <w:rPr>
          <w:rFonts w:cs="Calibri"/>
        </w:rPr>
        <w:t xml:space="preserve">[4] Property rights are incoherent. Everything material intrinsically has a form that’s universally accessible to all people. That means individuals can’t claim ownership to something everyone has access to. </w:t>
      </w:r>
    </w:p>
    <w:p w14:paraId="5EC1A27F" w14:textId="77777777" w:rsidR="00733F33" w:rsidRDefault="00733F33" w:rsidP="00733F33"/>
    <w:p w14:paraId="4583BC33" w14:textId="2788ACE0" w:rsidR="00733F33" w:rsidRDefault="00733F33" w:rsidP="00733F33">
      <w:pPr>
        <w:pStyle w:val="Heading2"/>
      </w:pPr>
      <w:r>
        <w:lastRenderedPageBreak/>
        <w:t>Adv</w:t>
      </w:r>
    </w:p>
    <w:p w14:paraId="69D7D71A" w14:textId="77777777" w:rsidR="00733F33" w:rsidRDefault="00733F33" w:rsidP="00733F33">
      <w:pPr>
        <w:pStyle w:val="Heading4"/>
      </w:pPr>
      <w:r>
        <w:t>IP regimes are tied to rising b</w:t>
      </w:r>
      <w:r w:rsidRPr="004D2A6C">
        <w:t>iodiversity loss</w:t>
      </w:r>
      <w:r>
        <w:t xml:space="preserve">. </w:t>
      </w:r>
    </w:p>
    <w:p w14:paraId="1863F3D6" w14:textId="77777777" w:rsidR="00733F33" w:rsidRDefault="00733F33" w:rsidP="00733F33">
      <w:r w:rsidRPr="00D64225">
        <w:rPr>
          <w:b/>
          <w:bCs/>
          <w:sz w:val="26"/>
          <w:szCs w:val="26"/>
        </w:rPr>
        <w:t xml:space="preserve">PAMUN 14 </w:t>
      </w:r>
      <w:r>
        <w:rPr>
          <w:b/>
          <w:bCs/>
          <w:sz w:val="26"/>
          <w:szCs w:val="26"/>
        </w:rPr>
        <w:t>–</w:t>
      </w:r>
      <w:r w:rsidRPr="00D64225">
        <w:rPr>
          <w:b/>
          <w:bCs/>
          <w:sz w:val="26"/>
          <w:szCs w:val="26"/>
        </w:rPr>
        <w:t xml:space="preserve"> </w:t>
      </w:r>
      <w:r>
        <w:t>“PAMUN Xviii Research Report— Question Of Intellectual Property And Biodiversity” [</w:t>
      </w:r>
      <w:r w:rsidRPr="00581D62">
        <w:t>http://asp-edu.net/pamun/pamun2013/wp-content/uploads/2014/04/OK_EDITED_-UNCTAD-biodiversity-and-IP-1.pdf</w:t>
      </w:r>
      <w:r>
        <w:t>] // ahs emi</w:t>
      </w:r>
    </w:p>
    <w:p w14:paraId="4D8E2817" w14:textId="77777777" w:rsidR="00733F33" w:rsidRPr="002F4C97" w:rsidRDefault="00733F33" w:rsidP="00733F33">
      <w:pPr>
        <w:rPr>
          <w:sz w:val="8"/>
        </w:rPr>
      </w:pPr>
      <w:r w:rsidRPr="002F4C97">
        <w:rPr>
          <w:sz w:val="8"/>
        </w:rPr>
        <w:t xml:space="preserve">During the last few years, </w:t>
      </w:r>
      <w:r w:rsidRPr="004D2A6C">
        <w:rPr>
          <w:rStyle w:val="StyleUnderline"/>
          <w:b/>
          <w:bCs/>
          <w:highlight w:val="yellow"/>
        </w:rPr>
        <w:t>biodiversity has been lost at an unprecedented rate</w:t>
      </w:r>
      <w:r w:rsidRPr="002F4C97">
        <w:rPr>
          <w:rStyle w:val="StyleUnderline"/>
          <w:b/>
          <w:bCs/>
        </w:rPr>
        <w:t xml:space="preserve"> throughout the world </w:t>
      </w:r>
      <w:r w:rsidRPr="004D2A6C">
        <w:rPr>
          <w:rStyle w:val="StyleUnderline"/>
          <w:b/>
          <w:bCs/>
          <w:highlight w:val="yellow"/>
        </w:rPr>
        <w:t>in every ecosystem.</w:t>
      </w:r>
      <w:r w:rsidRPr="002F4C97">
        <w:rPr>
          <w:rStyle w:val="StyleUnderline"/>
          <w:b/>
          <w:bCs/>
        </w:rPr>
        <w:t xml:space="preserve"> According to the FAO, about </w:t>
      </w:r>
      <w:r w:rsidRPr="004D2A6C">
        <w:rPr>
          <w:rStyle w:val="StyleUnderline"/>
          <w:b/>
          <w:bCs/>
          <w:highlight w:val="yellow"/>
        </w:rPr>
        <w:t>75% of</w:t>
      </w:r>
      <w:r w:rsidRPr="002F4C97">
        <w:rPr>
          <w:rStyle w:val="StyleUnderline"/>
          <w:b/>
          <w:bCs/>
        </w:rPr>
        <w:t xml:space="preserve"> the </w:t>
      </w:r>
      <w:r w:rsidRPr="004D2A6C">
        <w:rPr>
          <w:rStyle w:val="StyleUnderline"/>
          <w:b/>
          <w:bCs/>
          <w:highlight w:val="yellow"/>
        </w:rPr>
        <w:t>genetic diversity</w:t>
      </w:r>
      <w:r w:rsidRPr="002F4C97">
        <w:rPr>
          <w:rStyle w:val="StyleUnderline"/>
          <w:b/>
          <w:bCs/>
        </w:rPr>
        <w:t xml:space="preserve"> found in agricultural crops </w:t>
      </w:r>
      <w:r w:rsidRPr="004D2A6C">
        <w:rPr>
          <w:rStyle w:val="StyleUnderline"/>
          <w:b/>
          <w:bCs/>
          <w:highlight w:val="yellow"/>
        </w:rPr>
        <w:t>has been lost</w:t>
      </w:r>
      <w:r w:rsidRPr="002F4C97">
        <w:rPr>
          <w:rStyle w:val="StyleUnderline"/>
          <w:b/>
          <w:bCs/>
        </w:rPr>
        <w:t xml:space="preserve"> over the last century,</w:t>
      </w:r>
      <w:r w:rsidRPr="002F4C97">
        <w:rPr>
          <w:sz w:val="8"/>
        </w:rPr>
        <w:t xml:space="preserve"> and this phenomenon continues. It is imperative that we conserve agricultural biodiversity: </w:t>
      </w:r>
      <w:r w:rsidRPr="004D2A6C">
        <w:rPr>
          <w:rStyle w:val="StyleUnderline"/>
          <w:b/>
          <w:bCs/>
          <w:highlight w:val="yellow"/>
        </w:rPr>
        <w:t>higher biodiversity</w:t>
      </w:r>
      <w:r w:rsidRPr="002F4C97">
        <w:rPr>
          <w:rStyle w:val="StyleUnderline"/>
          <w:b/>
          <w:bCs/>
        </w:rPr>
        <w:t xml:space="preserve"> of agricultural crops helps </w:t>
      </w:r>
      <w:r w:rsidRPr="004D2A6C">
        <w:rPr>
          <w:rStyle w:val="StyleUnderline"/>
          <w:b/>
          <w:bCs/>
          <w:highlight w:val="yellow"/>
        </w:rPr>
        <w:t>increase yield stability</w:t>
      </w:r>
      <w:r w:rsidRPr="002F4C97">
        <w:rPr>
          <w:rStyle w:val="StyleUnderline"/>
          <w:b/>
          <w:bCs/>
        </w:rPr>
        <w:t xml:space="preserve"> and </w:t>
      </w:r>
      <w:r w:rsidRPr="004D2A6C">
        <w:rPr>
          <w:rStyle w:val="StyleUnderline"/>
          <w:b/>
          <w:bCs/>
          <w:highlight w:val="yellow"/>
        </w:rPr>
        <w:t>soil fertility</w:t>
      </w:r>
      <w:r w:rsidRPr="002F4C97">
        <w:rPr>
          <w:rStyle w:val="StyleUnderline"/>
          <w:b/>
          <w:bCs/>
        </w:rPr>
        <w:t xml:space="preserve"> and </w:t>
      </w:r>
      <w:r w:rsidRPr="004D2A6C">
        <w:rPr>
          <w:rStyle w:val="StyleUnderline"/>
          <w:b/>
          <w:bCs/>
          <w:highlight w:val="yellow"/>
        </w:rPr>
        <w:t>gives species the ability to adapt</w:t>
      </w:r>
      <w:r w:rsidRPr="002F4C97">
        <w:rPr>
          <w:rStyle w:val="StyleUnderline"/>
          <w:b/>
          <w:bCs/>
        </w:rPr>
        <w:t xml:space="preserve"> to changing conditions.</w:t>
      </w:r>
      <w:r w:rsidRPr="002F4C97">
        <w:rPr>
          <w:sz w:val="8"/>
        </w:rPr>
        <w:t xml:space="preserve"> High agricultural biodiversity </w:t>
      </w:r>
      <w:r w:rsidRPr="004D2A6C">
        <w:rPr>
          <w:rStyle w:val="StyleUnderline"/>
          <w:b/>
          <w:bCs/>
          <w:highlight w:val="yellow"/>
        </w:rPr>
        <w:t>also</w:t>
      </w:r>
      <w:r w:rsidRPr="002F4C97">
        <w:rPr>
          <w:rStyle w:val="StyleUnderline"/>
          <w:b/>
          <w:bCs/>
        </w:rPr>
        <w:t xml:space="preserve"> helps </w:t>
      </w:r>
      <w:r w:rsidRPr="004D2A6C">
        <w:rPr>
          <w:rStyle w:val="StyleUnderline"/>
          <w:b/>
          <w:bCs/>
          <w:highlight w:val="yellow"/>
        </w:rPr>
        <w:t>protect</w:t>
      </w:r>
      <w:r w:rsidRPr="002F4C97">
        <w:rPr>
          <w:rStyle w:val="StyleUnderline"/>
          <w:b/>
          <w:bCs/>
        </w:rPr>
        <w:t xml:space="preserve"> our </w:t>
      </w:r>
      <w:r w:rsidRPr="004D2A6C">
        <w:rPr>
          <w:rStyle w:val="StyleUnderline"/>
          <w:b/>
          <w:bCs/>
          <w:highlight w:val="yellow"/>
        </w:rPr>
        <w:t>health by ensuring sustainable production</w:t>
      </w:r>
      <w:r w:rsidRPr="002F4C97">
        <w:rPr>
          <w:rStyle w:val="StyleUnderline"/>
          <w:b/>
          <w:bCs/>
        </w:rPr>
        <w:t xml:space="preserve"> in medicinal plant use systems.</w:t>
      </w:r>
      <w:r w:rsidRPr="002F4C97">
        <w:rPr>
          <w:sz w:val="8"/>
        </w:rPr>
        <w:t xml:space="preserve"> Agricultural </w:t>
      </w:r>
      <w:r w:rsidRPr="002F4C97">
        <w:rPr>
          <w:rStyle w:val="StyleUnderline"/>
          <w:b/>
          <w:bCs/>
        </w:rPr>
        <w:t xml:space="preserve">biodiversity loss and the present IPR legislation are inextricably tied. </w:t>
      </w:r>
      <w:r w:rsidRPr="004D2A6C">
        <w:rPr>
          <w:rStyle w:val="StyleUnderline"/>
          <w:b/>
          <w:bCs/>
          <w:highlight w:val="yellow"/>
        </w:rPr>
        <w:t>IPRs</w:t>
      </w:r>
      <w:r w:rsidRPr="002F4C97">
        <w:rPr>
          <w:rStyle w:val="StyleUnderline"/>
          <w:b/>
          <w:bCs/>
        </w:rPr>
        <w:t xml:space="preserve"> continue to </w:t>
      </w:r>
      <w:r w:rsidRPr="004D2A6C">
        <w:rPr>
          <w:rStyle w:val="StyleUnderline"/>
          <w:b/>
          <w:bCs/>
          <w:highlight w:val="yellow"/>
        </w:rPr>
        <w:t>homogenise agricultural production</w:t>
      </w:r>
      <w:r w:rsidRPr="002F4C97">
        <w:rPr>
          <w:rStyle w:val="StyleUnderline"/>
          <w:b/>
          <w:bCs/>
        </w:rPr>
        <w:t xml:space="preserve"> and medicinal plant use systems </w:t>
      </w:r>
      <w:r w:rsidRPr="004D2A6C">
        <w:rPr>
          <w:rStyle w:val="StyleUnderline"/>
          <w:b/>
          <w:bCs/>
          <w:highlight w:val="yellow"/>
        </w:rPr>
        <w:t>and</w:t>
      </w:r>
      <w:r w:rsidRPr="002F4C97">
        <w:rPr>
          <w:rStyle w:val="StyleUnderline"/>
          <w:b/>
          <w:bCs/>
        </w:rPr>
        <w:t xml:space="preserve"> could </w:t>
      </w:r>
      <w:r w:rsidRPr="004D2A6C">
        <w:rPr>
          <w:rStyle w:val="StyleUnderline"/>
          <w:b/>
          <w:bCs/>
          <w:highlight w:val="yellow"/>
        </w:rPr>
        <w:t>reduce crop variety</w:t>
      </w:r>
      <w:r w:rsidRPr="002F4C97">
        <w:rPr>
          <w:rStyle w:val="StyleUnderline"/>
          <w:b/>
          <w:bCs/>
        </w:rPr>
        <w:t xml:space="preserve"> development. </w:t>
      </w:r>
      <w:r w:rsidRPr="002F4C97">
        <w:rPr>
          <w:sz w:val="8"/>
        </w:rPr>
        <w:t xml:space="preserve">Our health and our environment is negatively affected, and it is of utmost importance to conserve our agricultural biodiversity. Evolution of IPRs on biological resources As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as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The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b/>
          <w:bCs/>
        </w:rPr>
        <w:t xml:space="preserve">The </w:t>
      </w:r>
      <w:r w:rsidRPr="004D2A6C">
        <w:rPr>
          <w:rStyle w:val="StyleUnderline"/>
          <w:b/>
          <w:bCs/>
          <w:highlight w:val="yellow"/>
        </w:rPr>
        <w:t>privatization of IPRs</w:t>
      </w:r>
      <w:r w:rsidRPr="002F4C97">
        <w:rPr>
          <w:rStyle w:val="StyleUnderline"/>
          <w:b/>
          <w:bCs/>
        </w:rPr>
        <w:t xml:space="preserve"> as a result of the TRIPS agreement has </w:t>
      </w:r>
      <w:r w:rsidRPr="004D2A6C">
        <w:rPr>
          <w:rStyle w:val="StyleUnderline"/>
          <w:b/>
          <w:bCs/>
          <w:highlight w:val="yellow"/>
        </w:rPr>
        <w:t>caused commercial</w:t>
      </w:r>
      <w:r w:rsidRPr="002F4C97">
        <w:rPr>
          <w:rStyle w:val="StyleUnderline"/>
          <w:b/>
          <w:bCs/>
        </w:rPr>
        <w:t xml:space="preserve"> and industrial </w:t>
      </w:r>
      <w:r w:rsidRPr="004D2A6C">
        <w:rPr>
          <w:rStyle w:val="StyleUnderline"/>
          <w:b/>
          <w:bCs/>
          <w:highlight w:val="yellow"/>
        </w:rPr>
        <w:t>interests to control</w:t>
      </w:r>
      <w:r w:rsidRPr="002F4C97">
        <w:rPr>
          <w:rStyle w:val="StyleUnderline"/>
          <w:b/>
          <w:bCs/>
        </w:rPr>
        <w:t xml:space="preserve"> the resources of </w:t>
      </w:r>
      <w:r w:rsidRPr="004D2A6C">
        <w:rPr>
          <w:rStyle w:val="StyleUnderline"/>
          <w:b/>
          <w:bCs/>
          <w:highlight w:val="yellow"/>
        </w:rPr>
        <w:t>developing countries that are rich in biodiversity, leading to biological uniformity</w:t>
      </w:r>
      <w:r w:rsidRPr="002F4C97">
        <w:rPr>
          <w:rStyle w:val="StyleUnderline"/>
          <w:b/>
          <w:bCs/>
        </w:rPr>
        <w:t xml:space="preserve"> and in turn biodiversity loss </w:t>
      </w:r>
      <w:r w:rsidRPr="002F4C97">
        <w:rPr>
          <w:sz w:val="8"/>
        </w:rPr>
        <w:t xml:space="preserve">(explained below). Besides, </w:t>
      </w:r>
      <w:r w:rsidRPr="002F4C97">
        <w:rPr>
          <w:rStyle w:val="StyleUnderline"/>
          <w:b/>
          <w:bCs/>
        </w:rPr>
        <w:t>these private commercial interests are encroaching upon common indigenous and local community knowledge</w:t>
      </w:r>
      <w:r w:rsidRPr="002F4C97">
        <w:rPr>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4D2A6C">
        <w:rPr>
          <w:rStyle w:val="StyleUnderline"/>
          <w:b/>
          <w:bCs/>
        </w:rPr>
        <w:t xml:space="preserve">Farmers will be faced with </w:t>
      </w:r>
      <w:r w:rsidRPr="004D2A6C">
        <w:rPr>
          <w:rStyle w:val="StyleUnderline"/>
          <w:b/>
          <w:bCs/>
          <w:highlight w:val="yellow"/>
        </w:rPr>
        <w:t>production restrictions</w:t>
      </w:r>
      <w:r w:rsidRPr="002F4C97">
        <w:rPr>
          <w:rStyle w:val="StyleUnderline"/>
          <w:b/>
          <w:bCs/>
        </w:rPr>
        <w:t xml:space="preserve">, while scientists will be faced with research restrictions. </w:t>
      </w:r>
      <w:r w:rsidRPr="002F4C97">
        <w:rPr>
          <w:sz w:val="8"/>
        </w:rPr>
        <w:t xml:space="preserve">All in all, the present IPR </w:t>
      </w:r>
      <w:r w:rsidRPr="004D2A6C">
        <w:rPr>
          <w:sz w:val="8"/>
        </w:rPr>
        <w:t xml:space="preserve">legislation not only </w:t>
      </w:r>
      <w:r w:rsidRPr="002244CC">
        <w:rPr>
          <w:rStyle w:val="StyleUnderline"/>
          <w:b/>
          <w:bCs/>
          <w:highlight w:val="yellow"/>
        </w:rPr>
        <w:t xml:space="preserve">discourages the growth of new </w:t>
      </w:r>
      <w:r w:rsidRPr="002244CC">
        <w:rPr>
          <w:rStyle w:val="StyleUnderline"/>
          <w:b/>
          <w:bCs/>
        </w:rPr>
        <w:t>and</w:t>
      </w:r>
      <w:r w:rsidRPr="004D2A6C">
        <w:rPr>
          <w:rStyle w:val="StyleUnderline"/>
          <w:b/>
          <w:bCs/>
        </w:rPr>
        <w:t xml:space="preserve"> different </w:t>
      </w:r>
      <w:r w:rsidRPr="002244CC">
        <w:rPr>
          <w:rStyle w:val="StyleUnderline"/>
          <w:b/>
          <w:bCs/>
          <w:highlight w:val="yellow"/>
        </w:rPr>
        <w:t>plant varieties</w:t>
      </w:r>
      <w:r w:rsidRPr="002F4C97">
        <w:rPr>
          <w:rStyle w:val="StyleUnderline"/>
          <w:b/>
          <w:bCs/>
        </w:rPr>
        <w:t xml:space="preserve">, but it </w:t>
      </w:r>
      <w:r w:rsidRPr="004D2A6C">
        <w:rPr>
          <w:rStyle w:val="StyleUnderline"/>
          <w:b/>
          <w:bCs/>
        </w:rPr>
        <w:t xml:space="preserve">also </w:t>
      </w:r>
      <w:r w:rsidRPr="004D2A6C">
        <w:rPr>
          <w:rStyle w:val="StyleUnderline"/>
          <w:b/>
          <w:bCs/>
          <w:highlight w:val="yellow"/>
        </w:rPr>
        <w:t xml:space="preserve">restricts </w:t>
      </w:r>
      <w:r w:rsidRPr="004D2A6C">
        <w:rPr>
          <w:rStyle w:val="StyleUnderline"/>
          <w:b/>
          <w:bCs/>
        </w:rPr>
        <w:t xml:space="preserve">researchers from </w:t>
      </w:r>
      <w:r w:rsidRPr="004D2A6C">
        <w:rPr>
          <w:rStyle w:val="StyleUnderline"/>
          <w:b/>
          <w:bCs/>
          <w:highlight w:val="yellow"/>
        </w:rPr>
        <w:t>freely using</w:t>
      </w:r>
      <w:r w:rsidRPr="002F4C97">
        <w:rPr>
          <w:rStyle w:val="StyleUnderline"/>
          <w:b/>
          <w:bCs/>
        </w:rPr>
        <w:t xml:space="preserve"> the </w:t>
      </w:r>
      <w:r w:rsidRPr="004D2A6C">
        <w:rPr>
          <w:rStyle w:val="StyleUnderline"/>
          <w:b/>
          <w:bCs/>
          <w:highlight w:val="yellow"/>
        </w:rPr>
        <w:t xml:space="preserve">genetic information for research into diseases </w:t>
      </w:r>
      <w:r w:rsidRPr="002244CC">
        <w:rPr>
          <w:rStyle w:val="StyleUnderline"/>
          <w:b/>
          <w:bCs/>
        </w:rPr>
        <w:t>or for making new and more effective plant varieties.</w:t>
      </w:r>
      <w:r w:rsidRPr="002244CC">
        <w:rPr>
          <w:sz w:val="8"/>
        </w:rPr>
        <w:t xml:space="preserve"> Hence, </w:t>
      </w:r>
      <w:r w:rsidRPr="002244CC">
        <w:rPr>
          <w:rStyle w:val="StyleUnderline"/>
          <w:b/>
          <w:bCs/>
        </w:rPr>
        <w:t>this</w:t>
      </w:r>
      <w:r w:rsidRPr="002244CC">
        <w:rPr>
          <w:sz w:val="8"/>
        </w:rPr>
        <w:t xml:space="preserve"> reduces the availability of biodiversity and </w:t>
      </w:r>
      <w:r w:rsidRPr="002244CC">
        <w:rPr>
          <w:rStyle w:val="StyleUnderline"/>
          <w:b/>
          <w:bCs/>
        </w:rPr>
        <w:t>leads to the homogenizati</w:t>
      </w:r>
      <w:r w:rsidRPr="00D64225">
        <w:rPr>
          <w:rStyle w:val="StyleUnderline"/>
          <w:b/>
          <w:bCs/>
        </w:rPr>
        <w:t>on of agricultural production and plant use systems.</w:t>
      </w:r>
      <w:r w:rsidRPr="00D64225">
        <w:rPr>
          <w:sz w:val="8"/>
        </w:rPr>
        <w:t xml:space="preserve">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w:t>
      </w:r>
      <w:r w:rsidRPr="00D64225">
        <w:rPr>
          <w:rStyle w:val="StyleUnderline"/>
          <w:b/>
          <w:bCs/>
        </w:rPr>
        <w:t xml:space="preserve">These </w:t>
      </w:r>
      <w:r w:rsidRPr="002244CC">
        <w:rPr>
          <w:rStyle w:val="StyleUnderline"/>
          <w:b/>
          <w:bCs/>
          <w:highlight w:val="yellow"/>
        </w:rPr>
        <w:t>farmers are also not allowed to save, reuse, or even study the seeds</w:t>
      </w:r>
      <w:r w:rsidRPr="00D64225">
        <w:rPr>
          <w:rStyle w:val="StyleUnderline"/>
          <w:b/>
          <w:bCs/>
        </w:rPr>
        <w:t xml:space="preserve"> due to biotech IPR laws, greatly hindering natural diversity.</w:t>
      </w:r>
    </w:p>
    <w:p w14:paraId="61A4E1E8" w14:textId="77777777" w:rsidR="00733F33" w:rsidRDefault="00733F33" w:rsidP="00733F33">
      <w:pPr>
        <w:pStyle w:val="Heading4"/>
        <w:rPr>
          <w:rFonts w:cs="Calibri"/>
        </w:rPr>
      </w:pPr>
      <w:r>
        <w:rPr>
          <w:rFonts w:cs="Calibri"/>
        </w:rPr>
        <w:t xml:space="preserve">This causes </w:t>
      </w:r>
      <w:r w:rsidRPr="004635ED">
        <w:rPr>
          <w:rFonts w:cs="Calibri"/>
        </w:rPr>
        <w:t>Extinction.</w:t>
      </w:r>
    </w:p>
    <w:p w14:paraId="0D7B5C2C" w14:textId="77777777" w:rsidR="00733F33" w:rsidRPr="004635ED" w:rsidRDefault="00733F33" w:rsidP="00733F33">
      <w:pPr>
        <w:rPr>
          <w:sz w:val="16"/>
        </w:rPr>
      </w:pPr>
      <w:r w:rsidRPr="004635ED">
        <w:rPr>
          <w:rStyle w:val="Style13ptBold"/>
        </w:rPr>
        <w:t>Schelske 20</w:t>
      </w:r>
      <w:r w:rsidRPr="004635ED">
        <w:t xml:space="preserve"> </w:t>
      </w:r>
      <w:r w:rsidRPr="004635ED">
        <w:rPr>
          <w:sz w:val="16"/>
        </w:rPr>
        <w:t>Why managing biodiversity risk is critical for the global economy By </w:t>
      </w:r>
      <w:hyperlink r:id="rId5" w:tooltip="Read more about: Oliver Schelske" w:history="1">
        <w:r w:rsidRPr="004635ED">
          <w:rPr>
            <w:rStyle w:val="Hyperlink"/>
            <w:sz w:val="16"/>
          </w:rPr>
          <w:t>Oliver Schelske</w:t>
        </w:r>
      </w:hyperlink>
      <w:r w:rsidRPr="004635ED">
        <w:rPr>
          <w:sz w:val="16"/>
        </w:rPr>
        <w:t>, Natural Assets &amp; ESG Research Lead, Swiss Re Institute &amp; </w:t>
      </w:r>
      <w:hyperlink r:id="rId6"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7"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508BC41F" w14:textId="77777777" w:rsidR="00733F33" w:rsidRPr="007136AE" w:rsidRDefault="00733F33" w:rsidP="00733F33">
      <w:pPr>
        <w:rPr>
          <w:sz w:val="10"/>
        </w:rPr>
      </w:pPr>
      <w:r w:rsidRPr="000722F2">
        <w:rPr>
          <w:rStyle w:val="StyleUnderline"/>
        </w:rPr>
        <w:t xml:space="preserve">Biodiversity and ecosystem services underpin our daily lives and many of our products and services. From the water we drink to the food we grow and the resources we use in manufacturing, we would be </w:t>
      </w:r>
      <w:r w:rsidRPr="000722F2">
        <w:rPr>
          <w:rStyle w:val="StyleUnderline"/>
        </w:rPr>
        <w:lastRenderedPageBreak/>
        <w:t>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8"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damage, and making informed decisions that prioritise a more sustainable future. This is why the Swiss Re Institute has created the </w:t>
      </w:r>
      <w:hyperlink r:id="rId9"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kilometre-by-kilometre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realise the impact of climate change and other environmental decline on risk profiles. </w:t>
      </w:r>
      <w:r w:rsidRPr="004635ED">
        <w:rPr>
          <w:rStyle w:val="StyleUnderline"/>
        </w:rPr>
        <w:t>And it has become apparent that the risks are both physical – for example, the increasing size and amount of pay-outs following hurricanes and tropical storms – as well as reputational.</w:t>
      </w:r>
      <w:r w:rsidRPr="007136AE">
        <w:rPr>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Schelske,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pollination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and also has cultural, religious, educational and aesthetic importance.”</w:t>
      </w:r>
      <w:r w:rsidRPr="007136AE">
        <w:rPr>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square-kilometre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particularly poignant in the midst of the</w:t>
      </w:r>
      <w:r w:rsidRPr="004635ED">
        <w:rPr>
          <w:rStyle w:val="StyleUnderline"/>
        </w:rPr>
        <w:t xml:space="preserve"> COVID-19 </w:t>
      </w:r>
      <w:r w:rsidRPr="004635ED">
        <w:rPr>
          <w:rStyle w:val="StyleUnderline"/>
          <w:highlight w:val="yellow"/>
        </w:rPr>
        <w:t>pandemic</w:t>
      </w:r>
      <w:r w:rsidRPr="007136AE">
        <w:rPr>
          <w:sz w:val="10"/>
        </w:rPr>
        <w:t xml:space="preserve">. In fact, coronavirus could be a sentinel. All over the world, humans and animals are coming into closer contact than ever before. One of the largest potential reservoirs of future zoonotic diseases is in the rainforests of our world. And with deforestation we are making swift inroads into habitats. New roads are bringing greater connectivity to areas previously cut off. In the past, if a new disease was encountered somewhere remote it might have been days before an infected person reached the next tribe. </w:t>
      </w:r>
      <w:r w:rsidRPr="004635ED">
        <w:rPr>
          <w:rStyle w:val="StyleUnderline"/>
          <w:highlight w:val="yellow"/>
        </w:rPr>
        <w:t>Human expansion into wildlife</w:t>
      </w:r>
      <w:r w:rsidRPr="004635ED">
        <w:rPr>
          <w:rStyle w:val="StyleUnderline"/>
        </w:rPr>
        <w:t xml:space="preserve"> areas, </w:t>
      </w:r>
      <w:r w:rsidRPr="004635ED">
        <w:rPr>
          <w:rStyle w:val="StyleUnderline"/>
          <w:highlight w:val="yellow"/>
        </w:rPr>
        <w:t>soaring globalisation and urbanisation, and risky nutrition</w:t>
      </w:r>
      <w:r w:rsidRPr="004635ED">
        <w:rPr>
          <w:rStyle w:val="StyleUnderline"/>
        </w:rPr>
        <w:t xml:space="preserve"> patterns altogether </w:t>
      </w:r>
      <w:r w:rsidRPr="004635ED">
        <w:rPr>
          <w:rStyle w:val="StyleUnderline"/>
          <w:highlight w:val="yellow"/>
        </w:rPr>
        <w:t>have led to high-speed routes for future pandemics</w:t>
      </w:r>
      <w:r w:rsidRPr="004635ED">
        <w:rPr>
          <w:rStyle w:val="StyleUnderline"/>
        </w:rPr>
        <w:t xml:space="preserve"> directly into our major cities. Conversely, </w:t>
      </w:r>
      <w:r w:rsidRPr="004635ED">
        <w:rPr>
          <w:rStyle w:val="StyleUnderline"/>
          <w:highlight w:val="yellow"/>
        </w:rPr>
        <w:t xml:space="preserve">making smart use of nature </w:t>
      </w:r>
      <w:r w:rsidRPr="002244CC">
        <w:rPr>
          <w:rStyle w:val="StyleUnderline"/>
        </w:rPr>
        <w:t xml:space="preserve">could help </w:t>
      </w:r>
      <w:r w:rsidRPr="004635ED">
        <w:rPr>
          <w:rStyle w:val="StyleUnderline"/>
          <w:highlight w:val="yellow"/>
        </w:rPr>
        <w:t>increase our resilience</w:t>
      </w:r>
      <w:r w:rsidRPr="004635ED">
        <w:rPr>
          <w:rStyle w:val="StyleUnderline"/>
        </w:rPr>
        <w:t xml:space="preserve"> during future epidemic or pandemics.</w:t>
      </w:r>
      <w:r w:rsidRPr="007136AE">
        <w:rPr>
          <w:sz w:val="10"/>
        </w:rPr>
        <w:t xml:space="preserve"> Schelske notes, "</w:t>
      </w:r>
      <w:r w:rsidRPr="000722F2">
        <w:rPr>
          <w:rStyle w:val="StyleUnderline"/>
        </w:rPr>
        <w:t>Sustainable exploration of nature can help us detect new medicine for current or future diseases.</w:t>
      </w:r>
      <w:r w:rsidRPr="000722F2">
        <w:rPr>
          <w:sz w:val="10"/>
        </w:rPr>
        <w:t xml:space="preserve"> We have also seen that proximity and access to green areas in urban neighbourhoods has proven extremely important</w:t>
      </w:r>
      <w:r w:rsidRPr="00581D62">
        <w:rPr>
          <w:sz w:val="10"/>
        </w:rPr>
        <w:t xml:space="preserve"> for mental health during the current pandemic." Like nothing else, the COVID-19 pandemic has created a sense of urgency around maintaining the healthy balance between humans and nature. As we all become increasingly aware of environmental changes, we will have a better foundation of understanding the costs of disrupting this delicate balance and putting a price on this in the future. Acting on this information is key</w:t>
      </w:r>
      <w:r w:rsidRPr="007136AE">
        <w:rPr>
          <w:sz w:val="10"/>
        </w:rPr>
        <w:t xml:space="preserve"> to building a more sustainable and resilient future that benefits everyone.</w:t>
      </w:r>
    </w:p>
    <w:p w14:paraId="43D486FD" w14:textId="20C15FBE" w:rsidR="00C920A7" w:rsidRPr="00733F33" w:rsidRDefault="00C920A7" w:rsidP="00733F33"/>
    <w:sectPr w:rsidR="00C920A7" w:rsidRPr="00733F33"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F33"/>
    <w:rsid w:val="0001390E"/>
    <w:rsid w:val="002D6C57"/>
    <w:rsid w:val="004F254A"/>
    <w:rsid w:val="006606E8"/>
    <w:rsid w:val="00733F33"/>
    <w:rsid w:val="007D34A4"/>
    <w:rsid w:val="00C33BD0"/>
    <w:rsid w:val="00C920A7"/>
    <w:rsid w:val="00CA1B61"/>
    <w:rsid w:val="00CC1BBB"/>
    <w:rsid w:val="00DD5231"/>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C357F"/>
  <w15:chartTrackingRefBased/>
  <w15:docId w15:val="{74CBC358-8582-4A4C-859C-3EC1AB6F2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3F33"/>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733F33"/>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733F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733F33"/>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733F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33F3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733F33"/>
    <w:rPr>
      <w:b w:val="0"/>
      <w:sz w:val="22"/>
      <w:u w:val="single"/>
    </w:rPr>
  </w:style>
  <w:style w:type="character" w:styleId="Emphasis">
    <w:name w:val="Emphasis"/>
    <w:basedOn w:val="DefaultParagraphFont"/>
    <w:uiPriority w:val="20"/>
    <w:qFormat/>
    <w:rsid w:val="00733F33"/>
    <w:rPr>
      <w:rFonts w:ascii="Calibri" w:hAnsi="Calibri" w:cs="Calibri"/>
      <w:b/>
      <w:i w:val="0"/>
      <w:iCs/>
      <w:sz w:val="22"/>
      <w:u w:val="single"/>
      <w:bdr w:val="none" w:sz="0" w:space="0" w:color="auto"/>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733F33"/>
    <w:rPr>
      <w:color w:val="auto"/>
      <w:u w:val="none"/>
    </w:rPr>
  </w:style>
  <w:style w:type="paragraph" w:customStyle="1" w:styleId="Normal1">
    <w:name w:val="Normal1"/>
    <w:rsid w:val="00733F33"/>
    <w:pPr>
      <w:spacing w:line="276" w:lineRule="auto"/>
    </w:pPr>
    <w:rPr>
      <w:rFonts w:ascii="Arial" w:eastAsia="Arial" w:hAnsi="Arial" w:cs="Arial"/>
      <w:color w:val="000000"/>
      <w:sz w:val="22"/>
      <w:szCs w:val="20"/>
    </w:rPr>
  </w:style>
  <w:style w:type="character" w:styleId="FollowedHyperlink">
    <w:name w:val="FollowedHyperlink"/>
    <w:basedOn w:val="DefaultParagraphFont"/>
    <w:uiPriority w:val="99"/>
    <w:semiHidden/>
    <w:unhideWhenUsed/>
    <w:rsid w:val="007D34A4"/>
    <w:rPr>
      <w:color w:val="954F72" w:themeColor="followedHyperlink"/>
      <w:u w:val="single"/>
    </w:rPr>
  </w:style>
  <w:style w:type="paragraph" w:customStyle="1" w:styleId="Analytic">
    <w:name w:val="Analytic"/>
    <w:basedOn w:val="Heading4"/>
    <w:link w:val="AnalyticChar"/>
    <w:qFormat/>
    <w:rsid w:val="004F254A"/>
    <w:rPr>
      <w:color w:val="000000" w:themeColor="text1"/>
    </w:rPr>
  </w:style>
  <w:style w:type="character" w:customStyle="1" w:styleId="AnalyticChar">
    <w:name w:val="Analytic Char"/>
    <w:basedOn w:val="DefaultParagraphFont"/>
    <w:link w:val="Analytic"/>
    <w:rsid w:val="004F254A"/>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pga/74/united-nations-summit-on-biodiversity/" TargetMode="External"/><Relationship Id="rId3" Type="http://schemas.openxmlformats.org/officeDocument/2006/relationships/webSettings" Target="webSettings.xml"/><Relationship Id="rId7" Type="http://schemas.openxmlformats.org/officeDocument/2006/relationships/hyperlink" Target="https://www.swissre.com/risk-knowledge/mitigating-climate-risk/managing-biodiversity-risk-is-critical-for-global-econom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wissre.com/profile/Bernd_Wilke/ip_567f65" TargetMode="External"/><Relationship Id="rId11" Type="http://schemas.openxmlformats.org/officeDocument/2006/relationships/theme" Target="theme/theme1.xml"/><Relationship Id="rId5" Type="http://schemas.openxmlformats.org/officeDocument/2006/relationships/hyperlink" Target="https://www.swissre.com/profile/Oliver_Schelske/ip_bdeb3f" TargetMode="External"/><Relationship Id="rId10" Type="http://schemas.openxmlformats.org/officeDocument/2006/relationships/fontTable" Target="fontTable.xml"/><Relationship Id="rId4" Type="http://schemas.openxmlformats.org/officeDocument/2006/relationships/hyperlink" Target="http://ftp.oxfordphilsoc.org/Documents/StudentPrize/2015_H1b.pdf" TargetMode="External"/><Relationship Id="rId9" Type="http://schemas.openxmlformats.org/officeDocument/2006/relationships/hyperlink" Target="https://www.swissre.com/institute/research/topics-and-risk-dialogues/climate-and-natural-catastrophe-risk/expertise-publication-biodiversity-and-ecosystems-servi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11071</Words>
  <Characters>63106</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3</cp:revision>
  <dcterms:created xsi:type="dcterms:W3CDTF">2021-09-18T23:50:00Z</dcterms:created>
  <dcterms:modified xsi:type="dcterms:W3CDTF">2021-09-19T00:06:00Z</dcterms:modified>
</cp:coreProperties>
</file>