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ABA44" w14:textId="15677785" w:rsidR="00433771" w:rsidRPr="00433771" w:rsidRDefault="00EA7248" w:rsidP="00EA7248">
      <w:pPr>
        <w:pStyle w:val="Heading2"/>
        <w:rPr>
          <w:lang w:eastAsia="zh-CN"/>
        </w:rPr>
      </w:pPr>
      <w:r>
        <w:rPr>
          <w:lang w:eastAsia="zh-CN"/>
        </w:rPr>
        <w:t>1</w:t>
      </w:r>
    </w:p>
    <w:p w14:paraId="6138CC04" w14:textId="385C5ABC" w:rsidR="00194B36" w:rsidRDefault="00194B36" w:rsidP="00194B36">
      <w:pPr>
        <w:pStyle w:val="Heading4"/>
      </w:pPr>
      <w:r>
        <w:t xml:space="preserve">Permissibility Negates – </w:t>
      </w:r>
    </w:p>
    <w:p w14:paraId="5AF796DC" w14:textId="4A11C29E" w:rsidR="00194B36" w:rsidRDefault="00A100CE" w:rsidP="00194B36">
      <w:pPr>
        <w:pStyle w:val="Heading4"/>
      </w:pPr>
      <w:r>
        <w:t xml:space="preserve"> </w:t>
      </w:r>
      <w:r w:rsidR="00194B36">
        <w:t xml:space="preserve">[1] Semantics – </w:t>
      </w:r>
    </w:p>
    <w:p w14:paraId="676354DB" w14:textId="2663FA45" w:rsidR="00194B36" w:rsidRDefault="00A100CE" w:rsidP="00194B36">
      <w:pPr>
        <w:pStyle w:val="Heading4"/>
      </w:pPr>
      <w:r>
        <w:t xml:space="preserve"> </w:t>
      </w:r>
      <w:r w:rsidR="00194B36">
        <w:t>[2]</w:t>
      </w:r>
      <w:r w:rsidR="00194B36" w:rsidRPr="005A49FB">
        <w:t xml:space="preserve"> </w:t>
      </w:r>
      <w:r w:rsidR="00194B36">
        <w:t xml:space="preserve">Safety – </w:t>
      </w:r>
    </w:p>
    <w:p w14:paraId="68BB34B7" w14:textId="6484FEDB" w:rsidR="00194B36" w:rsidRDefault="00194B36" w:rsidP="00194B36">
      <w:pPr>
        <w:pStyle w:val="Heading4"/>
      </w:pPr>
      <w:r>
        <w:t xml:space="preserve">[3] Logic – </w:t>
      </w:r>
    </w:p>
    <w:p w14:paraId="1D86899F" w14:textId="5D3216EF" w:rsidR="00097E03" w:rsidRDefault="00097E03" w:rsidP="00097E03">
      <w:pPr>
        <w:pStyle w:val="Heading4"/>
      </w:pPr>
      <w:r>
        <w:t xml:space="preserve">Now Negate – </w:t>
      </w:r>
    </w:p>
    <w:p w14:paraId="4D5A64F7" w14:textId="4DA9F214" w:rsidR="00097E03" w:rsidRPr="003B729D" w:rsidRDefault="00097E03" w:rsidP="00097E03">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1FE02728" w14:textId="5D6B1253" w:rsidR="00097E03" w:rsidRDefault="00097E03" w:rsidP="00097E03">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754AF1AF" w14:textId="7446DBCC" w:rsidR="00097E03" w:rsidRDefault="00097E03" w:rsidP="00097E03">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5726C3B4" w14:textId="7382997A" w:rsidR="00097E03" w:rsidRDefault="00097E03" w:rsidP="00097E03">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052EB76C" w14:textId="3A5BEC3C" w:rsidR="00097E03" w:rsidRDefault="00097E03" w:rsidP="00097E03">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6C3F5457" w14:textId="12F1A250" w:rsidR="00097E03" w:rsidRDefault="00097E03" w:rsidP="00097E03">
      <w:pPr>
        <w:pStyle w:val="Heading4"/>
      </w:pPr>
      <w:r>
        <w:t>6] for</w:t>
      </w:r>
      <w:r>
        <w:rPr>
          <w:rStyle w:val="FootnoteReference"/>
        </w:rPr>
        <w:footnoteReference w:id="6"/>
      </w:r>
      <w:r>
        <w:t xml:space="preserve"> is “</w:t>
      </w:r>
      <w:r w:rsidRPr="009D4E60">
        <w:t>in place of</w:t>
      </w:r>
      <w:r>
        <w:t>” but medicines aren’t replacing IP.</w:t>
      </w:r>
    </w:p>
    <w:p w14:paraId="549390F4" w14:textId="09BF822D" w:rsidR="00097E03" w:rsidRPr="009250F7" w:rsidRDefault="00097E03" w:rsidP="00097E03">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C2CCA84" w14:textId="350E898C" w:rsidR="00097E03" w:rsidRDefault="00097E03" w:rsidP="00097E03">
      <w:pPr>
        <w:pStyle w:val="Heading4"/>
        <w:rPr>
          <w:rFonts w:cstheme="majorHAnsi"/>
        </w:rPr>
      </w:pPr>
      <w:r>
        <w:t xml:space="preserve">8] </w:t>
      </w:r>
      <w:r>
        <w:rPr>
          <w:rFonts w:cstheme="majorHAnsi"/>
        </w:rPr>
        <w:t>Trade means “</w:t>
      </w:r>
      <w:r w:rsidRPr="001521DE">
        <w:rPr>
          <w:rFonts w:cstheme="majorHAnsi"/>
        </w:rPr>
        <w:t>a publication intended for persons in the entertainment business</w:t>
      </w:r>
      <w:r>
        <w:rPr>
          <w:rFonts w:cstheme="majorHAnsi"/>
        </w:rPr>
        <w:t>”(Merriam Webster) but a world entertainment business cannot reduce intellectual property making the resolution incoherent.</w:t>
      </w:r>
      <w:r w:rsidR="00A100CE" w:rsidRPr="00A100CE">
        <w:t xml:space="preserve"> </w:t>
      </w:r>
    </w:p>
    <w:p w14:paraId="1D61F6AF" w14:textId="10467BA8" w:rsidR="00097E03" w:rsidRDefault="00097E03" w:rsidP="00097E03">
      <w:pPr>
        <w:pStyle w:val="Heading4"/>
      </w:pPr>
      <w:r>
        <w:t>9] Intellectual is defined as “possessing or showing intellect or mental compacity” (Dictionary.com) but property cant possess intellect so the resolutions incoherent</w:t>
      </w:r>
    </w:p>
    <w:p w14:paraId="52414B0D" w14:textId="3ACA957E" w:rsidR="00097E03" w:rsidRDefault="00097E03" w:rsidP="00097E03">
      <w:pPr>
        <w:pStyle w:val="Heading4"/>
      </w:pPr>
      <w:r>
        <w:t>10]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124B2ADE" w14:textId="766B6664" w:rsidR="00097E03" w:rsidRDefault="00097E03" w:rsidP="00097E03">
      <w:pPr>
        <w:pStyle w:val="Heading2"/>
        <w:rPr>
          <w:lang w:eastAsia="zh-CN"/>
        </w:rPr>
      </w:pPr>
      <w:r>
        <w:rPr>
          <w:lang w:eastAsia="zh-CN"/>
        </w:rPr>
        <w:t>2</w:t>
      </w:r>
    </w:p>
    <w:p w14:paraId="1D8F331F" w14:textId="77777777" w:rsidR="00097E03" w:rsidRPr="005473FA" w:rsidRDefault="00097E03" w:rsidP="00097E03">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Theory is incoherent: [a] The ballot is always determined off abuse and inequalities, otherwise it would be impossible to evaluate the round. [b] You can’t evaluate theory because it’s evaluating off the flow rather than making the decision of which is actually a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actually achieve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interps that are marginally better than other interps, rather the best version of the interp,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58DD55D5" w14:textId="6E1830BA" w:rsidR="00097E03" w:rsidRDefault="00097E03" w:rsidP="00097E03">
      <w:pPr>
        <w:pStyle w:val="Heading2"/>
        <w:rPr>
          <w:lang w:eastAsia="zh-CN"/>
        </w:rPr>
      </w:pPr>
      <w:r>
        <w:rPr>
          <w:lang w:eastAsia="zh-CN"/>
        </w:rPr>
        <w:t>3</w:t>
      </w:r>
    </w:p>
    <w:p w14:paraId="246EC8FE" w14:textId="77777777" w:rsidR="00097E03" w:rsidRDefault="00097E03" w:rsidP="00097E03">
      <w:pPr>
        <w:pStyle w:val="Heading4"/>
      </w:pPr>
      <w:r>
        <w:t xml:space="preserve">Kant is Homophobic: This isn’t an </w:t>
      </w:r>
      <w:r w:rsidRPr="00230CEF">
        <w:t>ad hominem</w:t>
      </w:r>
      <w:r>
        <w:t xml:space="preserve"> but the logical conclusion of his philosophy. Being gay is a contradiction in conception, since if everyone had homosexual intercourse, their would be no reproduction. Kant believes this is sex without function, requires sacrificing rational agency for the subordinate end of pleasure. </w:t>
      </w:r>
    </w:p>
    <w:p w14:paraId="492179C3" w14:textId="77777777" w:rsidR="00097E03" w:rsidRPr="0055381D" w:rsidRDefault="00097E03" w:rsidP="00097E03">
      <w:pPr>
        <w:rPr>
          <w:sz w:val="14"/>
        </w:rPr>
      </w:pPr>
      <w:r w:rsidRPr="0055381D">
        <w:rPr>
          <w:sz w:val="14"/>
        </w:rPr>
        <w:t xml:space="preserve">Alan </w:t>
      </w:r>
      <w:r w:rsidRPr="0055381D">
        <w:rPr>
          <w:rStyle w:val="Style13ptBold"/>
        </w:rPr>
        <w:t>Soble</w:t>
      </w:r>
      <w:r w:rsidRPr="0055381D">
        <w:rPr>
          <w:sz w:val="14"/>
        </w:rPr>
        <w:t xml:space="preserve">, American philosopher and author of several books on the philosophy of sex. He taught at the University of New Orleans from 1986 to 2006. He is currently Adjunct Professor of philosophy at Drexel University in Philadelphia, Kant and Sexual Perversion, The Monist 86:1 (Jan. </w:t>
      </w:r>
      <w:r w:rsidRPr="0055381D">
        <w:rPr>
          <w:rStyle w:val="Style13ptBold"/>
        </w:rPr>
        <w:t>2003</w:t>
      </w:r>
      <w:r w:rsidRPr="0055381D">
        <w:rPr>
          <w:sz w:val="14"/>
        </w:rPr>
        <w:t xml:space="preserve">), pp. 55-89, </w:t>
      </w:r>
      <w:hyperlink r:id="rId8" w:history="1">
        <w:r w:rsidRPr="0055381D">
          <w:rPr>
            <w:rStyle w:val="Hyperlink"/>
            <w:sz w:val="14"/>
          </w:rPr>
          <w:t>https://philpapers.org/archive/SOBKAS</w:t>
        </w:r>
      </w:hyperlink>
      <w:r w:rsidRPr="0055381D">
        <w:rPr>
          <w:sz w:val="14"/>
        </w:rPr>
        <w:t xml:space="preserve"> ///AHS PB</w:t>
      </w:r>
    </w:p>
    <w:p w14:paraId="2448FE3D" w14:textId="09F35454" w:rsidR="00097E03" w:rsidRPr="00230CEF" w:rsidRDefault="00097E03" w:rsidP="00097E03">
      <w:pPr>
        <w:rPr>
          <w:sz w:val="14"/>
        </w:rPr>
      </w:pPr>
      <w:r w:rsidRPr="00230CEF">
        <w:rPr>
          <w:sz w:val="14"/>
        </w:rPr>
        <w:t xml:space="preserve">Kant's Vorlesung treatment of </w:t>
      </w:r>
      <w:r w:rsidRPr="00230CEF">
        <w:rPr>
          <w:rStyle w:val="Style13ptBold"/>
        </w:rPr>
        <w:t>its own species</w:t>
      </w:r>
      <w:r w:rsidRPr="00230CEF">
        <w:rPr>
          <w:sz w:val="14"/>
        </w:rPr>
        <w:t>.75</w:t>
      </w:r>
    </w:p>
    <w:p w14:paraId="1F4E402E" w14:textId="77777777" w:rsidR="00097E03" w:rsidRDefault="00097E03" w:rsidP="00097E03">
      <w:pPr>
        <w:pStyle w:val="Heading4"/>
      </w:pPr>
      <w:r>
        <w:t xml:space="preserve">And Kant’s conclusion is not just that homosexual intercourse is bad, but also that queer people literally are not human and can be killed with impunity. </w:t>
      </w:r>
    </w:p>
    <w:p w14:paraId="1800EC45" w14:textId="77777777" w:rsidR="00097E03" w:rsidRPr="0055381D" w:rsidRDefault="00097E03" w:rsidP="00097E03">
      <w:pPr>
        <w:rPr>
          <w:b/>
          <w:bCs/>
          <w:sz w:val="26"/>
          <w:szCs w:val="26"/>
          <w:u w:val="single"/>
        </w:rPr>
      </w:pPr>
      <w:r w:rsidRPr="0055381D">
        <w:rPr>
          <w:b/>
          <w:bCs/>
          <w:sz w:val="26"/>
          <w:szCs w:val="26"/>
          <w:u w:val="single"/>
        </w:rPr>
        <w:t>Soble 2</w:t>
      </w:r>
    </w:p>
    <w:p w14:paraId="7674D872" w14:textId="515AF6A4" w:rsidR="00097E03" w:rsidRDefault="00097E03" w:rsidP="00097E03">
      <w:pPr>
        <w:rPr>
          <w:sz w:val="14"/>
        </w:rPr>
      </w:pPr>
      <w:r w:rsidRPr="0055381D">
        <w:rPr>
          <w:sz w:val="14"/>
        </w:rPr>
        <w:t xml:space="preserve">Given what </w:t>
      </w:r>
      <w:r w:rsidRPr="0055381D">
        <w:rPr>
          <w:rStyle w:val="Style13ptBold"/>
        </w:rPr>
        <w:t>Kant claims</w:t>
      </w:r>
      <w:r w:rsidRPr="0055381D">
        <w:rPr>
          <w:sz w:val="14"/>
        </w:rPr>
        <w:t xml:space="preserve"> about </w:t>
      </w:r>
      <w:r w:rsidRPr="0055381D">
        <w:rPr>
          <w:rStyle w:val="Style13ptBold"/>
        </w:rPr>
        <w:t>the</w:t>
      </w:r>
      <w:r w:rsidRPr="0055381D">
        <w:rPr>
          <w:sz w:val="14"/>
        </w:rPr>
        <w:t xml:space="preserve"> meager status of the masturbator and </w:t>
      </w:r>
      <w:r w:rsidRPr="0055381D">
        <w:rPr>
          <w:rStyle w:val="Style13ptBold"/>
        </w:rPr>
        <w:t>homosexual</w:t>
      </w:r>
      <w:r w:rsidRPr="0055381D">
        <w:rPr>
          <w:sz w:val="14"/>
        </w:rPr>
        <w:t xml:space="preserve">, that they are below the beasts and </w:t>
      </w:r>
      <w:r w:rsidRPr="0055381D">
        <w:rPr>
          <w:rStyle w:val="Style13ptBold"/>
        </w:rPr>
        <w:t>no longer deserve to be persons</w:t>
      </w:r>
      <w:r w:rsidRPr="0055381D">
        <w:rPr>
          <w:sz w:val="14"/>
        </w:rPr>
        <w:t xml:space="preserve">, we would have expected a better treatment by him of the principle(s) by which these practices are to be so severely condemned. (I suppose Kant was led here mostly by emotional disgust at the crimina carnis contra naturam.) This failure to provide a more solid principled foundation for his judgments about sexual perversion is especially surprising, since </w:t>
      </w:r>
      <w:r w:rsidRPr="0055381D">
        <w:rPr>
          <w:rStyle w:val="Style13ptBold"/>
          <w:highlight w:val="yellow"/>
        </w:rPr>
        <w:t>Kant's intellectual gay-bashing is supplemented</w:t>
      </w:r>
      <w:r w:rsidRPr="0055381D">
        <w:rPr>
          <w:sz w:val="14"/>
        </w:rPr>
        <w:t xml:space="preserve">, in effect, </w:t>
      </w:r>
      <w:r w:rsidRPr="0055381D">
        <w:rPr>
          <w:rStyle w:val="Style13ptBold"/>
          <w:highlight w:val="yellow"/>
        </w:rPr>
        <w:t>by the advocation of physical gay-bashing [Quote</w:t>
      </w:r>
      <w:r>
        <w:rPr>
          <w:rStyle w:val="Style13ptBold"/>
        </w:rPr>
        <w:t xml:space="preserve"> Starts]</w:t>
      </w:r>
      <w:r w:rsidRPr="0055381D">
        <w:rPr>
          <w:sz w:val="14"/>
        </w:rPr>
        <w:t xml:space="preserve">: </w:t>
      </w:r>
      <w:r w:rsidRPr="0055381D">
        <w:rPr>
          <w:rStyle w:val="Style13ptBold"/>
          <w:highlight w:val="yellow"/>
        </w:rPr>
        <w:t>Man can only dispose over</w:t>
      </w:r>
      <w:r w:rsidRPr="0055381D">
        <w:rPr>
          <w:rStyle w:val="Style13ptBold"/>
        </w:rPr>
        <w:t xml:space="preserve"> things; </w:t>
      </w:r>
      <w:r w:rsidRPr="0055381D">
        <w:rPr>
          <w:rStyle w:val="Style13ptBold"/>
          <w:highlight w:val="yellow"/>
        </w:rPr>
        <w:t>beasts</w:t>
      </w:r>
      <w:r w:rsidRPr="0055381D">
        <w:rPr>
          <w:rStyle w:val="Style13ptBold"/>
        </w:rPr>
        <w:t xml:space="preserve"> are things in this sense; but man is not a thing, not a beast. </w:t>
      </w:r>
      <w:r w:rsidRPr="0055381D">
        <w:rPr>
          <w:rStyle w:val="Style13ptBold"/>
          <w:highlight w:val="yellow"/>
        </w:rPr>
        <w:t>If he disposes over himself, he treats his value as that of a beast</w:t>
      </w:r>
      <w:r w:rsidRPr="0055381D">
        <w:rPr>
          <w:rStyle w:val="Style13ptBold"/>
        </w:rPr>
        <w:t xml:space="preserve">. He who so behaves, who has no respect for human nature and makes a thing of himself, becomes for everyone an Object of freewill. </w:t>
      </w:r>
      <w:r w:rsidRPr="0055381D">
        <w:rPr>
          <w:rStyle w:val="Style13ptBold"/>
          <w:highlight w:val="yellow"/>
        </w:rPr>
        <w:t>We are free to treat him as a beast</w:t>
      </w:r>
      <w:r w:rsidRPr="0055381D">
        <w:rPr>
          <w:rStyle w:val="Style13ptBold"/>
        </w:rPr>
        <w:t xml:space="preserve">, as a thing, </w:t>
      </w:r>
      <w:r w:rsidRPr="0055381D">
        <w:rPr>
          <w:rStyle w:val="Style13ptBold"/>
          <w:highlight w:val="yellow"/>
        </w:rPr>
        <w:t>and to use him for our sport as we do a</w:t>
      </w:r>
      <w:r w:rsidRPr="0055381D">
        <w:rPr>
          <w:rStyle w:val="Style13ptBold"/>
        </w:rPr>
        <w:t xml:space="preserve"> horse or a </w:t>
      </w:r>
      <w:r w:rsidRPr="0055381D">
        <w:rPr>
          <w:rStyle w:val="Style13ptBold"/>
          <w:highlight w:val="yellow"/>
        </w:rPr>
        <w:t xml:space="preserve">dog, for he is no longer a </w:t>
      </w:r>
      <w:r w:rsidRPr="00890C51">
        <w:rPr>
          <w:rStyle w:val="Style13ptBold"/>
          <w:highlight w:val="yellow"/>
        </w:rPr>
        <w:t>human being</w:t>
      </w:r>
      <w:r w:rsidRPr="0055381D">
        <w:rPr>
          <w:sz w:val="14"/>
        </w:rPr>
        <w:t xml:space="preserve">.89 </w:t>
      </w:r>
      <w:r w:rsidRPr="0055381D">
        <w:rPr>
          <w:rStyle w:val="Style13ptBold"/>
        </w:rPr>
        <w:t>We can dispose of things which have no</w:t>
      </w:r>
      <w:r w:rsidRPr="0055381D">
        <w:rPr>
          <w:sz w:val="14"/>
        </w:rPr>
        <w:t xml:space="preserve"> freedom but not of a being which has </w:t>
      </w:r>
      <w:r w:rsidRPr="0055381D">
        <w:rPr>
          <w:rStyle w:val="Style13ptBold"/>
        </w:rPr>
        <w:t>free will</w:t>
      </w:r>
      <w:r w:rsidRPr="0055381D">
        <w:rPr>
          <w:sz w:val="14"/>
        </w:rPr>
        <w:t xml:space="preserve">. A man who sells himself makes himself a thing and, as he has jettisoned his person, it is open to anyone to deal with him as he pleases. Another instance of this kind is where </w:t>
      </w:r>
      <w:r w:rsidRPr="00890C51">
        <w:rPr>
          <w:rStyle w:val="Style13ptBold"/>
          <w:highlight w:val="yellow"/>
        </w:rPr>
        <w:t>a human being makes himself a thing by making himself an object of enjoyment for some one's sexual desire</w:t>
      </w:r>
      <w:r>
        <w:rPr>
          <w:rStyle w:val="Style13ptBold"/>
        </w:rPr>
        <w:t xml:space="preserve"> [</w:t>
      </w:r>
      <w:r w:rsidRPr="0055381D">
        <w:rPr>
          <w:rStyle w:val="Style13ptBold"/>
        </w:rPr>
        <w:t>Quote Ends</w:t>
      </w:r>
      <w:r>
        <w:rPr>
          <w:rStyle w:val="Style13ptBold"/>
        </w:rPr>
        <w:t>]</w:t>
      </w:r>
      <w:r w:rsidRPr="0055381D">
        <w:rPr>
          <w:sz w:val="14"/>
        </w:rPr>
        <w:t xml:space="preserve">.90 </w:t>
      </w:r>
      <w:r w:rsidRPr="0055381D">
        <w:rPr>
          <w:rStyle w:val="Style13ptBold"/>
        </w:rPr>
        <w:t>Kant's sadistic leitmotif</w:t>
      </w:r>
      <w:r w:rsidRPr="0055381D">
        <w:rPr>
          <w:sz w:val="14"/>
        </w:rPr>
        <w:t xml:space="preserve"> permits if not </w:t>
      </w:r>
      <w:r w:rsidRPr="0055381D">
        <w:rPr>
          <w:rStyle w:val="Style13ptBold"/>
        </w:rPr>
        <w:t>encourages treating as lower than animals the animals or things that the</w:t>
      </w:r>
      <w:r w:rsidRPr="0055381D">
        <w:rPr>
          <w:sz w:val="14"/>
        </w:rPr>
        <w:t xml:space="preserve"> masturbator and the </w:t>
      </w:r>
      <w:r w:rsidRPr="0055381D">
        <w:rPr>
          <w:rStyle w:val="Style13ptBold"/>
        </w:rPr>
        <w:t>homosexual</w:t>
      </w:r>
      <w:r w:rsidRPr="0055381D">
        <w:rPr>
          <w:sz w:val="14"/>
        </w:rPr>
        <w:t xml:space="preserve">, by their own deliberate choices, </w:t>
      </w:r>
      <w:r w:rsidRPr="0055381D">
        <w:rPr>
          <w:rStyle w:val="Style13ptBold"/>
        </w:rPr>
        <w:t>have become</w:t>
      </w:r>
      <w:r w:rsidRPr="0055381D">
        <w:rPr>
          <w:sz w:val="14"/>
        </w:rPr>
        <w:t>.</w:t>
      </w:r>
    </w:p>
    <w:p w14:paraId="0BFDF713" w14:textId="77777777" w:rsidR="00097E03" w:rsidRPr="00097E03" w:rsidRDefault="00097E03" w:rsidP="00097E03">
      <w:pPr>
        <w:rPr>
          <w:lang w:eastAsia="zh-CN"/>
        </w:rPr>
      </w:pPr>
    </w:p>
    <w:sectPr w:rsidR="00097E03" w:rsidRPr="00097E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4BFC" w14:textId="77777777" w:rsidR="00536B6F" w:rsidRDefault="00536B6F" w:rsidP="00194B36">
      <w:pPr>
        <w:spacing w:after="0" w:line="240" w:lineRule="auto"/>
      </w:pPr>
      <w:r>
        <w:separator/>
      </w:r>
    </w:p>
  </w:endnote>
  <w:endnote w:type="continuationSeparator" w:id="0">
    <w:p w14:paraId="6AEF8009" w14:textId="77777777" w:rsidR="00536B6F" w:rsidRDefault="00536B6F" w:rsidP="00194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4DF66" w14:textId="77777777" w:rsidR="00536B6F" w:rsidRDefault="00536B6F" w:rsidP="00194B36">
      <w:pPr>
        <w:spacing w:after="0" w:line="240" w:lineRule="auto"/>
      </w:pPr>
      <w:r>
        <w:separator/>
      </w:r>
    </w:p>
  </w:footnote>
  <w:footnote w:type="continuationSeparator" w:id="0">
    <w:p w14:paraId="026EA151" w14:textId="77777777" w:rsidR="00536B6F" w:rsidRDefault="00536B6F" w:rsidP="00194B36">
      <w:pPr>
        <w:spacing w:after="0" w:line="240" w:lineRule="auto"/>
      </w:pPr>
      <w:r>
        <w:continuationSeparator/>
      </w:r>
    </w:p>
  </w:footnote>
  <w:footnote w:id="1">
    <w:p w14:paraId="5F341314" w14:textId="77777777" w:rsidR="00097E03" w:rsidRDefault="00097E03" w:rsidP="00097E03">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6BCCDADA" w14:textId="77777777" w:rsidR="00097E03" w:rsidRDefault="00097E03" w:rsidP="00097E03">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2CF4CF50" w14:textId="77777777" w:rsidR="00097E03" w:rsidRDefault="00097E03" w:rsidP="00097E03">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4">
    <w:p w14:paraId="46C1FC1D" w14:textId="77777777" w:rsidR="00097E03" w:rsidRDefault="00097E03" w:rsidP="00097E03">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5">
    <w:p w14:paraId="1AF1CC63" w14:textId="77777777" w:rsidR="00097E03" w:rsidRDefault="00097E03" w:rsidP="00097E03">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493AC25D" w14:textId="77777777" w:rsidR="00097E03" w:rsidRDefault="00097E03" w:rsidP="00097E03">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6E3F3FCD" w14:textId="77777777" w:rsidR="00097E03" w:rsidRDefault="00097E03" w:rsidP="00097E03">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456275"/>
    <w:multiLevelType w:val="hybridMultilevel"/>
    <w:tmpl w:val="B0DA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8682207520"/>
    <w:docVar w:name="VerbatimVersion" w:val="5.1"/>
  </w:docVars>
  <w:rsids>
    <w:rsidRoot w:val="00194B36"/>
    <w:rsid w:val="000139A3"/>
    <w:rsid w:val="00097E03"/>
    <w:rsid w:val="000D7249"/>
    <w:rsid w:val="00100833"/>
    <w:rsid w:val="00104529"/>
    <w:rsid w:val="00105942"/>
    <w:rsid w:val="00107396"/>
    <w:rsid w:val="00140259"/>
    <w:rsid w:val="00144A4C"/>
    <w:rsid w:val="00176AB0"/>
    <w:rsid w:val="00177B7D"/>
    <w:rsid w:val="0018322D"/>
    <w:rsid w:val="00194B3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3771"/>
    <w:rsid w:val="004605D6"/>
    <w:rsid w:val="004C60E8"/>
    <w:rsid w:val="004E3579"/>
    <w:rsid w:val="004E728B"/>
    <w:rsid w:val="004F39E0"/>
    <w:rsid w:val="00536B6F"/>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100CE"/>
    <w:rsid w:val="00A5279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724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C338"/>
  <w15:chartTrackingRefBased/>
  <w15:docId w15:val="{F862EC0C-5C67-4C4A-A8DC-9D0EDFE8C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00CE"/>
    <w:rPr>
      <w:rFonts w:ascii="Calibri" w:hAnsi="Calibri" w:cs="Calibri"/>
    </w:rPr>
  </w:style>
  <w:style w:type="paragraph" w:styleId="Heading1">
    <w:name w:val="heading 1"/>
    <w:aliases w:val="Pocket"/>
    <w:basedOn w:val="Normal"/>
    <w:next w:val="Normal"/>
    <w:link w:val="Heading1Char"/>
    <w:qFormat/>
    <w:rsid w:val="00A100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00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00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A100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00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00CE"/>
  </w:style>
  <w:style w:type="character" w:customStyle="1" w:styleId="Heading1Char">
    <w:name w:val="Heading 1 Char"/>
    <w:aliases w:val="Pocket Char"/>
    <w:basedOn w:val="DefaultParagraphFont"/>
    <w:link w:val="Heading1"/>
    <w:rsid w:val="00A100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00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00C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A100CE"/>
    <w:rPr>
      <w:rFonts w:ascii="Calibri" w:eastAsiaTheme="majorEastAsia" w:hAnsi="Calibri" w:cstheme="majorBidi"/>
      <w:b/>
      <w:iCs/>
      <w:sz w:val="26"/>
    </w:rPr>
  </w:style>
  <w:style w:type="character" w:styleId="Emphasis">
    <w:name w:val="Emphasis"/>
    <w:basedOn w:val="DefaultParagraphFont"/>
    <w:uiPriority w:val="7"/>
    <w:qFormat/>
    <w:rsid w:val="00A100C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00CE"/>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A100CE"/>
    <w:rPr>
      <w:b w:val="0"/>
      <w:sz w:val="26"/>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A100CE"/>
    <w:rPr>
      <w:color w:val="auto"/>
      <w:u w:val="none"/>
    </w:rPr>
  </w:style>
  <w:style w:type="character" w:styleId="FollowedHyperlink">
    <w:name w:val="FollowedHyperlink"/>
    <w:basedOn w:val="DefaultParagraphFont"/>
    <w:uiPriority w:val="99"/>
    <w:semiHidden/>
    <w:unhideWhenUsed/>
    <w:rsid w:val="00A100CE"/>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94B36"/>
    <w:rPr>
      <w:vertAlign w:val="superscript"/>
    </w:rPr>
  </w:style>
  <w:style w:type="paragraph" w:styleId="FootnoteText">
    <w:name w:val="footnote text"/>
    <w:basedOn w:val="Normal"/>
    <w:link w:val="FootnoteTextChar"/>
    <w:uiPriority w:val="99"/>
    <w:unhideWhenUsed/>
    <w:qFormat/>
    <w:rsid w:val="00194B36"/>
    <w:rPr>
      <w:sz w:val="20"/>
      <w:szCs w:val="20"/>
    </w:rPr>
  </w:style>
  <w:style w:type="character" w:customStyle="1" w:styleId="FootnoteTextChar">
    <w:name w:val="Footnote Text Char"/>
    <w:basedOn w:val="DefaultParagraphFont"/>
    <w:link w:val="FootnoteText"/>
    <w:uiPriority w:val="99"/>
    <w:rsid w:val="00194B36"/>
    <w:rPr>
      <w:rFonts w:ascii="Calibri" w:hAnsi="Calibri" w:cs="Calibri"/>
      <w:sz w:val="20"/>
      <w:szCs w:val="20"/>
    </w:rPr>
  </w:style>
  <w:style w:type="character" w:customStyle="1" w:styleId="LDDebateCut">
    <w:name w:val="LD Debate Cut"/>
    <w:qFormat/>
    <w:rsid w:val="00194B36"/>
    <w:rPr>
      <w:rFonts w:ascii="Times New Roman" w:hAnsi="Times New Roman"/>
      <w:sz w:val="16"/>
    </w:rPr>
  </w:style>
  <w:style w:type="paragraph" w:styleId="NormalWeb">
    <w:name w:val="Normal (Web)"/>
    <w:basedOn w:val="Normal"/>
    <w:uiPriority w:val="99"/>
    <w:unhideWhenUsed/>
    <w:rsid w:val="00194B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papers.org/archive/SOBKA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2021-09-17T20:17:00Z</dcterms:created>
  <dcterms:modified xsi:type="dcterms:W3CDTF">2021-09-18T12:05:00Z</dcterms:modified>
</cp:coreProperties>
</file>