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E2BD7" w14:textId="02792152" w:rsidR="00A95652" w:rsidRDefault="00E01837" w:rsidP="00E01837">
      <w:pPr>
        <w:pStyle w:val="Heading2"/>
      </w:pPr>
      <w:r>
        <w:t>1</w:t>
      </w:r>
    </w:p>
    <w:p w14:paraId="25451EFC" w14:textId="77777777" w:rsidR="00E01837" w:rsidRDefault="00E01837" w:rsidP="00E01837">
      <w:pPr>
        <w:pStyle w:val="Heading4"/>
      </w:pPr>
      <w:r>
        <w:t xml:space="preserve">A: </w:t>
      </w:r>
      <w:proofErr w:type="spellStart"/>
      <w:r>
        <w:t>Interp</w:t>
      </w:r>
      <w:proofErr w:type="spellEnd"/>
      <w:r>
        <w:t xml:space="preserve"> – Debaters must only read a framework that is not maximizing expected well-being. </w:t>
      </w:r>
    </w:p>
    <w:p w14:paraId="67C26C4E" w14:textId="77777777" w:rsidR="00E01837" w:rsidRDefault="00E01837" w:rsidP="00E01837">
      <w:pPr>
        <w:pStyle w:val="Heading4"/>
      </w:pPr>
      <w:r>
        <w:t xml:space="preserve">B: Violation – You read util </w:t>
      </w:r>
    </w:p>
    <w:p w14:paraId="28C1E679" w14:textId="77777777" w:rsidR="00E01837" w:rsidRDefault="00E01837" w:rsidP="00E01837">
      <w:pPr>
        <w:pStyle w:val="Heading4"/>
      </w:pPr>
      <w:r>
        <w:t xml:space="preserve">C: Standards – </w:t>
      </w:r>
    </w:p>
    <w:p w14:paraId="31B36648" w14:textId="228E694F" w:rsidR="00E01837" w:rsidRDefault="00E01837" w:rsidP="00E01837">
      <w:pPr>
        <w:pStyle w:val="Heading4"/>
      </w:pPr>
      <w:r>
        <w:t xml:space="preserve">1. Inclusion – </w:t>
      </w:r>
    </w:p>
    <w:p w14:paraId="4A67A615" w14:textId="4C6AC8BA" w:rsidR="00E01837" w:rsidRPr="0070502F" w:rsidRDefault="00E01837" w:rsidP="00E01837">
      <w:pPr>
        <w:pStyle w:val="Heading4"/>
        <w:rPr>
          <w:sz w:val="12"/>
        </w:rPr>
      </w:pPr>
      <w:r>
        <w:t>2. Resolvability –</w:t>
      </w:r>
      <w:r>
        <w:rPr>
          <w:rFonts w:eastAsia="SimSun"/>
          <w:lang w:eastAsia="zh-CN"/>
        </w:rPr>
        <w:t xml:space="preserve">E)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6"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7BFFF41E" w14:textId="41BF890B" w:rsidR="00E01837" w:rsidRDefault="00E01837" w:rsidP="00E01837">
      <w:pPr>
        <w:pStyle w:val="Heading2"/>
      </w:pPr>
      <w:r>
        <w:t>2</w:t>
      </w:r>
    </w:p>
    <w:p w14:paraId="40255ADD" w14:textId="77777777" w:rsidR="00AC1BA9" w:rsidRPr="009129DB" w:rsidRDefault="00AC1BA9" w:rsidP="00AC1BA9">
      <w:pPr>
        <w:keepNext/>
        <w:keepLines/>
        <w:spacing w:before="40"/>
        <w:outlineLvl w:val="3"/>
        <w:rPr>
          <w:b/>
          <w:iCs/>
          <w:sz w:val="26"/>
        </w:rPr>
      </w:pPr>
      <w:r>
        <w:rPr>
          <w:b/>
          <w:iCs/>
          <w:sz w:val="26"/>
        </w:rPr>
        <w:t xml:space="preserve">1] </w:t>
      </w:r>
      <w:r w:rsidRPr="009129DB">
        <w:rPr>
          <w:b/>
          <w:iCs/>
          <w:sz w:val="26"/>
        </w:rPr>
        <w:t>Utilitarianism collapses into contractarianism.</w:t>
      </w:r>
    </w:p>
    <w:p w14:paraId="741BA9F9" w14:textId="77777777" w:rsidR="00AC1BA9" w:rsidRPr="009129DB" w:rsidRDefault="00AC1BA9" w:rsidP="00AC1BA9">
      <w:pPr>
        <w:rPr>
          <w:rFonts w:eastAsia="Calibri"/>
          <w:sz w:val="14"/>
        </w:rPr>
      </w:pPr>
      <w:r w:rsidRPr="009129DB">
        <w:rPr>
          <w:rFonts w:eastAsia="Calibri"/>
          <w:sz w:val="14"/>
        </w:rPr>
        <w:t xml:space="preserve">John J. </w:t>
      </w:r>
      <w:r w:rsidRPr="009129DB">
        <w:rPr>
          <w:rFonts w:eastAsia="Calibri"/>
          <w:b/>
          <w:bCs/>
          <w:sz w:val="26"/>
          <w:u w:val="single"/>
        </w:rPr>
        <w:t>Thrasher</w:t>
      </w:r>
      <w:r w:rsidRPr="009129DB">
        <w:rPr>
          <w:rFonts w:eastAsia="Calibri"/>
          <w:sz w:val="14"/>
        </w:rPr>
        <w:t xml:space="preserve">, Assistant Professor in the Philosophy Department and the Smith Institute for Political Economy and Philosophy at Chapman University, Reconciling Justice and Pleasure in Epicurean Contractarianism, Ethical Theory and Moral Practice, Vol. 16, No. 2 (April </w:t>
      </w:r>
      <w:r w:rsidRPr="009129DB">
        <w:rPr>
          <w:rFonts w:eastAsia="Calibri"/>
          <w:b/>
          <w:bCs/>
          <w:sz w:val="26"/>
          <w:u w:val="single"/>
        </w:rPr>
        <w:t>2013</w:t>
      </w:r>
      <w:r w:rsidRPr="009129DB">
        <w:rPr>
          <w:rFonts w:eastAsia="Calibri"/>
          <w:sz w:val="14"/>
        </w:rPr>
        <w:t>), pp. 423-436 ///AHS PB</w:t>
      </w:r>
    </w:p>
    <w:p w14:paraId="64549F8E" w14:textId="77777777" w:rsidR="00AC1BA9" w:rsidRPr="009129DB" w:rsidRDefault="00AC1BA9" w:rsidP="00AC1BA9">
      <w:pPr>
        <w:rPr>
          <w:rFonts w:eastAsia="Calibri"/>
          <w:sz w:val="14"/>
        </w:rPr>
      </w:pPr>
      <w:r w:rsidRPr="009129DB">
        <w:rPr>
          <w:rFonts w:eastAsia="Calibri"/>
          <w:b/>
          <w:bCs/>
          <w:sz w:val="26"/>
          <w:highlight w:val="yellow"/>
          <w:u w:val="single"/>
        </w:rPr>
        <w:t>If</w:t>
      </w:r>
      <w:r w:rsidRPr="009129DB">
        <w:rPr>
          <w:rFonts w:eastAsia="Calibri"/>
          <w:sz w:val="14"/>
        </w:rPr>
        <w:t xml:space="preserve"> you do not, on every occasion, refer each of your actions to the goal of nature, but instead turn prematurely to some other [criterion] in avoiding or pursuing [things], your actions will not be consistent with your reasoning (KD 25). </w:t>
      </w:r>
      <w:r w:rsidRPr="009129DB">
        <w:rPr>
          <w:rFonts w:eastAsia="Calibri"/>
          <w:b/>
          <w:bCs/>
          <w:sz w:val="26"/>
          <w:highlight w:val="yellow"/>
          <w:u w:val="single"/>
        </w:rPr>
        <w:t>This goal of reasoning</w:t>
      </w:r>
      <w:r w:rsidRPr="009129DB">
        <w:rPr>
          <w:rFonts w:eastAsia="Calibri"/>
          <w:b/>
          <w:bCs/>
          <w:sz w:val="26"/>
          <w:u w:val="single"/>
        </w:rPr>
        <w:t xml:space="preserve"> and action </w:t>
      </w:r>
      <w:r w:rsidRPr="009129DB">
        <w:rPr>
          <w:rFonts w:eastAsia="Calibri"/>
          <w:b/>
          <w:bCs/>
          <w:sz w:val="26"/>
          <w:highlight w:val="yellow"/>
          <w:u w:val="single"/>
        </w:rPr>
        <w:t>is the absence of pain</w:t>
      </w:r>
      <w:r w:rsidRPr="009129DB">
        <w:rPr>
          <w:rFonts w:eastAsia="Calibri"/>
          <w:sz w:val="14"/>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sidRPr="009129DB">
        <w:rPr>
          <w:rFonts w:eastAsia="Calibri"/>
          <w:sz w:val="14"/>
        </w:rPr>
        <w:t>ing</w:t>
      </w:r>
      <w:proofErr w:type="spellEnd"/>
      <w:r w:rsidRPr="009129DB">
        <w:rPr>
          <w:rFonts w:eastAsia="Calibri"/>
          <w:sz w:val="14"/>
        </w:rPr>
        <w:t xml:space="preserve"> should aim at ataraxia.6 The normative ideal of Epicurean practical rationality is a hedonistic form of instrumental rationality with the final end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sidRPr="009129DB">
        <w:rPr>
          <w:rFonts w:eastAsia="Calibri"/>
          <w:sz w:val="14"/>
        </w:rPr>
        <w:t>paradig</w:t>
      </w:r>
      <w:proofErr w:type="spellEnd"/>
      <w:r w:rsidRPr="009129DB">
        <w:rPr>
          <w:rFonts w:eastAsia="Calibri"/>
          <w:sz w:val="14"/>
        </w:rPr>
        <w:t xml:space="preserve"> </w:t>
      </w:r>
      <w:proofErr w:type="spellStart"/>
      <w:r w:rsidRPr="009129DB">
        <w:rPr>
          <w:rFonts w:eastAsia="Calibri"/>
          <w:sz w:val="14"/>
        </w:rPr>
        <w:t>matically</w:t>
      </w:r>
      <w:proofErr w:type="spellEnd"/>
      <w:r w:rsidRPr="009129DB">
        <w:rPr>
          <w:rFonts w:eastAsia="Calibri"/>
          <w:sz w:val="14"/>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sidRPr="009129DB">
        <w:rPr>
          <w:rFonts w:eastAsia="Calibri"/>
          <w:sz w:val="14"/>
        </w:rPr>
        <w:t>ing</w:t>
      </w:r>
      <w:proofErr w:type="spellEnd"/>
      <w:r w:rsidRPr="009129DB">
        <w:rPr>
          <w:rFonts w:eastAsia="Calibri"/>
          <w:sz w:val="14"/>
        </w:rPr>
        <w:t xml:space="preserve"> will reliably lead to the final end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as a means to the final end of ataraxia. One version of this problem arises in the context of friendship. Epicurus claims . .every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sidRPr="009129DB">
        <w:rPr>
          <w:rFonts w:eastAsia="Calibri"/>
          <w:sz w:val="14"/>
        </w:rPr>
        <w:t>theoiy</w:t>
      </w:r>
      <w:proofErr w:type="spellEnd"/>
      <w:r w:rsidRPr="009129DB">
        <w:rPr>
          <w:rFonts w:eastAsia="Calibri"/>
          <w:sz w:val="14"/>
        </w:rPr>
        <w:t xml:space="preserve">. Choice of desires is governed directly by hedonic concerns and those desires then pick out particular actions,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justice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sidRPr="009129DB">
        <w:rPr>
          <w:rFonts w:eastAsia="Calibri"/>
          <w:sz w:val="14"/>
        </w:rPr>
        <w:t>Kavka</w:t>
      </w:r>
      <w:proofErr w:type="spellEnd"/>
      <w:r w:rsidRPr="009129DB">
        <w:rPr>
          <w:rFonts w:eastAsia="Calibri"/>
          <w:sz w:val="14"/>
        </w:rPr>
        <w:t xml:space="preserve"> calls "rule egoism" (</w:t>
      </w:r>
      <w:proofErr w:type="spellStart"/>
      <w:r w:rsidRPr="009129DB">
        <w:rPr>
          <w:rFonts w:eastAsia="Calibri"/>
          <w:sz w:val="14"/>
        </w:rPr>
        <w:t>Kavka</w:t>
      </w:r>
      <w:proofErr w:type="spellEnd"/>
      <w:r w:rsidRPr="009129DB">
        <w:rPr>
          <w:rFonts w:eastAsia="Calibri"/>
          <w:sz w:val="14"/>
        </w:rPr>
        <w:t xml:space="preserve"> 1986, chap. 9). Although </w:t>
      </w:r>
      <w:proofErr w:type="spellStart"/>
      <w:r w:rsidRPr="009129DB">
        <w:rPr>
          <w:rFonts w:eastAsia="Calibri"/>
          <w:sz w:val="14"/>
        </w:rPr>
        <w:t>Kavka</w:t>
      </w:r>
      <w:proofErr w:type="spellEnd"/>
      <w:r w:rsidRPr="009129DB">
        <w:rPr>
          <w:rFonts w:eastAsia="Calibri"/>
          <w:sz w:val="14"/>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9129DB">
        <w:rPr>
          <w:rFonts w:eastAsia="Calibri"/>
          <w:b/>
          <w:bCs/>
          <w:sz w:val="26"/>
          <w:highlight w:val="yellow"/>
          <w:u w:val="single"/>
        </w:rPr>
        <w:t xml:space="preserve">Rule egoism has </w:t>
      </w:r>
      <w:r w:rsidRPr="009129DB">
        <w:rPr>
          <w:rFonts w:eastAsia="Calibri"/>
          <w:b/>
          <w:bCs/>
          <w:sz w:val="26"/>
          <w:u w:val="single"/>
        </w:rPr>
        <w:t xml:space="preserve">several </w:t>
      </w:r>
      <w:r w:rsidRPr="009129DB">
        <w:rPr>
          <w:rFonts w:eastAsia="Calibri"/>
          <w:b/>
          <w:bCs/>
          <w:sz w:val="26"/>
          <w:highlight w:val="yellow"/>
          <w:u w:val="single"/>
        </w:rPr>
        <w:t>benefits over direct</w:t>
      </w:r>
      <w:r w:rsidRPr="009129DB">
        <w:rPr>
          <w:rFonts w:eastAsia="Calibri"/>
          <w:b/>
          <w:bCs/>
          <w:sz w:val="26"/>
          <w:u w:val="single"/>
        </w:rPr>
        <w:t xml:space="preserve"> and indirect </w:t>
      </w:r>
      <w:r w:rsidRPr="009129DB">
        <w:rPr>
          <w:rFonts w:eastAsia="Calibri"/>
          <w:b/>
          <w:bCs/>
          <w:sz w:val="26"/>
          <w:highlight w:val="yellow"/>
          <w:u w:val="single"/>
        </w:rPr>
        <w:t xml:space="preserve">egoism. </w:t>
      </w:r>
      <w:r w:rsidRPr="009129DB">
        <w:rPr>
          <w:rFonts w:eastAsia="Calibri"/>
          <w:b/>
          <w:bCs/>
          <w:sz w:val="26"/>
          <w:u w:val="single"/>
        </w:rPr>
        <w:t xml:space="preserve">First, </w:t>
      </w:r>
      <w:r w:rsidRPr="009129DB">
        <w:rPr>
          <w:rFonts w:eastAsia="Calibri"/>
          <w:b/>
          <w:bCs/>
          <w:sz w:val="26"/>
          <w:highlight w:val="yellow"/>
          <w:u w:val="single"/>
        </w:rPr>
        <w:t>it is</w:t>
      </w:r>
      <w:r w:rsidRPr="009129DB">
        <w:rPr>
          <w:rFonts w:eastAsia="Calibri"/>
          <w:b/>
          <w:bCs/>
          <w:sz w:val="26"/>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9129DB">
        <w:rPr>
          <w:rFonts w:eastAsia="Calibri"/>
          <w:b/>
          <w:bCs/>
          <w:sz w:val="26"/>
          <w:highlight w:val="yellow"/>
          <w:u w:val="single"/>
        </w:rPr>
        <w:t>more reliable</w:t>
      </w:r>
      <w:r w:rsidRPr="009129DB">
        <w:rPr>
          <w:rFonts w:eastAsia="Calibri"/>
          <w:b/>
          <w:bCs/>
          <w:sz w:val="26"/>
          <w:u w:val="single"/>
        </w:rPr>
        <w:t xml:space="preserve"> than direct or indirect egoism. It is reasonable to expect that the typical Epicurean would be bewildered </w:t>
      </w:r>
      <w:r w:rsidRPr="009129DB">
        <w:rPr>
          <w:rFonts w:eastAsia="Calibri"/>
          <w:b/>
          <w:bCs/>
          <w:sz w:val="26"/>
          <w:highlight w:val="yellow"/>
          <w:u w:val="single"/>
        </w:rPr>
        <w:t>in the face of the multiplicity</w:t>
      </w:r>
      <w:r w:rsidRPr="009129DB">
        <w:rPr>
          <w:rFonts w:eastAsia="Calibri"/>
          <w:b/>
          <w:bCs/>
          <w:sz w:val="26"/>
          <w:u w:val="single"/>
        </w:rPr>
        <w:t xml:space="preserve"> and complexity </w:t>
      </w:r>
      <w:r w:rsidRPr="009129DB">
        <w:rPr>
          <w:rFonts w:eastAsia="Calibri"/>
          <w:b/>
          <w:bCs/>
          <w:sz w:val="26"/>
          <w:highlight w:val="yellow"/>
          <w:u w:val="single"/>
        </w:rPr>
        <w:t>of choices</w:t>
      </w:r>
      <w:r w:rsidRPr="009129DB">
        <w:rPr>
          <w:rFonts w:eastAsia="Calibri"/>
          <w:b/>
          <w:bCs/>
          <w:sz w:val="26"/>
          <w:u w:val="single"/>
        </w:rPr>
        <w:t xml:space="preserve"> that would face him or her on any given day. The stress of deliberating over actions on the direct egoist interpretation of KD 25 would often create anxiety rather than tranquility. Similarly, </w:t>
      </w:r>
      <w:r w:rsidRPr="009129DB">
        <w:rPr>
          <w:rFonts w:eastAsia="Calibri"/>
          <w:b/>
          <w:bCs/>
          <w:sz w:val="26"/>
          <w:highlight w:val="yellow"/>
          <w:u w:val="single"/>
        </w:rPr>
        <w:t>it is not clear that, given the complexity of the world, the direct approach would reliably lead to ataraxia</w:t>
      </w:r>
      <w:r w:rsidRPr="009129DB">
        <w:rPr>
          <w:rFonts w:eastAsia="Calibri"/>
          <w:b/>
          <w:bCs/>
          <w:sz w:val="26"/>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9129DB">
        <w:rPr>
          <w:rFonts w:eastAsia="Calibri"/>
          <w:b/>
          <w:bCs/>
          <w:sz w:val="26"/>
          <w:highlight w:val="yellow"/>
          <w:u w:val="single"/>
        </w:rPr>
        <w:t>rules</w:t>
      </w:r>
      <w:r w:rsidRPr="009129DB">
        <w:rPr>
          <w:rFonts w:eastAsia="Calibri"/>
          <w:b/>
          <w:bCs/>
          <w:sz w:val="26"/>
          <w:u w:val="single"/>
        </w:rPr>
        <w:t xml:space="preserve">, however, the Epicurean can </w:t>
      </w:r>
      <w:r w:rsidRPr="009129DB">
        <w:rPr>
          <w:rFonts w:eastAsia="Calibri"/>
          <w:b/>
          <w:bCs/>
          <w:sz w:val="26"/>
          <w:highlight w:val="yellow"/>
          <w:u w:val="single"/>
        </w:rPr>
        <w:t>rely on</w:t>
      </w:r>
      <w:r w:rsidRPr="009129DB">
        <w:rPr>
          <w:rFonts w:eastAsia="Calibri"/>
          <w:b/>
          <w:bCs/>
          <w:sz w:val="26"/>
          <w:u w:val="single"/>
        </w:rPr>
        <w:t xml:space="preserve"> the </w:t>
      </w:r>
      <w:r w:rsidRPr="009129DB">
        <w:rPr>
          <w:rFonts w:eastAsia="Calibri"/>
          <w:b/>
          <w:bCs/>
          <w:sz w:val="26"/>
          <w:highlight w:val="yellow"/>
          <w:u w:val="single"/>
        </w:rPr>
        <w:t>knowledge</w:t>
      </w:r>
      <w:r w:rsidRPr="009129DB">
        <w:rPr>
          <w:rFonts w:eastAsia="Calibri"/>
          <w:b/>
          <w:bCs/>
          <w:sz w:val="26"/>
          <w:u w:val="single"/>
        </w:rPr>
        <w:t xml:space="preserve"> embodied in the rules </w:t>
      </w:r>
      <w:r w:rsidRPr="009129DB">
        <w:rPr>
          <w:rFonts w:eastAsia="Calibri"/>
          <w:b/>
          <w:bCs/>
          <w:sz w:val="26"/>
          <w:highlight w:val="yellow"/>
          <w:u w:val="single"/>
        </w:rPr>
        <w:t>without having to deliberate in each case</w:t>
      </w:r>
      <w:r w:rsidRPr="009129DB">
        <w:rPr>
          <w:rFonts w:eastAsia="Calibri"/>
          <w:b/>
          <w:bCs/>
          <w:sz w:val="26"/>
          <w:u w:val="single"/>
        </w:rPr>
        <w:t>.</w:t>
      </w:r>
      <w:r w:rsidRPr="009129DB">
        <w:rPr>
          <w:rFonts w:eastAsia="Calibri"/>
          <w:sz w:val="14"/>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all of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sidRPr="009129DB">
        <w:rPr>
          <w:rFonts w:eastAsia="Calibri"/>
          <w:sz w:val="14"/>
        </w:rPr>
        <w:t>Gigerenzer</w:t>
      </w:r>
      <w:proofErr w:type="spellEnd"/>
      <w:r w:rsidRPr="009129DB">
        <w:rPr>
          <w:rFonts w:eastAsia="Calibri"/>
          <w:sz w:val="14"/>
        </w:rPr>
        <w:t xml:space="preserve"> and Goldstein, a "fast and frugal" way of reasoning based on heuristics communicated as rules or maxims (</w:t>
      </w:r>
      <w:proofErr w:type="spellStart"/>
      <w:r w:rsidRPr="009129DB">
        <w:rPr>
          <w:rFonts w:eastAsia="Calibri"/>
          <w:sz w:val="14"/>
        </w:rPr>
        <w:t>Gigerenzer</w:t>
      </w:r>
      <w:proofErr w:type="spellEnd"/>
      <w:r w:rsidRPr="009129DB">
        <w:rPr>
          <w:rFonts w:eastAsia="Calibri"/>
          <w:sz w:val="14"/>
        </w:rPr>
        <w:t xml:space="preserve"> and Goldstein 1996). </w:t>
      </w:r>
      <w:r w:rsidRPr="009129DB">
        <w:rPr>
          <w:rFonts w:eastAsia="Calibri"/>
          <w:b/>
          <w:bCs/>
          <w:sz w:val="26"/>
          <w:u w:val="single"/>
        </w:rPr>
        <w:t>Instead of choosing over the expected outcome of individual acts, the rule egoist chooses sets of rules to follow based on the expected outcome of following that rule or set of rules</w:t>
      </w:r>
      <w:r w:rsidRPr="009129DB">
        <w:rPr>
          <w:rFonts w:eastAsia="Calibri"/>
          <w:sz w:val="14"/>
        </w:rPr>
        <w:t xml:space="preserve"> (</w:t>
      </w:r>
      <w:proofErr w:type="spellStart"/>
      <w:r w:rsidRPr="009129DB">
        <w:rPr>
          <w:rFonts w:eastAsia="Calibri"/>
          <w:sz w:val="14"/>
        </w:rPr>
        <w:t>Kavka</w:t>
      </w:r>
      <w:proofErr w:type="spellEnd"/>
      <w:r w:rsidRPr="009129DB">
        <w:rPr>
          <w:rFonts w:eastAsia="Calibri"/>
          <w:sz w:val="14"/>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particular actions or desires, we can see how the Epicurean can reconcile the imperatives of practical rationality with the demands of justice. </w:t>
      </w:r>
      <w:r w:rsidRPr="009129DB">
        <w:rPr>
          <w:rFonts w:eastAsia="Calibri"/>
          <w:b/>
          <w:bCs/>
          <w:sz w:val="26"/>
          <w:u w:val="single"/>
        </w:rPr>
        <w:t>A particular social contract is a set of rules that regulates behavior in certain public settings.</w:t>
      </w:r>
      <w:r w:rsidRPr="009129DB">
        <w:rPr>
          <w:rFonts w:eastAsia="Calibri"/>
          <w:sz w:val="14"/>
        </w:rPr>
        <w:t xml:space="preserve"> The Epicurean agrees to a particular set of rules in order to more reliably achieve and maintain personal ataraxia. We might wonder, however, why the Epicurean would need a contract at all. Why wouldn't the first personal application of practical rationality be sufficient for ataraxia? Why is the social </w:t>
      </w:r>
      <w:r w:rsidRPr="009129DB">
        <w:rPr>
          <w:rFonts w:eastAsia="Calibri"/>
          <w:b/>
          <w:bCs/>
          <w:sz w:val="26"/>
          <w:u w:val="single"/>
        </w:rPr>
        <w:t>contract</w:t>
      </w:r>
      <w:r w:rsidRPr="009129DB">
        <w:rPr>
          <w:rFonts w:eastAsia="Calibri"/>
          <w:sz w:val="14"/>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9129DB">
        <w:rPr>
          <w:rFonts w:eastAsia="Calibri"/>
          <w:b/>
          <w:bCs/>
          <w:sz w:val="26"/>
          <w:highlight w:val="yellow"/>
          <w:u w:val="single"/>
        </w:rPr>
        <w:t>The</w:t>
      </w:r>
      <w:r w:rsidRPr="009129DB">
        <w:rPr>
          <w:rFonts w:eastAsia="Calibri"/>
          <w:b/>
          <w:bCs/>
          <w:sz w:val="26"/>
          <w:u w:val="single"/>
        </w:rPr>
        <w:t xml:space="preserve"> social </w:t>
      </w:r>
      <w:r w:rsidRPr="009129DB">
        <w:rPr>
          <w:rFonts w:eastAsia="Calibri"/>
          <w:b/>
          <w:bCs/>
          <w:sz w:val="26"/>
          <w:highlight w:val="yellow"/>
          <w:u w:val="single"/>
        </w:rPr>
        <w:t>contract is necessary</w:t>
      </w:r>
      <w:r w:rsidRPr="009129DB">
        <w:rPr>
          <w:rFonts w:eastAsia="Calibri"/>
          <w:b/>
          <w:bCs/>
          <w:sz w:val="26"/>
          <w:u w:val="single"/>
        </w:rPr>
        <w:t xml:space="preserve">, as I will argue in the next section, </w:t>
      </w:r>
      <w:r w:rsidRPr="009129DB">
        <w:rPr>
          <w:rFonts w:eastAsia="Calibri"/>
          <w:b/>
          <w:bCs/>
          <w:sz w:val="26"/>
          <w:highlight w:val="yellow"/>
          <w:u w:val="single"/>
        </w:rPr>
        <w:t>for</w:t>
      </w:r>
      <w:r w:rsidRPr="009129DB">
        <w:rPr>
          <w:rFonts w:eastAsia="Calibri"/>
          <w:b/>
          <w:bCs/>
          <w:sz w:val="26"/>
          <w:u w:val="single"/>
        </w:rPr>
        <w:t xml:space="preserve"> its </w:t>
      </w:r>
      <w:r w:rsidRPr="009129DB">
        <w:rPr>
          <w:rFonts w:eastAsia="Calibri"/>
          <w:b/>
          <w:bCs/>
          <w:sz w:val="26"/>
          <w:highlight w:val="yellow"/>
          <w:u w:val="single"/>
        </w:rPr>
        <w:t>coordinating</w:t>
      </w:r>
      <w:r w:rsidRPr="009129DB">
        <w:rPr>
          <w:rFonts w:eastAsia="Calibri"/>
          <w:b/>
          <w:bCs/>
          <w:sz w:val="26"/>
          <w:u w:val="single"/>
        </w:rPr>
        <w:t xml:space="preserve">, assuring, and specifying </w:t>
      </w:r>
      <w:r w:rsidRPr="009129DB">
        <w:rPr>
          <w:rFonts w:eastAsia="Calibri"/>
          <w:b/>
          <w:bCs/>
          <w:sz w:val="26"/>
          <w:highlight w:val="yellow"/>
          <w:u w:val="single"/>
        </w:rPr>
        <w:t>functions</w:t>
      </w:r>
      <w:r w:rsidRPr="009129DB">
        <w:rPr>
          <w:rFonts w:eastAsia="Calibri"/>
          <w:sz w:val="14"/>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RPr="009129DB">
        <w:rPr>
          <w:rFonts w:eastAsia="Calibri"/>
          <w:b/>
          <w:bCs/>
          <w:sz w:val="26"/>
          <w:highlight w:val="yellow"/>
          <w:u w:val="single"/>
        </w:rPr>
        <w:t>it is a "pledge of reciprocal usefulness neither to harm one another nor be harmed</w:t>
      </w:r>
      <w:r w:rsidRPr="009129DB">
        <w:rPr>
          <w:rFonts w:eastAsia="Calibri"/>
          <w:sz w:val="14"/>
        </w:rPr>
        <w:t>" (KD 35). To be consistent with Epicurean practical rationality, then, the contract must secure benefits that would not be possible without the contract. If, however, one only has reason to enter into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1D79EC38" w14:textId="77777777" w:rsidR="00AC1BA9" w:rsidRPr="009129DB" w:rsidRDefault="00AC1BA9" w:rsidP="00AC1BA9">
      <w:pPr>
        <w:keepNext/>
        <w:keepLines/>
        <w:spacing w:before="40"/>
        <w:outlineLvl w:val="3"/>
        <w:rPr>
          <w:b/>
          <w:iCs/>
          <w:sz w:val="26"/>
        </w:rPr>
      </w:pPr>
      <w:r>
        <w:rPr>
          <w:b/>
          <w:iCs/>
          <w:sz w:val="26"/>
        </w:rPr>
        <w:t xml:space="preserve">2] </w:t>
      </w:r>
      <w:r w:rsidRPr="009129DB">
        <w:rPr>
          <w:b/>
          <w:iCs/>
          <w:sz w:val="26"/>
        </w:rPr>
        <w:t>Utilitarianism requires a system of individual preference in order to be normative, which means my framework is a prior question.</w:t>
      </w:r>
    </w:p>
    <w:p w14:paraId="6967EDD1" w14:textId="77777777" w:rsidR="00AC1BA9" w:rsidRPr="009129DB" w:rsidRDefault="00AC1BA9" w:rsidP="00AC1BA9">
      <w:pPr>
        <w:rPr>
          <w:sz w:val="18"/>
          <w:szCs w:val="18"/>
        </w:rPr>
      </w:pPr>
      <w:r w:rsidRPr="009129DB">
        <w:rPr>
          <w:rFonts w:eastAsia="Calibri"/>
          <w:b/>
          <w:bCs/>
          <w:sz w:val="26"/>
          <w:u w:val="single"/>
        </w:rPr>
        <w:t>Gauthier</w:t>
      </w:r>
      <w:r w:rsidRPr="009129DB">
        <w:rPr>
          <w:sz w:val="18"/>
          <w:szCs w:val="18"/>
        </w:rPr>
        <w:t xml:space="preserve">, David P. </w:t>
      </w:r>
      <w:r w:rsidRPr="009129DB">
        <w:rPr>
          <w:i/>
          <w:sz w:val="18"/>
          <w:szCs w:val="18"/>
        </w:rPr>
        <w:t>Morals by Agreement</w:t>
      </w:r>
      <w:r w:rsidRPr="009129DB">
        <w:rPr>
          <w:sz w:val="18"/>
          <w:szCs w:val="18"/>
        </w:rPr>
        <w:t xml:space="preserve">. Oxford: Clarendon, </w:t>
      </w:r>
      <w:r w:rsidRPr="009129DB">
        <w:rPr>
          <w:rFonts w:eastAsia="Calibri"/>
          <w:b/>
          <w:bCs/>
          <w:sz w:val="26"/>
          <w:u w:val="single"/>
        </w:rPr>
        <w:t>1986</w:t>
      </w:r>
      <w:r w:rsidRPr="009129DB">
        <w:rPr>
          <w:sz w:val="18"/>
          <w:szCs w:val="18"/>
        </w:rPr>
        <w:t>. Print ///AHS PB BRACKETED FOR CLARITY</w:t>
      </w:r>
    </w:p>
    <w:p w14:paraId="531B6416" w14:textId="77777777" w:rsidR="00AC1BA9" w:rsidRDefault="00AC1BA9" w:rsidP="00AC1BA9">
      <w:pPr>
        <w:rPr>
          <w:rFonts w:eastAsia="Calibri"/>
          <w:sz w:val="14"/>
        </w:rPr>
      </w:pPr>
      <w:r w:rsidRPr="009129DB">
        <w:rPr>
          <w:rFonts w:eastAsia="Calibri"/>
          <w:sz w:val="14"/>
        </w:rPr>
        <w:t xml:space="preserve">A position both subjectivist and absolutist seems implicit in the views of many defenders of one of the most influential modern moral theories, </w:t>
      </w:r>
      <w:r w:rsidRPr="009129DB">
        <w:rPr>
          <w:rFonts w:eastAsia="Calibri"/>
          <w:b/>
          <w:bCs/>
          <w:sz w:val="26"/>
          <w:highlight w:val="yellow"/>
          <w:u w:val="single"/>
        </w:rPr>
        <w:t>utilitarianism</w:t>
      </w:r>
      <w:r w:rsidRPr="009129DB">
        <w:rPr>
          <w:rFonts w:eastAsia="Calibri"/>
          <w:sz w:val="14"/>
        </w:rPr>
        <w:t xml:space="preserve">. John Stuart Mill suggests such a position in his attempt to offer a sort of proof for the principle of utility - </w:t>
      </w:r>
      <w:r w:rsidRPr="009129DB">
        <w:rPr>
          <w:rFonts w:eastAsia="Calibri"/>
          <w:b/>
          <w:bCs/>
          <w:sz w:val="26"/>
          <w:u w:val="single"/>
        </w:rPr>
        <w:t>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RPr="009129DB">
        <w:rPr>
          <w:rFonts w:eastAsia="Calibri"/>
          <w:sz w:val="14"/>
        </w:rPr>
        <w:t xml:space="preserve"> of subjectivism and absolutism noticeable in Mill's own statement, </w:t>
      </w:r>
      <w:r w:rsidRPr="009129DB">
        <w:rPr>
          <w:rFonts w:eastAsia="Calibri"/>
          <w:b/>
          <w:bCs/>
          <w:sz w:val="26"/>
          <w:u w:val="single"/>
        </w:rPr>
        <w:t xml:space="preserve">which in </w:t>
      </w:r>
      <w:r w:rsidRPr="009129DB">
        <w:rPr>
          <w:rFonts w:eastAsia="Calibri"/>
          <w:b/>
          <w:bCs/>
          <w:sz w:val="26"/>
          <w:highlight w:val="yellow"/>
          <w:u w:val="single"/>
        </w:rPr>
        <w:t xml:space="preserve">passing from a seemingly relativist </w:t>
      </w:r>
      <w:proofErr w:type="spellStart"/>
      <w:r w:rsidRPr="009129DB">
        <w:rPr>
          <w:rFonts w:eastAsia="Calibri"/>
          <w:b/>
          <w:bCs/>
          <w:sz w:val="26"/>
          <w:highlight w:val="yellow"/>
          <w:u w:val="single"/>
        </w:rPr>
        <w:t>premiss</w:t>
      </w:r>
      <w:proofErr w:type="spellEnd"/>
      <w:r w:rsidRPr="009129DB">
        <w:rPr>
          <w:rFonts w:eastAsia="Calibri"/>
          <w:b/>
          <w:bCs/>
          <w:sz w:val="26"/>
          <w:highlight w:val="yellow"/>
          <w:u w:val="single"/>
        </w:rPr>
        <w:t xml:space="preserve"> (that each person's happiness is a good to that person) to an absolutist conclusion (that the general happiness is a good to all persons) </w:t>
      </w:r>
      <w:r w:rsidRPr="009129DB">
        <w:rPr>
          <w:rFonts w:eastAsia="Calibri"/>
          <w:b/>
          <w:bCs/>
          <w:sz w:val="26"/>
          <w:u w:val="single"/>
        </w:rPr>
        <w:t xml:space="preserve">has generally been held to </w:t>
      </w:r>
      <w:r w:rsidRPr="009129DB">
        <w:rPr>
          <w:rFonts w:eastAsia="Calibri"/>
          <w:b/>
          <w:bCs/>
          <w:sz w:val="26"/>
          <w:highlight w:val="yellow"/>
          <w:u w:val="single"/>
        </w:rPr>
        <w:t>exemplify the fallacy of composition</w:t>
      </w:r>
      <w:r w:rsidRPr="009129DB">
        <w:rPr>
          <w:rFonts w:eastAsia="Calibri"/>
          <w:sz w:val="14"/>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If however utilitarianism remains true to its roots in the economic conception of rationality, then either subjectivism or absolutism gives way. On the one hand value may be conceived as relative, but a special form of value, </w:t>
      </w:r>
      <w:r w:rsidRPr="009129DB">
        <w:rPr>
          <w:rFonts w:eastAsia="Calibri"/>
          <w:b/>
          <w:bCs/>
          <w:sz w:val="26"/>
          <w:highlight w:val="yellow"/>
          <w:u w:val="single"/>
        </w:rPr>
        <w:t>moral value</w:t>
      </w:r>
      <w:r w:rsidRPr="009129DB">
        <w:rPr>
          <w:rFonts w:eastAsia="Calibri"/>
          <w:sz w:val="14"/>
        </w:rPr>
        <w:t xml:space="preserve">, is introduced, which </w:t>
      </w:r>
      <w:r w:rsidRPr="009129DB">
        <w:rPr>
          <w:rFonts w:eastAsia="Calibri"/>
          <w:b/>
          <w:bCs/>
          <w:sz w:val="26"/>
          <w:highlight w:val="yellow"/>
          <w:u w:val="single"/>
        </w:rPr>
        <w:t>is the measure of those considered preferences held from a standpoint</w:t>
      </w:r>
      <w:r w:rsidRPr="009129DB">
        <w:rPr>
          <w:rFonts w:eastAsia="Calibri"/>
          <w:b/>
          <w:bCs/>
          <w:sz w:val="26"/>
          <w:u w:val="single"/>
        </w:rPr>
        <w:t xml:space="preserve"> specially constrained to ensure impartiality</w:t>
      </w:r>
      <w:r w:rsidRPr="009129DB">
        <w:rPr>
          <w:rFonts w:eastAsia="Calibri"/>
          <w:sz w:val="14"/>
        </w:rPr>
        <w:t xml:space="preserve">. On the other hand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w:t>
      </w:r>
      <w:proofErr w:type="spellStart"/>
      <w:r w:rsidRPr="009129DB">
        <w:rPr>
          <w:rFonts w:eastAsia="Calibri"/>
          <w:sz w:val="14"/>
        </w:rPr>
        <w:t>centimetre</w:t>
      </w:r>
      <w:proofErr w:type="spellEnd"/>
      <w:r w:rsidRPr="009129DB">
        <w:rPr>
          <w:rFonts w:eastAsia="Calibri"/>
          <w:sz w:val="14"/>
        </w:rPr>
        <w:t>. But we shall of course give more serious attention, especially to the second of the above ways of defending utilitarianism, as we continue the exposition of our own theory.</w:t>
      </w:r>
    </w:p>
    <w:p w14:paraId="5CDB6ED1" w14:textId="37A356EC" w:rsidR="00AC1BA9" w:rsidRDefault="00AC1BA9" w:rsidP="00AC1BA9">
      <w:pPr>
        <w:pStyle w:val="Heading4"/>
        <w:rPr>
          <w:rFonts w:cs="Calibri"/>
        </w:rPr>
      </w:pPr>
      <w:r>
        <w:rPr>
          <w:rFonts w:eastAsia="Calibri"/>
        </w:rPr>
        <w:t xml:space="preserve">3] </w:t>
      </w:r>
      <w:r w:rsidRPr="00DB30A0">
        <w:rPr>
          <w:rFonts w:cs="Calibri"/>
        </w:rPr>
        <w:t xml:space="preserve">Bindingness – </w:t>
      </w:r>
    </w:p>
    <w:p w14:paraId="6937250F" w14:textId="77777777" w:rsidR="00AC1BA9" w:rsidRDefault="00AC1BA9" w:rsidP="00AC1BA9">
      <w:pPr>
        <w:pStyle w:val="Heading4"/>
      </w:pPr>
      <w:r>
        <w:t xml:space="preserve">That Negates- </w:t>
      </w:r>
    </w:p>
    <w:p w14:paraId="0395A830" w14:textId="77777777" w:rsidR="00AC1BA9" w:rsidRDefault="00AC1BA9" w:rsidP="00AC1BA9">
      <w:pPr>
        <w:pStyle w:val="Heading4"/>
        <w:rPr>
          <w:rFonts w:cs="Calibri"/>
        </w:rPr>
      </w:pPr>
      <w:r w:rsidRPr="00DB30A0">
        <w:rPr>
          <w:rFonts w:cs="Calibri"/>
        </w:rPr>
        <w:t>[</w:t>
      </w:r>
      <w:r>
        <w:rPr>
          <w:rFonts w:cs="Calibri"/>
        </w:rPr>
        <w:t>1</w:t>
      </w:r>
      <w:r w:rsidRPr="00DB30A0">
        <w:rPr>
          <w:rFonts w:cs="Calibri"/>
        </w:rPr>
        <w:t xml:space="preserve">] </w:t>
      </w:r>
      <w:r>
        <w:rPr>
          <w:rFonts w:cs="Calibri"/>
        </w:rPr>
        <w:t>Stronger IPRs help equalize the bargaining field for developing countries</w:t>
      </w:r>
      <w:r w:rsidRPr="00DB30A0">
        <w:rPr>
          <w:rFonts w:cs="Calibri"/>
        </w:rPr>
        <w:t xml:space="preserve"> to check </w:t>
      </w:r>
      <w:r>
        <w:rPr>
          <w:rFonts w:cs="Calibri"/>
        </w:rPr>
        <w:t>western</w:t>
      </w:r>
      <w:r w:rsidRPr="00DB30A0">
        <w:rPr>
          <w:rFonts w:cs="Calibri"/>
        </w:rPr>
        <w:t xml:space="preserve"> coercion which</w:t>
      </w:r>
      <w:r>
        <w:rPr>
          <w:rFonts w:cs="Calibri"/>
        </w:rPr>
        <w:t xml:space="preserve"> would</w:t>
      </w:r>
      <w:r w:rsidRPr="00DB30A0">
        <w:rPr>
          <w:rFonts w:cs="Calibri"/>
        </w:rPr>
        <w:t xml:space="preserve"> diminish their place as world enforcer</w:t>
      </w:r>
      <w:r>
        <w:rPr>
          <w:rFonts w:cs="Calibri"/>
        </w:rPr>
        <w:t>. Therefore, i</w:t>
      </w:r>
      <w:r w:rsidRPr="00DB30A0">
        <w:rPr>
          <w:rFonts w:cs="Calibri"/>
        </w:rPr>
        <w:t xml:space="preserve">t’s not in mutual self-interest for </w:t>
      </w:r>
      <w:r>
        <w:rPr>
          <w:rFonts w:cs="Calibri"/>
        </w:rPr>
        <w:t>them</w:t>
      </w:r>
      <w:r w:rsidRPr="00DB30A0">
        <w:rPr>
          <w:rFonts w:cs="Calibri"/>
        </w:rPr>
        <w:t xml:space="preserve"> to remove IPs because </w:t>
      </w:r>
      <w:r>
        <w:rPr>
          <w:rFonts w:cs="Calibri"/>
        </w:rPr>
        <w:t>they</w:t>
      </w:r>
      <w:r w:rsidRPr="00DB30A0">
        <w:rPr>
          <w:rFonts w:cs="Calibri"/>
        </w:rPr>
        <w:t xml:space="preserve"> want to keep their own economies ahead of others. </w:t>
      </w:r>
    </w:p>
    <w:p w14:paraId="1F61F6F5" w14:textId="77777777" w:rsidR="00AC1BA9" w:rsidRPr="00965C91" w:rsidRDefault="00AC1BA9" w:rsidP="00AC1BA9">
      <w:r w:rsidRPr="00965C91">
        <w:rPr>
          <w:b/>
          <w:bCs/>
          <w:sz w:val="26"/>
          <w:szCs w:val="26"/>
        </w:rPr>
        <w:t>Hassan et al 10</w:t>
      </w:r>
      <w:r w:rsidRPr="00965C91">
        <w:t xml:space="preserve"> “Intellectual Property and Developing Countries: A review of the literature: by Emmanuel Hassan, </w:t>
      </w:r>
      <w:proofErr w:type="spellStart"/>
      <w:r w:rsidRPr="00965C91">
        <w:t>Ohid</w:t>
      </w:r>
      <w:proofErr w:type="spellEnd"/>
      <w:r w:rsidRPr="00965C91">
        <w:t xml:space="preserve"> </w:t>
      </w:r>
      <w:proofErr w:type="spellStart"/>
      <w:r w:rsidRPr="00965C91">
        <w:t>Yaqub</w:t>
      </w:r>
      <w:proofErr w:type="spellEnd"/>
      <w:r w:rsidRPr="00965C91">
        <w:t xml:space="preserve">, Stephanie </w:t>
      </w:r>
      <w:proofErr w:type="spellStart"/>
      <w:r w:rsidRPr="00965C91">
        <w:t>Diepeveen</w:t>
      </w:r>
      <w:proofErr w:type="spellEnd"/>
      <w:r w:rsidRPr="00965C91">
        <w:t xml:space="preserve">. RAND Corporation is a nonprofit research organization providing objective analysis and effective solutions that address the challenges facing the public and private sectors around the world. [https://www.rand.org/content/dam/rand/pubs/technical_reports/2010/RAND_TR804.pdf] // </w:t>
      </w:r>
      <w:proofErr w:type="spellStart"/>
      <w:r w:rsidRPr="00965C91">
        <w:t>ahs</w:t>
      </w:r>
      <w:proofErr w:type="spellEnd"/>
      <w:r w:rsidRPr="00965C91">
        <w:t xml:space="preserve"> </w:t>
      </w:r>
      <w:proofErr w:type="spellStart"/>
      <w:r w:rsidRPr="00965C91">
        <w:t>emi</w:t>
      </w:r>
      <w:proofErr w:type="spellEnd"/>
    </w:p>
    <w:p w14:paraId="0C4BCD5A" w14:textId="77777777" w:rsidR="00AC1BA9" w:rsidRPr="00FE6EA2" w:rsidRDefault="00AC1BA9" w:rsidP="00AC1BA9">
      <w:pPr>
        <w:rPr>
          <w:sz w:val="14"/>
        </w:rPr>
      </w:pPr>
      <w:r w:rsidRPr="00965C91">
        <w:rPr>
          <w:sz w:val="14"/>
        </w:rPr>
        <w:t xml:space="preserve">Commonly, FDI and trade are seen as key determinants for economic development and poverty reduction in developing countries. Inward FDI can generate important spillovers for developing economies, resulting in the upgrading of domestic innovative capacity, increased R&amp;D employment, better training and support to education. For most developing countries, international trade allows them to acquire high value-added goods through importation that are necessary for economic development, but which are not produced domestically. In turn, exports allow developing countries to transform </w:t>
      </w:r>
      <w:proofErr w:type="spellStart"/>
      <w:r w:rsidRPr="00965C91">
        <w:rPr>
          <w:sz w:val="14"/>
        </w:rPr>
        <w:t>underutilised</w:t>
      </w:r>
      <w:proofErr w:type="spellEnd"/>
      <w:r w:rsidRPr="00965C91">
        <w:rPr>
          <w:sz w:val="14"/>
        </w:rPr>
        <w:t xml:space="preserve"> natural resources and surplus </w:t>
      </w:r>
      <w:proofErr w:type="spellStart"/>
      <w:r w:rsidRPr="00965C91">
        <w:rPr>
          <w:sz w:val="14"/>
        </w:rPr>
        <w:t>labour</w:t>
      </w:r>
      <w:proofErr w:type="spellEnd"/>
      <w:r w:rsidRPr="00965C91">
        <w:rPr>
          <w:sz w:val="14"/>
        </w:rPr>
        <w:t xml:space="preserve"> into foreign exchange, in order to pay for imports to support economic growth. Consequently, a central aim of the literature has been to examine how </w:t>
      </w:r>
      <w:r w:rsidRPr="00965C91">
        <w:rPr>
          <w:rStyle w:val="StyleUnderline"/>
          <w:highlight w:val="yellow"/>
        </w:rPr>
        <w:t>stronger IPRs in developing</w:t>
      </w:r>
      <w:r w:rsidRPr="00965C91">
        <w:rPr>
          <w:rStyle w:val="StyleUnderline"/>
        </w:rPr>
        <w:t xml:space="preserve"> countries can </w:t>
      </w:r>
      <w:r w:rsidRPr="00965C91">
        <w:rPr>
          <w:rStyle w:val="StyleUnderline"/>
          <w:highlight w:val="yellow"/>
        </w:rPr>
        <w:t xml:space="preserve">give incentives to firms in developed countries to undertake </w:t>
      </w:r>
      <w:r w:rsidRPr="00965C91">
        <w:rPr>
          <w:rStyle w:val="StyleUnderline"/>
        </w:rPr>
        <w:t xml:space="preserve">cross-border </w:t>
      </w:r>
      <w:r w:rsidRPr="00965C91">
        <w:rPr>
          <w:rStyle w:val="StyleUnderline"/>
          <w:highlight w:val="yellow"/>
        </w:rPr>
        <w:t xml:space="preserve">investment </w:t>
      </w:r>
      <w:r w:rsidRPr="00965C91">
        <w:rPr>
          <w:rStyle w:val="StyleUnderline"/>
        </w:rPr>
        <w:t xml:space="preserve">in, </w:t>
      </w:r>
      <w:r w:rsidRPr="00965C91">
        <w:rPr>
          <w:rStyle w:val="StyleUnderline"/>
          <w:highlight w:val="yellow"/>
        </w:rPr>
        <w:t>and</w:t>
      </w:r>
      <w:r w:rsidRPr="00965C91">
        <w:rPr>
          <w:rStyle w:val="StyleUnderline"/>
        </w:rPr>
        <w:t xml:space="preserve"> to </w:t>
      </w:r>
      <w:r w:rsidRPr="00965C91">
        <w:rPr>
          <w:rStyle w:val="StyleUnderline"/>
          <w:highlight w:val="yellow"/>
        </w:rPr>
        <w:t>export their goods</w:t>
      </w:r>
      <w:r w:rsidRPr="00965C91">
        <w:rPr>
          <w:sz w:val="14"/>
        </w:rPr>
        <w:t xml:space="preserve"> to, these countries. Recalling the ambiguous relationship between IPRs and the individual strategies of single firms from a theoretical point of view, researchers have investigated empirically the effects of stronger IPRs on inward FDI in developing countries and exports from developed to developing countries. The empirical </w:t>
      </w:r>
      <w:r w:rsidRPr="00965C91">
        <w:rPr>
          <w:rStyle w:val="StyleUnderline"/>
          <w:highlight w:val="yellow"/>
        </w:rPr>
        <w:t>evidence suggests that</w:t>
      </w:r>
      <w:r w:rsidRPr="00965C91">
        <w:rPr>
          <w:sz w:val="14"/>
        </w:rPr>
        <w:t xml:space="preserve"> </w:t>
      </w:r>
      <w:r w:rsidRPr="00965C91">
        <w:rPr>
          <w:rStyle w:val="StyleUnderline"/>
        </w:rPr>
        <w:t xml:space="preserve">stronger </w:t>
      </w:r>
      <w:r w:rsidRPr="00965C91">
        <w:rPr>
          <w:rStyle w:val="StyleUnderline"/>
          <w:highlight w:val="yellow"/>
        </w:rPr>
        <w:t>IPRs</w:t>
      </w:r>
      <w:r w:rsidRPr="00965C91">
        <w:rPr>
          <w:rStyle w:val="StyleUnderline"/>
        </w:rPr>
        <w:t xml:space="preserve"> </w:t>
      </w:r>
      <w:r w:rsidRPr="00965C91">
        <w:rPr>
          <w:rStyle w:val="StyleUnderline"/>
          <w:highlight w:val="yellow"/>
        </w:rPr>
        <w:t>may positively affect the volume of FDI and exports</w:t>
      </w:r>
      <w:r w:rsidRPr="00965C91">
        <w:rPr>
          <w:rStyle w:val="StyleUnderline"/>
        </w:rPr>
        <w:t xml:space="preserve">, particularly in countries with strong technical absorptive capabilities </w:t>
      </w:r>
      <w:r w:rsidRPr="00965C91">
        <w:rPr>
          <w:rStyle w:val="StyleUnderline"/>
          <w:highlight w:val="yellow"/>
        </w:rPr>
        <w:t>where the risk of imitation is high. When</w:t>
      </w:r>
      <w:r w:rsidRPr="00965C91">
        <w:rPr>
          <w:rStyle w:val="StyleUnderline"/>
        </w:rPr>
        <w:t xml:space="preserve"> such </w:t>
      </w:r>
      <w:r w:rsidRPr="00965C91">
        <w:rPr>
          <w:rStyle w:val="StyleUnderline"/>
          <w:highlight w:val="yellow"/>
        </w:rPr>
        <w:t>risk is weak,</w:t>
      </w:r>
      <w:r w:rsidRPr="00965C91">
        <w:rPr>
          <w:rStyle w:val="StyleUnderline"/>
        </w:rPr>
        <w:t xml:space="preserve"> particularly in the poorest countries, firms in developed countries do not seem to be sensitive to the level of protection in developing countries.</w:t>
      </w:r>
      <w:r w:rsidRPr="00965C91">
        <w:rPr>
          <w:sz w:val="14"/>
        </w:rPr>
        <w:t xml:space="preserve"> Using disaggregated data on FDI and trade, the empirical literature also shows that stronger IPRs impact on the composition of FDI and trade. First, stronger IPRs seem to encourage FDI in production and R&amp;D rather than in sales and distribution. Second – and more surprisingly – stronger IPRs do not have any effect on the exports of </w:t>
      </w:r>
      <w:proofErr w:type="spellStart"/>
      <w:r w:rsidRPr="00965C91">
        <w:rPr>
          <w:sz w:val="14"/>
        </w:rPr>
        <w:t>hightechnology</w:t>
      </w:r>
      <w:proofErr w:type="spellEnd"/>
      <w:r w:rsidRPr="00965C91">
        <w:rPr>
          <w:sz w:val="14"/>
        </w:rPr>
        <w:t xml:space="preserve"> products. There are at least two explanations for this somewhat surprising result. Many high-tech products are difficult to imitate, thereby international trade for these products is less sensitive to the level of protection than for other products. Furthermore, firms in developed countries may choose to distribute their high-tech products through FDI or licensing, instead of exporting them directly. Intellectual property rights, international technology transfer and domestic innovation Increasingly, harnessing technological progress is viewed by policymakers as a key priority to boost economic growth and improve living standards. In an open economy, technological progress can be driven either by technology diffusion or technology creation. In less advanced economies, technology absorption can drive economic growth because countries at the forefront of technology act as a driver for growth by expanding the stock of scientific and technological knowledge, pulling other countries through a ‘catch-up’ effect. However, the strength of this ‘catch-up’ effect at the technology frontier decreases with the level of technological development, to the benefit of technology creation. Indeed, technology creation by domestic firms becomes progressively more important as a country moves closer to the technology frontier, because catching up with the frontier translates into increasingly smaller technological improvement</w:t>
      </w:r>
      <w:r w:rsidRPr="00965C91">
        <w:rPr>
          <w:rStyle w:val="StyleUnderline"/>
        </w:rPr>
        <w:t>. The empirical literature has examined the effects of IPRs on technological progress through these two main channels: technology absorption (i.e. international technology transfer) and technology creation (i.e. domestic innovation).</w:t>
      </w:r>
      <w:r w:rsidRPr="00965C91">
        <w:rPr>
          <w:sz w:val="14"/>
        </w:rPr>
        <w:t xml:space="preserve"> The empirical evidence suggests that </w:t>
      </w:r>
      <w:r w:rsidRPr="00965C91">
        <w:rPr>
          <w:rStyle w:val="StyleUnderline"/>
          <w:highlight w:val="yellow"/>
        </w:rPr>
        <w:t>stronger IPRs</w:t>
      </w:r>
      <w:r w:rsidRPr="00965C91">
        <w:rPr>
          <w:rStyle w:val="StyleUnderline"/>
        </w:rPr>
        <w:t xml:space="preserve"> in developing countries may </w:t>
      </w:r>
      <w:r w:rsidRPr="00965C91">
        <w:rPr>
          <w:rStyle w:val="StyleUnderline"/>
          <w:highlight w:val="yellow"/>
        </w:rPr>
        <w:t>encourage international technology transfer</w:t>
      </w:r>
      <w:r w:rsidRPr="00965C91">
        <w:rPr>
          <w:sz w:val="14"/>
        </w:rPr>
        <w:t xml:space="preserve"> through market-based channels,1 particularly licensing, at least in countries with strong technical absorptive capacities. In the context of strong IPRs, </w:t>
      </w:r>
      <w:r w:rsidRPr="00965C91">
        <w:rPr>
          <w:rStyle w:val="StyleUnderline"/>
          <w:highlight w:val="yellow"/>
        </w:rPr>
        <w:t>firms</w:t>
      </w:r>
      <w:r w:rsidRPr="00965C91">
        <w:rPr>
          <w:rStyle w:val="StyleUnderline"/>
        </w:rPr>
        <w:t xml:space="preserve"> in developed countries </w:t>
      </w:r>
      <w:r w:rsidRPr="00965C91">
        <w:rPr>
          <w:rStyle w:val="StyleUnderline"/>
          <w:highlight w:val="yellow"/>
        </w:rPr>
        <w:t>are more inclined to transfer</w:t>
      </w:r>
      <w:r w:rsidRPr="00965C91">
        <w:rPr>
          <w:rStyle w:val="StyleUnderline"/>
        </w:rPr>
        <w:t xml:space="preserve"> </w:t>
      </w:r>
      <w:r w:rsidRPr="00965C91">
        <w:rPr>
          <w:sz w:val="14"/>
        </w:rPr>
        <w:t xml:space="preserve">their technologies to developing countries through licensing rather than through exports and FDI, </w:t>
      </w:r>
      <w:r w:rsidRPr="00965C91">
        <w:rPr>
          <w:rStyle w:val="StyleUnderline"/>
          <w:highlight w:val="yellow"/>
        </w:rPr>
        <w:t>since such rights allow them to retain control</w:t>
      </w:r>
      <w:r w:rsidRPr="00965C91">
        <w:rPr>
          <w:rStyle w:val="StyleUnderline"/>
        </w:rPr>
        <w:t xml:space="preserve"> over their technologies. In the presence of weak IPRs, multinationals in developed countries seem to prefer to retain control over their technologies</w:t>
      </w:r>
      <w:r w:rsidRPr="00965C91">
        <w:rPr>
          <w:sz w:val="14"/>
        </w:rPr>
        <w:t xml:space="preserve"> through intra-firm trade with their foreign affiliates in developing countries or FDI. Nevertheless, the historical evidence shows that many developing countries have benefited from international technology transfer through non-market-based channels, especially reverse engineering and imitation, thanks to weak IPR regimes. The empirical literature </w:t>
      </w:r>
      <w:r w:rsidRPr="00965C91">
        <w:rPr>
          <w:rStyle w:val="StyleUnderline"/>
          <w:highlight w:val="yellow"/>
        </w:rPr>
        <w:t>also shows that</w:t>
      </w:r>
      <w:r w:rsidRPr="00965C91">
        <w:rPr>
          <w:sz w:val="14"/>
        </w:rPr>
        <w:t xml:space="preserve"> </w:t>
      </w:r>
      <w:r w:rsidRPr="00965C91">
        <w:rPr>
          <w:rStyle w:val="StyleUnderline"/>
        </w:rPr>
        <w:t xml:space="preserve">stronger IPRs </w:t>
      </w:r>
      <w:r w:rsidRPr="00965C91">
        <w:rPr>
          <w:rStyle w:val="StyleUnderline"/>
          <w:highlight w:val="yellow"/>
        </w:rPr>
        <w:t>can encourage domestic innovation</w:t>
      </w:r>
      <w:r w:rsidRPr="00965C91">
        <w:rPr>
          <w:sz w:val="14"/>
        </w:rPr>
        <w:t xml:space="preserve">, at least in emerging </w:t>
      </w:r>
      <w:proofErr w:type="spellStart"/>
      <w:r w:rsidRPr="00965C91">
        <w:rPr>
          <w:sz w:val="14"/>
        </w:rPr>
        <w:t>industrialised</w:t>
      </w:r>
      <w:proofErr w:type="spellEnd"/>
      <w:r w:rsidRPr="00965C91">
        <w:rPr>
          <w:sz w:val="14"/>
        </w:rPr>
        <w:t xml:space="preserve"> economies. Nevertheless, the empirical literature suggests the existence of a non-linear function (i.e. a U-shaped curve) between IPRs and economic development, which initially falls as income rises, then increases after that.</w:t>
      </w:r>
    </w:p>
    <w:p w14:paraId="5311BFF3" w14:textId="77777777" w:rsidR="00AC1BA9" w:rsidRPr="00DB30A0" w:rsidRDefault="00AC1BA9" w:rsidP="00AC1BA9">
      <w:pPr>
        <w:pStyle w:val="Heading4"/>
        <w:rPr>
          <w:rFonts w:cs="Calibri"/>
        </w:rPr>
      </w:pPr>
      <w:r w:rsidRPr="00DB30A0">
        <w:rPr>
          <w:rFonts w:cs="Calibri"/>
        </w:rPr>
        <w:t>[</w:t>
      </w:r>
      <w:r>
        <w:rPr>
          <w:rFonts w:cs="Calibri"/>
        </w:rPr>
        <w:t>2</w:t>
      </w:r>
      <w:r w:rsidRPr="00DB30A0">
        <w:rPr>
          <w:rFonts w:cs="Calibri"/>
        </w:rPr>
        <w:t xml:space="preserve">] IP rights are included in multiple international contracts – the </w:t>
      </w:r>
      <w:proofErr w:type="spellStart"/>
      <w:r w:rsidRPr="00DB30A0">
        <w:rPr>
          <w:rFonts w:cs="Calibri"/>
        </w:rPr>
        <w:t>aff</w:t>
      </w:r>
      <w:proofErr w:type="spellEnd"/>
      <w:r w:rsidRPr="00DB30A0">
        <w:rPr>
          <w:rFonts w:cs="Calibri"/>
        </w:rPr>
        <w:t xml:space="preserve"> violates that.</w:t>
      </w:r>
    </w:p>
    <w:p w14:paraId="6AFDA757" w14:textId="77777777" w:rsidR="00AC1BA9" w:rsidRPr="00DB30A0" w:rsidRDefault="00AC1BA9" w:rsidP="00AC1BA9">
      <w:r w:rsidRPr="00DB30A0">
        <w:rPr>
          <w:b/>
          <w:bCs/>
          <w:sz w:val="26"/>
          <w:szCs w:val="26"/>
        </w:rPr>
        <w:t>Franklin 13</w:t>
      </w:r>
      <w:r w:rsidRPr="00DB30A0">
        <w:t xml:space="preserve"> - “International Intellectual Property Law” by Jonathan Franklin* He earned his A.B., A.M. Anthropology and J.D. degrees from Stanford University and </w:t>
      </w:r>
      <w:proofErr w:type="spellStart"/>
      <w:r w:rsidRPr="00DB30A0">
        <w:t>M.Libr</w:t>
      </w:r>
      <w:proofErr w:type="spellEnd"/>
      <w:r w:rsidRPr="00DB30A0">
        <w:t xml:space="preserve">. with a Certificate in Law Librarianship from the University of Washington. Prior to the University of Washington, he spent five years as an reference librarian and foreign law selector at the University of Michigan Law Library. In law school, he was a Senior Editor of the Stanford Environmental Law Journal and a Note Editor for the Stanford Law Review. He is a member of the American Association of Law Libraries. [https://www.asil.org/sites/default/files/ERG_IP.pdf] // </w:t>
      </w:r>
      <w:proofErr w:type="spellStart"/>
      <w:r w:rsidRPr="00DB30A0">
        <w:t>ahs</w:t>
      </w:r>
      <w:proofErr w:type="spellEnd"/>
      <w:r w:rsidRPr="00DB30A0">
        <w:t xml:space="preserve"> </w:t>
      </w:r>
      <w:proofErr w:type="spellStart"/>
      <w:r w:rsidRPr="00DB30A0">
        <w:t>emi</w:t>
      </w:r>
      <w:proofErr w:type="spellEnd"/>
      <w:r w:rsidRPr="00DB30A0">
        <w:t xml:space="preserve"> </w:t>
      </w:r>
    </w:p>
    <w:p w14:paraId="20099B2F" w14:textId="77777777" w:rsidR="00AC1BA9" w:rsidRPr="00FE6EA2" w:rsidRDefault="00AC1BA9" w:rsidP="00AC1BA9">
      <w:pPr>
        <w:rPr>
          <w:sz w:val="12"/>
        </w:rPr>
      </w:pPr>
      <w:r w:rsidRPr="0099179C">
        <w:rPr>
          <w:sz w:val="12"/>
        </w:rPr>
        <w:t xml:space="preserve">The most important international </w:t>
      </w:r>
      <w:r w:rsidRPr="00DB30A0">
        <w:rPr>
          <w:rStyle w:val="StyleUnderline"/>
          <w:highlight w:val="yellow"/>
        </w:rPr>
        <w:t>agreements in intellectual property</w:t>
      </w:r>
      <w:r w:rsidRPr="0099179C">
        <w:rPr>
          <w:sz w:val="12"/>
        </w:rPr>
        <w:t xml:space="preserve"> law are listed here. Many of them are available in multiple formats, </w:t>
      </w:r>
      <w:r w:rsidRPr="00DB30A0">
        <w:rPr>
          <w:rStyle w:val="StyleUnderline"/>
          <w:highlight w:val="yellow"/>
        </w:rPr>
        <w:t>includ</w:t>
      </w:r>
      <w:r w:rsidRPr="0099179C">
        <w:rPr>
          <w:sz w:val="12"/>
        </w:rPr>
        <w:t>ing Microsoft Word, PDF, and HTML. In addition, This page was last updated February 8, 2013. 5 the links below link to the main pages for those treaties, rather than the HTML texts so that the reader can also find related protocols, notifications and signatories. ● Agreement on Trade-Related Aspects of Intellectual Property Rights ("</w:t>
      </w:r>
      <w:r w:rsidRPr="00DB30A0">
        <w:rPr>
          <w:rStyle w:val="StyleUnderline"/>
          <w:highlight w:val="yellow"/>
        </w:rPr>
        <w:t>TRIPS</w:t>
      </w:r>
      <w:r w:rsidRPr="0099179C">
        <w:rPr>
          <w:sz w:val="12"/>
        </w:rPr>
        <w:t xml:space="preserve">")(http://www.wto.org/english/docs_e/legal_e/legal_e.htm#TRIPs) ● Berne Convention for the Protection of Literary and Artistic Works (http://www.wipo.int/treaties/en/ip/berne/index.html) ● </w:t>
      </w:r>
      <w:r w:rsidRPr="00DB30A0">
        <w:rPr>
          <w:rStyle w:val="StyleUnderline"/>
          <w:highlight w:val="yellow"/>
        </w:rPr>
        <w:t>Hague Agreement</w:t>
      </w:r>
      <w:r w:rsidRPr="00DB30A0">
        <w:rPr>
          <w:rStyle w:val="StyleUnderline"/>
        </w:rPr>
        <w:t xml:space="preserve"> Concerning the Deposit of Industrial Designs</w:t>
      </w:r>
      <w:r w:rsidRPr="0099179C">
        <w:rPr>
          <w:sz w:val="12"/>
        </w:rPr>
        <w:t xml:space="preserve"> (http://www.wipo.int/hague/en/legal_texts/) ● International Convention for the Protection of New Varieties of Plants(http://www.upov.int/en/publications/conventions/index.html) ● </w:t>
      </w:r>
      <w:r w:rsidRPr="00DB30A0">
        <w:rPr>
          <w:rStyle w:val="StyleUnderline"/>
          <w:highlight w:val="yellow"/>
        </w:rPr>
        <w:t>Madrid Agreement</w:t>
      </w:r>
      <w:r w:rsidRPr="0099179C">
        <w:rPr>
          <w:sz w:val="12"/>
        </w:rPr>
        <w:t xml:space="preserve"> Concerning the International Registration of Trademark (http://www.wipo.int/madrid/en/legal_texts/) ● Paris Convention for the Protection of Industrial Property (http://www.wipo.int/treaties/en/ip/paris/index.html) ● </w:t>
      </w:r>
      <w:r w:rsidRPr="00DB30A0">
        <w:rPr>
          <w:rStyle w:val="StyleUnderline"/>
          <w:highlight w:val="yellow"/>
        </w:rPr>
        <w:t>Patent Cooperation Treaty</w:t>
      </w:r>
      <w:r w:rsidRPr="0099179C">
        <w:rPr>
          <w:sz w:val="12"/>
        </w:rPr>
        <w:t xml:space="preserve"> (http://www.wipo.int/pct/en/texts/index.htm) ● </w:t>
      </w:r>
      <w:r w:rsidRPr="00DB30A0">
        <w:rPr>
          <w:rStyle w:val="StyleUnderline"/>
          <w:highlight w:val="yellow"/>
        </w:rPr>
        <w:t>Trademark Law Treaty</w:t>
      </w:r>
      <w:r w:rsidRPr="0099179C">
        <w:rPr>
          <w:sz w:val="12"/>
        </w:rPr>
        <w:t xml:space="preserve"> (http://www.wipo.int/treaties/en/ip/tlt/index.html) ● </w:t>
      </w:r>
      <w:r w:rsidRPr="00DB30A0">
        <w:rPr>
          <w:rStyle w:val="StyleUnderline"/>
          <w:highlight w:val="yellow"/>
        </w:rPr>
        <w:t>Universal Copyright Convention</w:t>
      </w:r>
      <w:r w:rsidRPr="0099179C">
        <w:rPr>
          <w:sz w:val="12"/>
        </w:rPr>
        <w:t xml:space="preserve"> (http://portal.unesco.org/en/) For other substantive, registration and classification treaties, see the treaty sections at the World Intellectual Property Organization (WIPO) (http://www.wipo.int/clea/en/index.jsp), </w:t>
      </w:r>
      <w:proofErr w:type="spellStart"/>
      <w:r w:rsidRPr="0099179C">
        <w:rPr>
          <w:sz w:val="12"/>
        </w:rPr>
        <w:t>IPRsonline</w:t>
      </w:r>
      <w:proofErr w:type="spellEnd"/>
      <w:r w:rsidRPr="0099179C">
        <w:rPr>
          <w:sz w:val="12"/>
        </w:rPr>
        <w:t xml:space="preserve"> (http://www.iprsonline.org/legalinstruments/international.htm), the </w:t>
      </w:r>
      <w:proofErr w:type="spellStart"/>
      <w:r w:rsidRPr="0099179C">
        <w:rPr>
          <w:sz w:val="12"/>
        </w:rPr>
        <w:t>Compleat</w:t>
      </w:r>
      <w:proofErr w:type="spellEnd"/>
      <w:r w:rsidRPr="0099179C">
        <w:rPr>
          <w:sz w:val="12"/>
        </w:rPr>
        <w:t xml:space="preserve"> World Copyright Web site (http://www.compilerpress.ca/CW/multi_i.htm) and the intellectual property page at the Electronic Information System for International Law (EISIL) (http://www.eisil.org/). For bilateral treaties, one of the best sources is IPRsonline(http://www.iprsonline.org/legalinstruments/bilateral.htm). The focus of this Chapter is international law. Although it includes references to national domestic law (foreign law) </w:t>
      </w:r>
      <w:r w:rsidRPr="00DB30A0">
        <w:rPr>
          <w:rStyle w:val="StyleUnderline"/>
          <w:highlight w:val="yellow"/>
        </w:rPr>
        <w:t>and</w:t>
      </w:r>
      <w:r w:rsidRPr="0099179C">
        <w:rPr>
          <w:sz w:val="12"/>
        </w:rPr>
        <w:t xml:space="preserve"> comparative law sources, other sites comprehensively cover national domestic law, such as WIPO’s Collection of Laws for Electronic Access (CLEA)(http://www.wipo.int/clea/en/index.jsp) (which is also referred to as WIPO Lex) or UNESCO’s Collection of National Copyright Laws(http://portal.unesco.org/culture/en/). For </w:t>
      </w:r>
      <w:r w:rsidRPr="00DB30A0">
        <w:rPr>
          <w:rStyle w:val="StyleUnderline"/>
          <w:highlight w:val="yellow"/>
        </w:rPr>
        <w:t>additional</w:t>
      </w:r>
      <w:r w:rsidRPr="0099179C">
        <w:rPr>
          <w:sz w:val="12"/>
        </w:rPr>
        <w:t xml:space="preserve"> web sites that compile </w:t>
      </w:r>
      <w:r w:rsidRPr="00DB30A0">
        <w:rPr>
          <w:rStyle w:val="StyleUnderline"/>
          <w:highlight w:val="yellow"/>
        </w:rPr>
        <w:t>national</w:t>
      </w:r>
      <w:r w:rsidRPr="0099179C">
        <w:rPr>
          <w:sz w:val="12"/>
        </w:rPr>
        <w:t xml:space="preserve"> intellectual property </w:t>
      </w:r>
      <w:r w:rsidRPr="00DB30A0">
        <w:rPr>
          <w:rStyle w:val="StyleUnderline"/>
          <w:highlight w:val="yellow"/>
        </w:rPr>
        <w:t>laws</w:t>
      </w:r>
      <w:r w:rsidRPr="0099179C">
        <w:rPr>
          <w:sz w:val="12"/>
        </w:rPr>
        <w:t xml:space="preserve"> and decisions, see the relevant 6 section below. Practical Law Company’s Cross-border: Intellectual Property &amp; Technology (http://us.practicallaw.com/about/cross-border-intellectual-property-technology) provides a substantial list of country comparisons touching on intellectual property law.</w:t>
      </w:r>
    </w:p>
    <w:p w14:paraId="5CEA7B57" w14:textId="1A2651B4" w:rsidR="00E01837" w:rsidRDefault="00E01837" w:rsidP="00E01837">
      <w:pPr>
        <w:pStyle w:val="Heading2"/>
      </w:pPr>
      <w:r>
        <w:t>3</w:t>
      </w:r>
    </w:p>
    <w:p w14:paraId="1FD3AADD" w14:textId="77777777" w:rsidR="00E01837" w:rsidRPr="00FF1717" w:rsidRDefault="00E01837" w:rsidP="00E01837">
      <w:pPr>
        <w:pStyle w:val="Heading4"/>
      </w:pPr>
      <w:r w:rsidRPr="00FF1717">
        <w:rPr>
          <w:u w:val="single"/>
        </w:rPr>
        <w:t xml:space="preserve">I </w:t>
      </w:r>
      <w:r>
        <w:rPr>
          <w:u w:val="single"/>
        </w:rPr>
        <w:t>am plagiarizing the 1AC</w:t>
      </w:r>
      <w:r w:rsidRPr="00FF1717">
        <w:rPr>
          <w:u w:val="single"/>
        </w:rPr>
        <w:t xml:space="preserve">. </w:t>
      </w:r>
      <w:r w:rsidRPr="002C3FBD">
        <w:t xml:space="preserve">It’s mine. The </w:t>
      </w:r>
      <w:proofErr w:type="spellStart"/>
      <w:r w:rsidRPr="002C3FBD">
        <w:t>aff</w:t>
      </w:r>
      <w:proofErr w:type="spellEnd"/>
      <w:r w:rsidRPr="002C3FBD">
        <w:t xml:space="preserve"> has nothing left to bargain with.  This is the best challenge to systems of property. We shatter the illusion of neoliberal control of knowledge production.  </w:t>
      </w:r>
    </w:p>
    <w:p w14:paraId="164E94BD" w14:textId="77777777" w:rsidR="00E01837" w:rsidRDefault="00E01837" w:rsidP="00E01837">
      <w:proofErr w:type="spellStart"/>
      <w:r>
        <w:rPr>
          <w:rStyle w:val="Style13ptBold"/>
        </w:rPr>
        <w:t>Froomkin</w:t>
      </w:r>
      <w:proofErr w:type="spellEnd"/>
      <w:r>
        <w:rPr>
          <w:rStyle w:val="Style13ptBold"/>
        </w:rPr>
        <w:t xml:space="preserve"> 13 - </w:t>
      </w:r>
      <w:r w:rsidRPr="00FF1717">
        <w:rPr>
          <w:rStyle w:val="Style13ptBold"/>
        </w:rPr>
        <w:t xml:space="preserve">David </w:t>
      </w:r>
      <w:proofErr w:type="spellStart"/>
      <w:r w:rsidRPr="00FF1717">
        <w:rPr>
          <w:rStyle w:val="Style13ptBold"/>
        </w:rPr>
        <w:t>Froomkin</w:t>
      </w:r>
      <w:proofErr w:type="spellEnd"/>
      <w:r w:rsidRPr="00FF1717">
        <w:rPr>
          <w:rStyle w:val="Style13ptBold"/>
        </w:rPr>
        <w:t xml:space="preserve">, The Morningside Review, Published in Partnership with Columbia University Libraries, Columbia Undergrad Student, May 1st, 2013 </w:t>
      </w:r>
      <w:r>
        <w:t>“Plagiarism as Revolution, Concept as Content: Apotheosizing the Author under the Aegis of Appropriation” [https://journals.library.columbia.edu/index.php/TMR/article/view/5441] Accessed 9/29/21 SAO</w:t>
      </w:r>
    </w:p>
    <w:p w14:paraId="5FACCFD4" w14:textId="77777777" w:rsidR="00E01837" w:rsidRDefault="00E01837" w:rsidP="00E01837">
      <w:pPr>
        <w:rPr>
          <w:sz w:val="8"/>
        </w:rPr>
      </w:pPr>
      <w:r w:rsidRPr="000B1F15">
        <w:rPr>
          <w:sz w:val="8"/>
        </w:rPr>
        <w:t xml:space="preserve">“Art is either plagiarism or revolution.” —attributed to Paul Gauguin In </w:t>
      </w:r>
      <w:r w:rsidRPr="00F51D03">
        <w:rPr>
          <w:sz w:val="8"/>
        </w:rPr>
        <w:t xml:space="preserve">“It’s Not </w:t>
      </w:r>
      <w:r w:rsidRPr="00F51D03">
        <w:rPr>
          <w:rStyle w:val="StyleUnderline"/>
        </w:rPr>
        <w:t>Plagiarism</w:t>
      </w:r>
      <w:r w:rsidRPr="00F51D03">
        <w:rPr>
          <w:sz w:val="8"/>
        </w:rPr>
        <w:t xml:space="preserve">. In the Digital Age, It’s ‘Repurposing.,’” Professor Kenneth Goldsmith writes about his course “Uncreative Writing,” which </w:t>
      </w:r>
      <w:r w:rsidRPr="00F51D03">
        <w:rPr>
          <w:rStyle w:val="StyleUnderline"/>
        </w:rPr>
        <w:t>explores the concept of authorship</w:t>
      </w:r>
      <w:r w:rsidRPr="00F51D03">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told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F51D03">
        <w:rPr>
          <w:rStyle w:val="StyleUnderline"/>
        </w:rPr>
        <w:t>making</w:t>
      </w:r>
      <w:r w:rsidRPr="00F51D03">
        <w:rPr>
          <w:sz w:val="8"/>
        </w:rPr>
        <w:t xml:space="preserve"> his </w:t>
      </w:r>
      <w:r w:rsidRPr="00F51D03">
        <w:rPr>
          <w:rStyle w:val="StyleUnderline"/>
        </w:rPr>
        <w:t>students express themselves in words not of their own choosing</w:t>
      </w:r>
      <w:r w:rsidRPr="00F51D03">
        <w:rPr>
          <w:sz w:val="8"/>
        </w:rPr>
        <w:t>, Goldsmith</w:t>
      </w:r>
      <w:r w:rsidRPr="000B1F15">
        <w:rPr>
          <w:sz w:val="8"/>
        </w:rPr>
        <w:t xml:space="preserve"> </w:t>
      </w:r>
      <w:r w:rsidRPr="000B1F15">
        <w:rPr>
          <w:rStyle w:val="StyleUnderline"/>
        </w:rPr>
        <w:t>forces them to confront what constitutes authorial intent</w:t>
      </w:r>
      <w:r w:rsidRPr="000B1F15">
        <w:rPr>
          <w:sz w:val="8"/>
        </w:rPr>
        <w:t xml:space="preserve">. Though they copy, they engage in the significant job of arranging. Even </w:t>
      </w:r>
      <w:r w:rsidRPr="000B1F15">
        <w:rPr>
          <w:rStyle w:val="StyleUnderline"/>
        </w:rPr>
        <w:t>in choosing which paper to plagiarize</w:t>
      </w:r>
      <w:r w:rsidRPr="000B1F15">
        <w:rPr>
          <w:sz w:val="8"/>
        </w:rPr>
        <w:t xml:space="preserve">, his </w:t>
      </w:r>
      <w:r w:rsidRPr="000B1F15">
        <w:rPr>
          <w:rStyle w:val="StyleUnderline"/>
        </w:rPr>
        <w:t>students</w:t>
      </w:r>
      <w:r w:rsidRPr="00A408B5">
        <w:rPr>
          <w:rStyle w:val="StyleUnderline"/>
        </w:rPr>
        <w:t xml:space="preserve"> necessarily express themselves</w:t>
      </w:r>
      <w:r w:rsidRPr="000B1F15">
        <w:rPr>
          <w:sz w:val="8"/>
        </w:rPr>
        <w:t xml:space="preserve">. Moreover, as they are </w:t>
      </w:r>
      <w:r w:rsidRPr="003A1DBF">
        <w:rPr>
          <w:rStyle w:val="StyleUnderline"/>
          <w:highlight w:val="yellow"/>
        </w:rPr>
        <w:t>appropriating others’ ideas</w:t>
      </w:r>
      <w:r w:rsidRPr="000B1F15">
        <w:rPr>
          <w:sz w:val="8"/>
        </w:rPr>
        <w:t xml:space="preserve">, the aesthetic value of their products must derive entirely from the method of composition. “Uncreative Writing” </w:t>
      </w:r>
      <w:r w:rsidRPr="003A1DBF">
        <w:rPr>
          <w:rStyle w:val="StyleUnderline"/>
          <w:highlight w:val="yellow"/>
        </w:rPr>
        <w:t>proposes a radical redefinition of authorship</w:t>
      </w:r>
      <w:r w:rsidRPr="000B1F15">
        <w:rPr>
          <w:sz w:val="8"/>
        </w:rPr>
        <w:t xml:space="preserve"> for the digital age, </w:t>
      </w:r>
      <w:r w:rsidRPr="003A1DBF">
        <w:rPr>
          <w:rStyle w:val="StyleUnderline"/>
          <w:highlight w:val="yellow"/>
        </w:rPr>
        <w:t>which would make context the new content.</w:t>
      </w:r>
      <w:r w:rsidRPr="000B1F15">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In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w:t>
      </w:r>
      <w:proofErr w:type="spellStart"/>
      <w:r w:rsidRPr="000B1F15">
        <w:rPr>
          <w:sz w:val="8"/>
        </w:rPr>
        <w:t>remanipulate</w:t>
      </w:r>
      <w:proofErr w:type="spellEnd"/>
      <w:r w:rsidRPr="000B1F15">
        <w:rPr>
          <w:sz w:val="8"/>
        </w:rPr>
        <w:t xml:space="preserv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3A1DBF">
        <w:rPr>
          <w:rStyle w:val="StyleUnderline"/>
        </w:rPr>
        <w:t>copying</w:t>
      </w:r>
      <w:r w:rsidRPr="000B1F15">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3A1DBF">
        <w:rPr>
          <w:rStyle w:val="StyleUnderline"/>
        </w:rPr>
        <w:t xml:space="preserve">defends postmodernism from charges of nihilism, </w:t>
      </w:r>
      <w:r w:rsidRPr="000B1F15">
        <w:rPr>
          <w:rStyle w:val="StyleUnderline"/>
        </w:rPr>
        <w:t>reinterpreting what postmodernism means in the context of authorship</w:t>
      </w:r>
      <w:r w:rsidRPr="000B1F15">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0B1F15">
        <w:rPr>
          <w:rStyle w:val="StyleUnderline"/>
        </w:rPr>
        <w:t>there is nothing nihilistic about this postmodern approach to creation. Rather, he reconciles postmodernism with a concept of authorship, suggesting that authors may still create original works of art using techniques of appropriation</w:t>
      </w:r>
      <w:r w:rsidRPr="000B1F15">
        <w:rPr>
          <w:sz w:val="8"/>
        </w:rPr>
        <w:t xml:space="preserve">. Copying, Lethem says, allows authors to “make the world larger” (65). This strongly implies that he has not abandoned the possibility of creating works of originality. In light of Lethem’s claim that </w:t>
      </w:r>
      <w:r w:rsidRPr="00A408B5">
        <w:rPr>
          <w:rStyle w:val="StyleUnderline"/>
          <w:b/>
          <w:bCs/>
        </w:rPr>
        <w:t>appropriation reinforces authorship</w:t>
      </w:r>
      <w:r w:rsidRPr="000B1F15">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3A1DBF">
        <w:rPr>
          <w:rStyle w:val="StyleUnderline"/>
          <w:b/>
          <w:bCs/>
          <w:highlight w:val="yellow"/>
        </w:rPr>
        <w:t>dismissal of authorship is an attempt to reclaim it</w:t>
      </w:r>
      <w:r w:rsidRPr="000B1F15">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3A1DBF">
        <w:rPr>
          <w:rStyle w:val="StyleUnderline"/>
          <w:b/>
          <w:bCs/>
          <w:highlight w:val="yellow"/>
        </w:rPr>
        <w:t>What matters is no longer what one says, but the mode of her saying it</w:t>
      </w:r>
      <w:r w:rsidRPr="000B1F15">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as a result of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w:t>
      </w:r>
      <w:proofErr w:type="spellStart"/>
      <w:r w:rsidRPr="000B1F15">
        <w:rPr>
          <w:sz w:val="8"/>
        </w:rPr>
        <w:t>recomposition</w:t>
      </w:r>
      <w:proofErr w:type="spellEnd"/>
      <w:r w:rsidRPr="000B1F15">
        <w:rPr>
          <w:sz w:val="8"/>
        </w:rPr>
        <w:t xml:space="preserve">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87549D">
        <w:rPr>
          <w:rStyle w:val="StyleUnderline"/>
          <w:b/>
          <w:bCs/>
          <w:highlight w:val="yellow"/>
        </w:rPr>
        <w:t>To do so would be to embrace the collaborative character of authorship in contemporary times.</w:t>
      </w:r>
      <w:r w:rsidRPr="000B1F15">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4B192CAC" w14:textId="2172CE1E" w:rsidR="00E01837" w:rsidRDefault="00E01837" w:rsidP="00E01837">
      <w:pPr>
        <w:pStyle w:val="Heading4"/>
      </w:pPr>
      <w:r w:rsidRPr="00FF1717">
        <w:t xml:space="preserve">There is a </w:t>
      </w:r>
      <w:proofErr w:type="spellStart"/>
      <w:r w:rsidRPr="00FF1717">
        <w:t>doublebind</w:t>
      </w:r>
      <w:proofErr w:type="spellEnd"/>
      <w:r w:rsidRPr="00FF1717">
        <w:t xml:space="preserve"> – Either you think</w:t>
      </w:r>
      <w:r>
        <w:t xml:space="preserve"> the K is wrong and</w:t>
      </w:r>
      <w:r w:rsidRPr="00FF1717">
        <w:t xml:space="preserve"> </w:t>
      </w:r>
      <w:r>
        <w:t>intellectual ownership</w:t>
      </w:r>
      <w:r w:rsidRPr="00FF1717">
        <w:t xml:space="preserve"> is good </w:t>
      </w:r>
      <w:r>
        <w:t>so you vote neg because they have failed to prove the resolution true,</w:t>
      </w:r>
      <w:r w:rsidRPr="00FF1717">
        <w:t xml:space="preserve"> or you </w:t>
      </w:r>
      <w:r>
        <w:t xml:space="preserve">think the </w:t>
      </w:r>
      <w:proofErr w:type="spellStart"/>
      <w:r>
        <w:t>aff</w:t>
      </w:r>
      <w:proofErr w:type="spellEnd"/>
      <w:r>
        <w:t xml:space="preserve"> is true and </w:t>
      </w:r>
      <w:proofErr w:type="spellStart"/>
      <w:r>
        <w:t>its</w:t>
      </w:r>
      <w:proofErr w:type="spellEnd"/>
      <w:r>
        <w:t xml:space="preserve"> good to allow me to steal their intellectual labor and you vote neg because they have no arguments left in the round. </w:t>
      </w:r>
      <w:r w:rsidRPr="00FF1717">
        <w:t xml:space="preserve"> </w:t>
      </w:r>
    </w:p>
    <w:p w14:paraId="4C5A10C4" w14:textId="1F225401" w:rsidR="00AA418E" w:rsidRDefault="00AA418E" w:rsidP="00AA418E">
      <w:pPr>
        <w:pStyle w:val="Heading2"/>
      </w:pPr>
      <w:r>
        <w:t>4</w:t>
      </w:r>
    </w:p>
    <w:p w14:paraId="5191FE66" w14:textId="7B787E04" w:rsidR="00AA418E" w:rsidRPr="009F31FA" w:rsidRDefault="00AA418E" w:rsidP="00AA418E">
      <w:pPr>
        <w:pStyle w:val="Heading4"/>
        <w:rPr>
          <w:bCs/>
        </w:rPr>
      </w:pPr>
      <w:r w:rsidRPr="009F31FA">
        <w:rPr>
          <w:bCs/>
        </w:rPr>
        <w:t xml:space="preserve">Interpretation: Affirmative debaters must specify which universe the </w:t>
      </w:r>
      <w:proofErr w:type="spellStart"/>
      <w:r w:rsidRPr="009F31FA">
        <w:rPr>
          <w:bCs/>
        </w:rPr>
        <w:t>aff</w:t>
      </w:r>
      <w:proofErr w:type="spellEnd"/>
      <w:r w:rsidRPr="009F31FA">
        <w:rPr>
          <w:bCs/>
        </w:rPr>
        <w:t xml:space="preserve"> takes place in. The negative takes place in th</w:t>
      </w:r>
      <w:r w:rsidR="00CA308C">
        <w:rPr>
          <w:bCs/>
        </w:rPr>
        <w:t>e milky way.</w:t>
      </w:r>
    </w:p>
    <w:p w14:paraId="68D97B67" w14:textId="77777777" w:rsidR="00AA418E" w:rsidRPr="009F31FA" w:rsidRDefault="00AA418E" w:rsidP="00AA418E">
      <w:pPr>
        <w:pStyle w:val="Heading4"/>
        <w:rPr>
          <w:bCs/>
        </w:rPr>
      </w:pPr>
      <w:r w:rsidRPr="009F31FA">
        <w:rPr>
          <w:bCs/>
        </w:rPr>
        <w:t xml:space="preserve">There are multiple universes and the </w:t>
      </w:r>
      <w:proofErr w:type="spellStart"/>
      <w:r w:rsidRPr="009F31FA">
        <w:rPr>
          <w:bCs/>
        </w:rPr>
        <w:t>aff</w:t>
      </w:r>
      <w:proofErr w:type="spellEnd"/>
      <w:r w:rsidRPr="009F31FA">
        <w:rPr>
          <w:bCs/>
        </w:rPr>
        <w:t xml:space="preserve"> does not specify.</w:t>
      </w:r>
    </w:p>
    <w:p w14:paraId="7A6001EB" w14:textId="77777777" w:rsidR="00AA418E" w:rsidRPr="009F31FA" w:rsidRDefault="00AA418E" w:rsidP="00AA418E">
      <w:pPr>
        <w:rPr>
          <w:b/>
          <w:bCs/>
          <w:sz w:val="14"/>
        </w:rPr>
      </w:pPr>
      <w:r w:rsidRPr="009F31FA">
        <w:rPr>
          <w:b/>
          <w:bCs/>
          <w:sz w:val="14"/>
        </w:rPr>
        <w:t xml:space="preserve">Victor </w:t>
      </w:r>
      <w:proofErr w:type="spellStart"/>
      <w:r w:rsidRPr="009F31FA">
        <w:rPr>
          <w:rStyle w:val="Style13ptBold"/>
          <w:bCs w:val="0"/>
        </w:rPr>
        <w:t>Tangermann</w:t>
      </w:r>
      <w:proofErr w:type="spellEnd"/>
      <w:r w:rsidRPr="009F31FA">
        <w:rPr>
          <w:b/>
          <w:bCs/>
          <w:sz w:val="14"/>
        </w:rPr>
        <w:t xml:space="preserve">, Writer for cybernetics, Futurism This Physicist Believes There Are Countless Parallel Universes, OCTOBER 25TH </w:t>
      </w:r>
      <w:r w:rsidRPr="009F31FA">
        <w:rPr>
          <w:rStyle w:val="Style13ptBold"/>
          <w:bCs w:val="0"/>
        </w:rPr>
        <w:t>2019</w:t>
      </w:r>
      <w:r w:rsidRPr="009F31FA">
        <w:rPr>
          <w:b/>
          <w:bCs/>
          <w:sz w:val="14"/>
        </w:rPr>
        <w:t xml:space="preserve">, </w:t>
      </w:r>
      <w:hyperlink r:id="rId7" w:history="1">
        <w:r w:rsidRPr="009F31FA">
          <w:rPr>
            <w:rStyle w:val="Hyperlink"/>
            <w:b/>
            <w:bCs/>
            <w:sz w:val="14"/>
          </w:rPr>
          <w:t>https://futurism.com/physicist-convinced-countless-parallel-universes</w:t>
        </w:r>
      </w:hyperlink>
      <w:r w:rsidRPr="009F31FA">
        <w:rPr>
          <w:b/>
          <w:bCs/>
          <w:sz w:val="14"/>
        </w:rPr>
        <w:t xml:space="preserve"> ///AHS PB</w:t>
      </w:r>
    </w:p>
    <w:p w14:paraId="50369CF7" w14:textId="77777777" w:rsidR="00AA418E" w:rsidRPr="009F31FA" w:rsidRDefault="00AA418E" w:rsidP="00AA418E">
      <w:pPr>
        <w:rPr>
          <w:rStyle w:val="Style13ptBold"/>
          <w:bCs w:val="0"/>
          <w:sz w:val="12"/>
        </w:rPr>
      </w:pPr>
      <w:r w:rsidRPr="009F31FA">
        <w:rPr>
          <w:b/>
          <w:bCs/>
          <w:sz w:val="12"/>
        </w:rPr>
        <w:t xml:space="preserve">“It’s absolutely possible that </w:t>
      </w:r>
      <w:r w:rsidRPr="009F31FA">
        <w:rPr>
          <w:rStyle w:val="Emphasis"/>
          <w:bCs/>
          <w:highlight w:val="yellow"/>
        </w:rPr>
        <w:t>there are multiple worlds</w:t>
      </w:r>
      <w:r w:rsidRPr="009F31FA">
        <w:rPr>
          <w:rStyle w:val="Style13ptBold"/>
          <w:bCs w:val="0"/>
          <w:sz w:val="12"/>
        </w:rPr>
        <w:t xml:space="preserve"> where you made different decisions</w:t>
      </w:r>
      <w:r w:rsidRPr="009F31FA">
        <w:rPr>
          <w:b/>
          <w:bCs/>
          <w:sz w:val="12"/>
        </w:rPr>
        <w:t>,” he told the network. “</w:t>
      </w:r>
      <w:r w:rsidRPr="009F31FA">
        <w:rPr>
          <w:rStyle w:val="Style13ptBold"/>
          <w:bCs w:val="0"/>
          <w:sz w:val="12"/>
        </w:rPr>
        <w:t xml:space="preserve">We’re just </w:t>
      </w:r>
      <w:r w:rsidRPr="009F31FA">
        <w:rPr>
          <w:rStyle w:val="Emphasis"/>
          <w:bCs/>
          <w:highlight w:val="yellow"/>
        </w:rPr>
        <w:t>obeying the laws of physics</w:t>
      </w:r>
      <w:r w:rsidRPr="009F31FA">
        <w:rPr>
          <w:b/>
          <w:bCs/>
          <w:sz w:val="12"/>
        </w:rPr>
        <w:t>.” So if there are multiple worlds, how many are there? “We don’t know whether the number of worlds is finite or infinite, but it’s certainly a very large number,” Carroll claimed. “There’s no way it’s, like, five.” And he goes further, into a metaphysical view of the universe in which physical reality has much to do with the observer. “</w:t>
      </w:r>
      <w:r w:rsidRPr="009F31FA">
        <w:rPr>
          <w:rStyle w:val="Emphasis"/>
          <w:bCs/>
          <w:highlight w:val="yellow"/>
        </w:rPr>
        <w:t>Before you look at an object</w:t>
      </w:r>
      <w:r w:rsidRPr="009F31FA">
        <w:rPr>
          <w:rStyle w:val="Style13ptBold"/>
          <w:bCs w:val="0"/>
          <w:sz w:val="12"/>
        </w:rPr>
        <w:t>, whether it’s an electron, or an atom or whatever, it’s not in any definite location</w:t>
      </w:r>
      <w:r w:rsidRPr="009F31FA">
        <w:rPr>
          <w:b/>
          <w:bCs/>
          <w:sz w:val="12"/>
        </w:rPr>
        <w:t>,” Carroll told NBC. “</w:t>
      </w:r>
      <w:r w:rsidRPr="009F31FA">
        <w:rPr>
          <w:rStyle w:val="Style13ptBold"/>
          <w:bCs w:val="0"/>
          <w:sz w:val="12"/>
        </w:rPr>
        <w:t xml:space="preserve">It might be more likely that </w:t>
      </w:r>
      <w:r w:rsidRPr="009F31FA">
        <w:rPr>
          <w:rStyle w:val="Emphasis"/>
          <w:bCs/>
          <w:highlight w:val="yellow"/>
        </w:rPr>
        <w:t>you observe it in one place or another, but it’s not</w:t>
      </w:r>
      <w:r w:rsidRPr="009F31FA">
        <w:rPr>
          <w:rStyle w:val="Emphasis"/>
          <w:bCs/>
        </w:rPr>
        <w:t xml:space="preserve"> </w:t>
      </w:r>
      <w:r w:rsidRPr="009F31FA">
        <w:rPr>
          <w:rStyle w:val="Style13ptBold"/>
          <w:bCs w:val="0"/>
          <w:sz w:val="12"/>
        </w:rPr>
        <w:t xml:space="preserve">actually located </w:t>
      </w:r>
      <w:r w:rsidRPr="009F31FA">
        <w:rPr>
          <w:rStyle w:val="Emphasis"/>
          <w:bCs/>
          <w:highlight w:val="yellow"/>
        </w:rPr>
        <w:t>at any particular place</w:t>
      </w:r>
      <w:r w:rsidRPr="009F31FA">
        <w:rPr>
          <w:rStyle w:val="Style13ptBold"/>
          <w:bCs w:val="0"/>
          <w:sz w:val="12"/>
        </w:rPr>
        <w:t>.</w:t>
      </w:r>
      <w:r w:rsidRPr="009F31FA">
        <w:rPr>
          <w:b/>
          <w:bCs/>
          <w:sz w:val="12"/>
        </w:rPr>
        <w:t xml:space="preserve">” Carroll isn’t the only one that has examined the possibility of many alternate realities. The likes of </w:t>
      </w:r>
      <w:hyperlink r:id="rId8" w:history="1">
        <w:r w:rsidRPr="009F31FA">
          <w:rPr>
            <w:rStyle w:val="Hyperlink"/>
            <w:b/>
            <w:bCs/>
            <w:sz w:val="12"/>
          </w:rPr>
          <w:t>Stephen Hawking</w:t>
        </w:r>
      </w:hyperlink>
      <w:r w:rsidRPr="009F31FA">
        <w:rPr>
          <w:b/>
          <w:bCs/>
          <w:sz w:val="12"/>
        </w:rPr>
        <w:t xml:space="preserve"> and Erwin Schrödinger have suggested that many other parallel worlds exist as well. In his most recent work, Hawking </w:t>
      </w:r>
      <w:hyperlink r:id="rId9" w:history="1">
        <w:r w:rsidRPr="009F31FA">
          <w:rPr>
            <w:rStyle w:val="Hyperlink"/>
            <w:b/>
            <w:bCs/>
            <w:sz w:val="12"/>
          </w:rPr>
          <w:t>suggested that</w:t>
        </w:r>
      </w:hyperlink>
      <w:r w:rsidRPr="009F31FA">
        <w:rPr>
          <w:b/>
          <w:bCs/>
          <w:sz w:val="12"/>
        </w:rPr>
        <w:t xml:space="preserve"> </w:t>
      </w:r>
      <w:r w:rsidRPr="009F31FA">
        <w:rPr>
          <w:rStyle w:val="Style13ptBold"/>
          <w:bCs w:val="0"/>
          <w:sz w:val="12"/>
        </w:rPr>
        <w:t xml:space="preserve">thanks to quantum mechanics, </w:t>
      </w:r>
      <w:r w:rsidRPr="009F31FA">
        <w:rPr>
          <w:rStyle w:val="Emphasis"/>
          <w:bCs/>
          <w:highlight w:val="yellow"/>
        </w:rPr>
        <w:t>the Big Bang supplied us with</w:t>
      </w:r>
      <w:r w:rsidRPr="009F31FA">
        <w:rPr>
          <w:rStyle w:val="Style13ptBold"/>
          <w:bCs w:val="0"/>
          <w:sz w:val="12"/>
        </w:rPr>
        <w:t xml:space="preserve"> an </w:t>
      </w:r>
      <w:r w:rsidRPr="009F31FA">
        <w:rPr>
          <w:rStyle w:val="Emphasis"/>
          <w:bCs/>
          <w:highlight w:val="yellow"/>
        </w:rPr>
        <w:t>endless</w:t>
      </w:r>
      <w:r w:rsidRPr="009F31FA">
        <w:rPr>
          <w:rStyle w:val="Style13ptBold"/>
          <w:bCs w:val="0"/>
          <w:sz w:val="12"/>
        </w:rPr>
        <w:t xml:space="preserve"> number of </w:t>
      </w:r>
      <w:r w:rsidRPr="009F31FA">
        <w:rPr>
          <w:rStyle w:val="Emphasis"/>
          <w:bCs/>
          <w:highlight w:val="yellow"/>
        </w:rPr>
        <w:t>universes</w:t>
      </w:r>
      <w:r w:rsidRPr="009F31FA">
        <w:rPr>
          <w:rStyle w:val="Style13ptBold"/>
          <w:bCs w:val="0"/>
          <w:sz w:val="12"/>
        </w:rPr>
        <w:t>, not just one.</w:t>
      </w:r>
    </w:p>
    <w:p w14:paraId="5A308EAA" w14:textId="77777777" w:rsidR="00AA418E" w:rsidRPr="009F31FA" w:rsidRDefault="00AA418E" w:rsidP="00AA418E">
      <w:pPr>
        <w:pStyle w:val="Heading4"/>
        <w:rPr>
          <w:bCs/>
        </w:rPr>
      </w:pPr>
      <w:r w:rsidRPr="009F31FA">
        <w:rPr>
          <w:bCs/>
        </w:rPr>
        <w:t>Violation- you don’t</w:t>
      </w:r>
    </w:p>
    <w:p w14:paraId="13DDEEEB" w14:textId="77777777" w:rsidR="00AA418E" w:rsidRPr="009F31FA" w:rsidRDefault="00AA418E" w:rsidP="00AA418E">
      <w:pPr>
        <w:pStyle w:val="Heading4"/>
        <w:rPr>
          <w:bCs/>
        </w:rPr>
      </w:pPr>
      <w:r w:rsidRPr="009F31FA">
        <w:rPr>
          <w:bCs/>
        </w:rPr>
        <w:t>Standards-</w:t>
      </w:r>
    </w:p>
    <w:p w14:paraId="44237B12" w14:textId="1996A1DE" w:rsidR="00AA418E" w:rsidRPr="009F31FA" w:rsidRDefault="00AA418E" w:rsidP="00AA418E">
      <w:pPr>
        <w:pStyle w:val="Heading4"/>
        <w:numPr>
          <w:ilvl w:val="0"/>
          <w:numId w:val="11"/>
        </w:numPr>
        <w:tabs>
          <w:tab w:val="num" w:pos="360"/>
        </w:tabs>
        <w:spacing w:line="256" w:lineRule="auto"/>
        <w:ind w:left="360"/>
        <w:rPr>
          <w:bCs/>
        </w:rPr>
      </w:pPr>
      <w:r w:rsidRPr="009F31FA">
        <w:rPr>
          <w:bCs/>
        </w:rPr>
        <w:t xml:space="preserve">Stable ground- </w:t>
      </w:r>
    </w:p>
    <w:p w14:paraId="2035493E" w14:textId="62924CC2" w:rsidR="00AA418E" w:rsidRPr="009F31FA" w:rsidRDefault="00AA418E" w:rsidP="00AA418E">
      <w:pPr>
        <w:pStyle w:val="Heading4"/>
        <w:numPr>
          <w:ilvl w:val="0"/>
          <w:numId w:val="11"/>
        </w:numPr>
        <w:tabs>
          <w:tab w:val="num" w:pos="360"/>
        </w:tabs>
        <w:spacing w:line="256" w:lineRule="auto"/>
        <w:ind w:left="360"/>
        <w:rPr>
          <w:bCs/>
        </w:rPr>
      </w:pPr>
      <w:r w:rsidRPr="009F31FA">
        <w:rPr>
          <w:bCs/>
        </w:rPr>
        <w:t xml:space="preserve">Resolvability- </w:t>
      </w:r>
    </w:p>
    <w:p w14:paraId="16A4A206" w14:textId="77777777" w:rsidR="00AC1BA9" w:rsidRPr="00AC1BA9" w:rsidRDefault="00AC1BA9" w:rsidP="00AC1BA9"/>
    <w:sectPr w:rsidR="00AC1BA9" w:rsidRPr="00AC1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5D4920"/>
    <w:multiLevelType w:val="hybridMultilevel"/>
    <w:tmpl w:val="33BAE6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1837"/>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0661"/>
    <w:rsid w:val="00315690"/>
    <w:rsid w:val="00316B75"/>
    <w:rsid w:val="00325646"/>
    <w:rsid w:val="00343ABC"/>
    <w:rsid w:val="003460F2"/>
    <w:rsid w:val="0038158C"/>
    <w:rsid w:val="003902BA"/>
    <w:rsid w:val="003A09E2"/>
    <w:rsid w:val="003B7841"/>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A418E"/>
    <w:rsid w:val="00AC0AB8"/>
    <w:rsid w:val="00AC1BA9"/>
    <w:rsid w:val="00B33C6D"/>
    <w:rsid w:val="00B4508F"/>
    <w:rsid w:val="00B55AD5"/>
    <w:rsid w:val="00B8057C"/>
    <w:rsid w:val="00BD6238"/>
    <w:rsid w:val="00BE5333"/>
    <w:rsid w:val="00BF593B"/>
    <w:rsid w:val="00BF773A"/>
    <w:rsid w:val="00BF7E81"/>
    <w:rsid w:val="00C13773"/>
    <w:rsid w:val="00C17CC8"/>
    <w:rsid w:val="00C83417"/>
    <w:rsid w:val="00C9604F"/>
    <w:rsid w:val="00CA19AA"/>
    <w:rsid w:val="00CA308C"/>
    <w:rsid w:val="00CC5298"/>
    <w:rsid w:val="00CD736E"/>
    <w:rsid w:val="00CD798D"/>
    <w:rsid w:val="00CE161E"/>
    <w:rsid w:val="00CF59A8"/>
    <w:rsid w:val="00D325A9"/>
    <w:rsid w:val="00D36A8A"/>
    <w:rsid w:val="00D61409"/>
    <w:rsid w:val="00D6691E"/>
    <w:rsid w:val="00D71170"/>
    <w:rsid w:val="00DA1C92"/>
    <w:rsid w:val="00DA25D4"/>
    <w:rsid w:val="00DA6538"/>
    <w:rsid w:val="00E0183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D5EBC"/>
  <w15:chartTrackingRefBased/>
  <w15:docId w15:val="{69058B38-0FEC-42B2-BD67-3A4945A68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1837"/>
    <w:rPr>
      <w:rFonts w:ascii="Calibri" w:hAnsi="Calibri" w:cs="Calibri"/>
    </w:rPr>
  </w:style>
  <w:style w:type="paragraph" w:styleId="Heading1">
    <w:name w:val="heading 1"/>
    <w:aliases w:val="Pocket"/>
    <w:basedOn w:val="Normal"/>
    <w:next w:val="Normal"/>
    <w:link w:val="Heading1Char"/>
    <w:qFormat/>
    <w:rsid w:val="00E018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18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18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3"/>
    <w:unhideWhenUsed/>
    <w:qFormat/>
    <w:rsid w:val="00E018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18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1837"/>
  </w:style>
  <w:style w:type="character" w:customStyle="1" w:styleId="Heading1Char">
    <w:name w:val="Heading 1 Char"/>
    <w:aliases w:val="Pocket Char"/>
    <w:basedOn w:val="DefaultParagraphFont"/>
    <w:link w:val="Heading1"/>
    <w:rsid w:val="00E018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18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183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E01837"/>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E0183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1837"/>
    <w:rPr>
      <w:b/>
      <w:bCs/>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link w:val="CardsFont12pt"/>
    <w:uiPriority w:val="6"/>
    <w:qFormat/>
    <w:rsid w:val="00E01837"/>
    <w:rPr>
      <w:b w:val="0"/>
      <w:sz w:val="26"/>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01837"/>
    <w:rPr>
      <w:color w:val="auto"/>
      <w:u w:val="none"/>
    </w:rPr>
  </w:style>
  <w:style w:type="character" w:styleId="FollowedHyperlink">
    <w:name w:val="FollowedHyperlink"/>
    <w:basedOn w:val="DefaultParagraphFont"/>
    <w:uiPriority w:val="99"/>
    <w:semiHidden/>
    <w:unhideWhenUsed/>
    <w:rsid w:val="00E01837"/>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E01837"/>
    <w:pPr>
      <w:spacing w:after="0" w:line="240" w:lineRule="auto"/>
    </w:pPr>
    <w:rPr>
      <w:sz w:val="26"/>
      <w:u w:val="single"/>
    </w:rPr>
  </w:style>
  <w:style w:type="paragraph" w:customStyle="1" w:styleId="textbold">
    <w:name w:val="text bold"/>
    <w:basedOn w:val="Normal"/>
    <w:link w:val="Emphasis"/>
    <w:uiPriority w:val="7"/>
    <w:qFormat/>
    <w:rsid w:val="00AA418E"/>
    <w:pPr>
      <w:widowControl w:val="0"/>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news/science-environment-43976977" TargetMode="External"/><Relationship Id="rId3" Type="http://schemas.openxmlformats.org/officeDocument/2006/relationships/styles" Target="styles.xml"/><Relationship Id="rId7" Type="http://schemas.openxmlformats.org/officeDocument/2006/relationships/hyperlink" Target="https://futurism.com/physicist-convinced-countless-parallel-univers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wyorker.com/magazine/2005/12/05/everybodys-an-exper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bc.com/news/science-environment-439769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6537</Words>
  <Characters>37263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2021-10-16T13:24:00Z</dcterms:created>
  <dcterms:modified xsi:type="dcterms:W3CDTF">2021-10-16T15:00:00Z</dcterms:modified>
</cp:coreProperties>
</file>