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D0E7" w14:textId="66E50C2D" w:rsidR="00C06887" w:rsidRDefault="00C06887" w:rsidP="00C06887">
      <w:pPr>
        <w:pStyle w:val="Heading2"/>
      </w:pPr>
      <w:r>
        <w:t>1</w:t>
      </w:r>
    </w:p>
    <w:p w14:paraId="40A5BC1F" w14:textId="67945F24" w:rsidR="00DE5411" w:rsidRPr="009129DB" w:rsidRDefault="00DE5411" w:rsidP="00DE5411">
      <w:pPr>
        <w:keepNext/>
        <w:keepLines/>
        <w:spacing w:before="40"/>
        <w:outlineLvl w:val="3"/>
        <w:rPr>
          <w:b/>
          <w:iCs/>
          <w:sz w:val="26"/>
        </w:rPr>
      </w:pPr>
      <w:r>
        <w:rPr>
          <w:b/>
          <w:iCs/>
          <w:sz w:val="26"/>
        </w:rPr>
        <w:t xml:space="preserve">1] </w:t>
      </w:r>
      <w:r w:rsidRPr="009129DB">
        <w:rPr>
          <w:b/>
          <w:iCs/>
          <w:sz w:val="26"/>
        </w:rPr>
        <w:t>Utilitarianism collapses into contractarianism.</w:t>
      </w:r>
    </w:p>
    <w:p w14:paraId="312ED1B2" w14:textId="77777777" w:rsidR="00DE5411" w:rsidRPr="009129DB" w:rsidRDefault="00DE5411" w:rsidP="00DE5411">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6C2F6ABC" w14:textId="77777777" w:rsidR="00DE5411" w:rsidRPr="009129DB" w:rsidRDefault="00DE5411" w:rsidP="00DE5411">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rPr>
        <w:t>ing</w:t>
      </w:r>
      <w:proofErr w:type="spellEnd"/>
      <w:r w:rsidRPr="009129DB">
        <w:rPr>
          <w:rFonts w:eastAsia="Calibri"/>
          <w:sz w:val="14"/>
        </w:rPr>
        <w:t xml:space="preserve"> should aim at ataraxia.6 The normative ideal of Epicurean practical rationality is a hedonistic form of instrumental rationality with the </w:t>
      </w:r>
      <w:proofErr w:type="gramStart"/>
      <w:r w:rsidRPr="009129DB">
        <w:rPr>
          <w:rFonts w:eastAsia="Calibri"/>
          <w:sz w:val="14"/>
        </w:rPr>
        <w:t>final end</w:t>
      </w:r>
      <w:proofErr w:type="gramEnd"/>
      <w:r w:rsidRPr="009129DB">
        <w:rPr>
          <w:rFonts w:eastAsia="Calibri"/>
          <w:sz w:val="14"/>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rPr>
        <w:t>paradig</w:t>
      </w:r>
      <w:proofErr w:type="spellEnd"/>
      <w:r w:rsidRPr="009129DB">
        <w:rPr>
          <w:rFonts w:eastAsia="Calibri"/>
          <w:sz w:val="14"/>
        </w:rPr>
        <w:t xml:space="preserve"> </w:t>
      </w:r>
      <w:proofErr w:type="spellStart"/>
      <w:r w:rsidRPr="009129DB">
        <w:rPr>
          <w:rFonts w:eastAsia="Calibri"/>
          <w:sz w:val="14"/>
        </w:rPr>
        <w:t>matically</w:t>
      </w:r>
      <w:proofErr w:type="spellEnd"/>
      <w:r w:rsidRPr="009129DB">
        <w:rPr>
          <w:rFonts w:eastAsia="Calibri"/>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rPr>
        <w:t>ing</w:t>
      </w:r>
      <w:proofErr w:type="spellEnd"/>
      <w:r w:rsidRPr="009129DB">
        <w:rPr>
          <w:rFonts w:eastAsia="Calibri"/>
          <w:sz w:val="14"/>
        </w:rPr>
        <w:t xml:space="preserve"> will reliably lead to the </w:t>
      </w:r>
      <w:proofErr w:type="gramStart"/>
      <w:r w:rsidRPr="009129DB">
        <w:rPr>
          <w:rFonts w:eastAsia="Calibri"/>
          <w:sz w:val="14"/>
        </w:rPr>
        <w:t>final end</w:t>
      </w:r>
      <w:proofErr w:type="gramEnd"/>
      <w:r w:rsidRPr="009129DB">
        <w:rPr>
          <w:rFonts w:eastAsia="Calibri"/>
          <w:sz w:val="14"/>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sidRPr="009129DB">
        <w:rPr>
          <w:rFonts w:eastAsia="Calibri"/>
          <w:sz w:val="14"/>
        </w:rPr>
        <w:t>as a means to</w:t>
      </w:r>
      <w:proofErr w:type="gramEnd"/>
      <w:r w:rsidRPr="009129DB">
        <w:rPr>
          <w:rFonts w:eastAsia="Calibri"/>
          <w:sz w:val="14"/>
        </w:rPr>
        <w:t xml:space="preserve"> the final end of ataraxia. One version of this problem arises in the context of friendship. Epicurus </w:t>
      </w:r>
      <w:proofErr w:type="gramStart"/>
      <w:r w:rsidRPr="009129DB">
        <w:rPr>
          <w:rFonts w:eastAsia="Calibri"/>
          <w:sz w:val="14"/>
        </w:rPr>
        <w:t>claims .</w:t>
      </w:r>
      <w:proofErr w:type="gramEnd"/>
      <w:r w:rsidRPr="009129DB">
        <w:rPr>
          <w:rFonts w:eastAsia="Calibri"/>
          <w:sz w:val="14"/>
        </w:rPr>
        <w:t xml:space="preserve"> </w:t>
      </w:r>
      <w:proofErr w:type="gramStart"/>
      <w:r w:rsidRPr="009129DB">
        <w:rPr>
          <w:rFonts w:eastAsia="Calibri"/>
          <w:sz w:val="14"/>
        </w:rPr>
        <w:t>.every</w:t>
      </w:r>
      <w:proofErr w:type="gramEnd"/>
      <w:r w:rsidRPr="009129DB">
        <w:rPr>
          <w:rFonts w:eastAsia="Calibri"/>
          <w:sz w:val="14"/>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rPr>
        <w:t>theoiy</w:t>
      </w:r>
      <w:proofErr w:type="spellEnd"/>
      <w:r w:rsidRPr="009129DB">
        <w:rPr>
          <w:rFonts w:eastAsia="Calibri"/>
          <w:sz w:val="14"/>
        </w:rPr>
        <w:t xml:space="preserve">. Choice of desires is governed directly by hedonic concerns and those desires then pick out </w:t>
      </w:r>
      <w:proofErr w:type="gramStart"/>
      <w:r w:rsidRPr="009129DB">
        <w:rPr>
          <w:rFonts w:eastAsia="Calibri"/>
          <w:sz w:val="14"/>
        </w:rPr>
        <w:t>particular actions</w:t>
      </w:r>
      <w:proofErr w:type="gramEnd"/>
      <w:r w:rsidRPr="009129DB">
        <w:rPr>
          <w:rFonts w:eastAsia="Calibri"/>
          <w:sz w:val="14"/>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sidRPr="009129DB">
        <w:rPr>
          <w:rFonts w:eastAsia="Calibri"/>
          <w:sz w:val="14"/>
        </w:rPr>
        <w:t>justice</w:t>
      </w:r>
      <w:proofErr w:type="gramEnd"/>
      <w:r w:rsidRPr="009129DB">
        <w:rPr>
          <w:rFonts w:eastAsia="Calibri"/>
          <w:sz w:val="14"/>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rPr>
        <w:t>Kavka</w:t>
      </w:r>
      <w:proofErr w:type="spellEnd"/>
      <w:r w:rsidRPr="009129DB">
        <w:rPr>
          <w:rFonts w:eastAsia="Calibri"/>
          <w:sz w:val="14"/>
        </w:rPr>
        <w:t xml:space="preserve"> calls "rule egoism" (</w:t>
      </w:r>
      <w:proofErr w:type="spellStart"/>
      <w:r w:rsidRPr="009129DB">
        <w:rPr>
          <w:rFonts w:eastAsia="Calibri"/>
          <w:sz w:val="14"/>
        </w:rPr>
        <w:t>Kavka</w:t>
      </w:r>
      <w:proofErr w:type="spellEnd"/>
      <w:r w:rsidRPr="009129DB">
        <w:rPr>
          <w:rFonts w:eastAsia="Calibri"/>
          <w:sz w:val="14"/>
        </w:rPr>
        <w:t xml:space="preserve"> 1986, chap. 9). Although </w:t>
      </w:r>
      <w:proofErr w:type="spellStart"/>
      <w:r w:rsidRPr="009129DB">
        <w:rPr>
          <w:rFonts w:eastAsia="Calibri"/>
          <w:sz w:val="14"/>
        </w:rPr>
        <w:t>Kavka</w:t>
      </w:r>
      <w:proofErr w:type="spellEnd"/>
      <w:r w:rsidRPr="009129DB">
        <w:rPr>
          <w:rFonts w:eastAsia="Calibri"/>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sidRPr="009129DB">
        <w:rPr>
          <w:rFonts w:eastAsia="Calibri"/>
          <w:sz w:val="14"/>
        </w:rPr>
        <w:t>all of</w:t>
      </w:r>
      <w:proofErr w:type="gramEnd"/>
      <w:r w:rsidRPr="009129DB">
        <w:rPr>
          <w:rFonts w:eastAsia="Calibri"/>
          <w:sz w:val="14"/>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rPr>
        <w:t>Gigerenzer</w:t>
      </w:r>
      <w:proofErr w:type="spellEnd"/>
      <w:r w:rsidRPr="009129DB">
        <w:rPr>
          <w:rFonts w:eastAsia="Calibri"/>
          <w:sz w:val="14"/>
        </w:rPr>
        <w:t xml:space="preserve"> and Goldstein, a "fast and frugal" way of reasoning based on heuristics communicated as rules or maxims (</w:t>
      </w:r>
      <w:proofErr w:type="spellStart"/>
      <w:r w:rsidRPr="009129DB">
        <w:rPr>
          <w:rFonts w:eastAsia="Calibri"/>
          <w:sz w:val="14"/>
        </w:rPr>
        <w:t>Gigerenzer</w:t>
      </w:r>
      <w:proofErr w:type="spellEnd"/>
      <w:r w:rsidRPr="009129DB">
        <w:rPr>
          <w:rFonts w:eastAsia="Calibri"/>
          <w:sz w:val="14"/>
        </w:rPr>
        <w:t xml:space="preserve">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w:t>
      </w:r>
      <w:proofErr w:type="spellStart"/>
      <w:r w:rsidRPr="009129DB">
        <w:rPr>
          <w:rFonts w:eastAsia="Calibri"/>
          <w:sz w:val="14"/>
        </w:rPr>
        <w:t>Kavka</w:t>
      </w:r>
      <w:proofErr w:type="spellEnd"/>
      <w:r w:rsidRPr="009129DB">
        <w:rPr>
          <w:rFonts w:eastAsia="Calibri"/>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sidRPr="009129DB">
        <w:rPr>
          <w:rFonts w:eastAsia="Calibri"/>
          <w:sz w:val="14"/>
        </w:rPr>
        <w:t>particular actions</w:t>
      </w:r>
      <w:proofErr w:type="gramEnd"/>
      <w:r w:rsidRPr="009129DB">
        <w:rPr>
          <w:rFonts w:eastAsia="Calibri"/>
          <w:sz w:val="14"/>
        </w:rPr>
        <w:t xml:space="preserve">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w:t>
      </w:r>
      <w:proofErr w:type="gramStart"/>
      <w:r w:rsidRPr="009129DB">
        <w:rPr>
          <w:rFonts w:eastAsia="Calibri"/>
          <w:sz w:val="14"/>
        </w:rPr>
        <w:t>in order to</w:t>
      </w:r>
      <w:proofErr w:type="gramEnd"/>
      <w:r w:rsidRPr="009129DB">
        <w:rPr>
          <w:rFonts w:eastAsia="Calibri"/>
          <w:sz w:val="14"/>
        </w:rPr>
        <w:t xml:space="preserve">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xml:space="preserve">" (KD 35). To be consistent with Epicurean practical rationality, then, the contract must secure benefits that would not be possible without the contract. If, however, one only has reason to </w:t>
      </w:r>
      <w:proofErr w:type="gramStart"/>
      <w:r w:rsidRPr="009129DB">
        <w:rPr>
          <w:rFonts w:eastAsia="Calibri"/>
          <w:sz w:val="14"/>
        </w:rPr>
        <w:t>enter into</w:t>
      </w:r>
      <w:proofErr w:type="gramEnd"/>
      <w:r w:rsidRPr="009129DB">
        <w:rPr>
          <w:rFonts w:eastAsia="Calibri"/>
          <w:sz w:val="14"/>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721E9CAA" w14:textId="77777777" w:rsidR="00DE5411" w:rsidRPr="009129DB" w:rsidRDefault="00DE5411" w:rsidP="00DE5411">
      <w:pPr>
        <w:keepNext/>
        <w:keepLines/>
        <w:spacing w:before="40"/>
        <w:outlineLvl w:val="3"/>
        <w:rPr>
          <w:b/>
          <w:iCs/>
          <w:sz w:val="26"/>
        </w:rPr>
      </w:pPr>
      <w:r>
        <w:rPr>
          <w:b/>
          <w:iCs/>
          <w:sz w:val="26"/>
        </w:rPr>
        <w:t xml:space="preserve">2] </w:t>
      </w:r>
      <w:r w:rsidRPr="009129DB">
        <w:rPr>
          <w:b/>
          <w:iCs/>
          <w:sz w:val="26"/>
        </w:rPr>
        <w:t xml:space="preserve">Utilitarianism requires a system of individual preference </w:t>
      </w:r>
      <w:proofErr w:type="gramStart"/>
      <w:r w:rsidRPr="009129DB">
        <w:rPr>
          <w:b/>
          <w:iCs/>
          <w:sz w:val="26"/>
        </w:rPr>
        <w:t>in order to</w:t>
      </w:r>
      <w:proofErr w:type="gramEnd"/>
      <w:r w:rsidRPr="009129DB">
        <w:rPr>
          <w:b/>
          <w:iCs/>
          <w:sz w:val="26"/>
        </w:rPr>
        <w:t xml:space="preserve"> be normative, which means my framework is a prior question.</w:t>
      </w:r>
    </w:p>
    <w:p w14:paraId="1B6D1507" w14:textId="77777777" w:rsidR="00DE5411" w:rsidRPr="009129DB" w:rsidRDefault="00DE5411" w:rsidP="00DE5411">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4881C185" w14:textId="54A7FD98" w:rsidR="00DE5411" w:rsidRDefault="00DE5411" w:rsidP="00DE5411">
      <w:pPr>
        <w:rPr>
          <w:rFonts w:eastAsia="Calibri"/>
          <w:sz w:val="14"/>
        </w:rPr>
      </w:pPr>
      <w:r w:rsidRPr="009129DB">
        <w:rPr>
          <w:rFonts w:eastAsia="Calibri"/>
          <w:sz w:val="14"/>
        </w:rPr>
        <w:t xml:space="preserve">A position both subjectivist and absolutist </w:t>
      </w:r>
      <w:proofErr w:type="gramStart"/>
      <w:r w:rsidRPr="009129DB">
        <w:rPr>
          <w:rFonts w:eastAsia="Calibri"/>
          <w:sz w:val="14"/>
        </w:rPr>
        <w:t>seems</w:t>
      </w:r>
      <w:proofErr w:type="gramEnd"/>
      <w:r w:rsidRPr="009129DB">
        <w:rPr>
          <w:rFonts w:eastAsia="Calibri"/>
          <w:sz w:val="14"/>
        </w:rPr>
        <w:t xml:space="preserve">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w:t>
      </w:r>
      <w:proofErr w:type="spellStart"/>
      <w:r w:rsidRPr="009129DB">
        <w:rPr>
          <w:rFonts w:eastAsia="Calibri"/>
          <w:b/>
          <w:bCs/>
          <w:sz w:val="26"/>
          <w:highlight w:val="yellow"/>
          <w:u w:val="single"/>
        </w:rPr>
        <w:t>premiss</w:t>
      </w:r>
      <w:proofErr w:type="spellEnd"/>
      <w:r w:rsidRPr="009129DB">
        <w:rPr>
          <w:rFonts w:eastAsia="Calibri"/>
          <w:b/>
          <w:bCs/>
          <w:sz w:val="26"/>
          <w:highlight w:val="yellow"/>
          <w:u w:val="single"/>
        </w:rPr>
        <w:t xml:space="preserve">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w:t>
      </w:r>
      <w:proofErr w:type="gramStart"/>
      <w:r w:rsidRPr="009129DB">
        <w:rPr>
          <w:rFonts w:eastAsia="Calibri"/>
          <w:sz w:val="14"/>
        </w:rPr>
        <w:t>If</w:t>
      </w:r>
      <w:proofErr w:type="gramEnd"/>
      <w:r w:rsidRPr="009129DB">
        <w:rPr>
          <w:rFonts w:eastAsia="Calibri"/>
          <w:sz w:val="14"/>
        </w:rPr>
        <w:t xml:space="preserve">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xml:space="preserve">. On the other </w:t>
      </w:r>
      <w:proofErr w:type="gramStart"/>
      <w:r w:rsidRPr="009129DB">
        <w:rPr>
          <w:rFonts w:eastAsia="Calibri"/>
          <w:sz w:val="14"/>
        </w:rPr>
        <w:t>hand</w:t>
      </w:r>
      <w:proofErr w:type="gramEnd"/>
      <w:r w:rsidRPr="009129DB">
        <w:rPr>
          <w:rFonts w:eastAsia="Calibri"/>
          <w:sz w:val="14"/>
        </w:rPr>
        <w:t xml:space="preserve">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9129DB">
        <w:rPr>
          <w:rFonts w:eastAsia="Calibri"/>
          <w:sz w:val="14"/>
        </w:rPr>
        <w:t>centimetre</w:t>
      </w:r>
      <w:proofErr w:type="spellEnd"/>
      <w:r w:rsidRPr="009129DB">
        <w:rPr>
          <w:rFonts w:eastAsia="Calibri"/>
          <w:sz w:val="14"/>
        </w:rPr>
        <w:t>. But we shall of course give more serious attention, especially to the second of the above ways of defending utilitarianism, as we continue the exposition of our own theory.</w:t>
      </w:r>
    </w:p>
    <w:p w14:paraId="4BB88317" w14:textId="131DFE9D" w:rsidR="00054C87" w:rsidRPr="00054C87" w:rsidRDefault="00054C87" w:rsidP="00054C87">
      <w:pPr>
        <w:pStyle w:val="Heading4"/>
        <w:rPr>
          <w:rStyle w:val="Style13ptBold"/>
          <w:rFonts w:cs="Calibri"/>
          <w:b/>
          <w:bCs w:val="0"/>
          <w:u w:val="none"/>
        </w:rPr>
      </w:pPr>
      <w:r>
        <w:rPr>
          <w:rFonts w:cs="Calibri"/>
        </w:rPr>
        <w:t xml:space="preserve">3] </w:t>
      </w:r>
      <w:r w:rsidRPr="00DB30A0">
        <w:rPr>
          <w:rFonts w:cs="Calibri"/>
        </w:rPr>
        <w:t xml:space="preserve">Bindingness – </w:t>
      </w:r>
    </w:p>
    <w:p w14:paraId="0E152B7B" w14:textId="66196260" w:rsidR="00DE5411" w:rsidRDefault="00DE5411" w:rsidP="00DE5411">
      <w:pPr>
        <w:pStyle w:val="Heading4"/>
      </w:pPr>
      <w:r>
        <w:t>That affirms-</w:t>
      </w:r>
    </w:p>
    <w:p w14:paraId="28EEE66A" w14:textId="05BF11A9" w:rsidR="00DE5411" w:rsidRDefault="00DE5411" w:rsidP="00DE5411">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700A45B3" w14:textId="77777777" w:rsidR="00DE5411" w:rsidRPr="00965C91" w:rsidRDefault="00DE5411" w:rsidP="00DE5411">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6725FC88" w14:textId="3673115D" w:rsidR="00DE5411" w:rsidRPr="00DE5411" w:rsidRDefault="00DE5411" w:rsidP="00DE5411">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w:t>
      </w:r>
      <w:proofErr w:type="gramStart"/>
      <w:r w:rsidRPr="00965C91">
        <w:rPr>
          <w:sz w:val="14"/>
        </w:rPr>
        <w:t>training</w:t>
      </w:r>
      <w:proofErr w:type="gramEnd"/>
      <w:r w:rsidRPr="00965C91">
        <w:rPr>
          <w:sz w:val="14"/>
        </w:rPr>
        <w:t xml:space="preserve">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w:t>
      </w:r>
      <w:proofErr w:type="gramStart"/>
      <w:r w:rsidRPr="00965C91">
        <w:rPr>
          <w:sz w:val="14"/>
        </w:rPr>
        <w:t>in order to</w:t>
      </w:r>
      <w:proofErr w:type="gramEnd"/>
      <w:r w:rsidRPr="00965C91">
        <w:rPr>
          <w:sz w:val="14"/>
        </w:rPr>
        <w:t xml:space="preserve">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w:t>
      </w:r>
      <w:proofErr w:type="gramStart"/>
      <w:r w:rsidRPr="00965C91">
        <w:rPr>
          <w:rStyle w:val="StyleUnderline"/>
        </w:rPr>
        <w:t>i.e.</w:t>
      </w:r>
      <w:proofErr w:type="gramEnd"/>
      <w:r w:rsidRPr="00965C91">
        <w:rPr>
          <w:rStyle w:val="StyleUnderline"/>
        </w:rPr>
        <w:t xml:space="preserv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w:t>
      </w:r>
      <w:proofErr w:type="gramStart"/>
      <w:r w:rsidRPr="00965C91">
        <w:rPr>
          <w:sz w:val="14"/>
        </w:rPr>
        <w:t>engineering</w:t>
      </w:r>
      <w:proofErr w:type="gramEnd"/>
      <w:r w:rsidRPr="00965C91">
        <w:rPr>
          <w:sz w:val="14"/>
        </w:rPr>
        <w:t xml:space="preserve">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w:t>
      </w:r>
      <w:proofErr w:type="gramStart"/>
      <w:r w:rsidRPr="00965C91">
        <w:rPr>
          <w:sz w:val="14"/>
        </w:rPr>
        <w:t>i.e.</w:t>
      </w:r>
      <w:proofErr w:type="gramEnd"/>
      <w:r w:rsidRPr="00965C91">
        <w:rPr>
          <w:sz w:val="14"/>
        </w:rPr>
        <w:t xml:space="preserve"> a U-shaped curve) between IPRs and economic development, which initially falls as income rises, then increases after that.</w:t>
      </w:r>
    </w:p>
    <w:p w14:paraId="3755CAC5" w14:textId="77777777" w:rsidR="00DE5411" w:rsidRPr="00DB30A0" w:rsidRDefault="00DE5411" w:rsidP="00DE5411">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7150A77A" w14:textId="77777777" w:rsidR="00DE5411" w:rsidRPr="00DB30A0" w:rsidRDefault="00DE5411" w:rsidP="00DE5411">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proofErr w:type="gramStart"/>
      <w:r w:rsidRPr="00DB30A0">
        <w:t>M.Libr</w:t>
      </w:r>
      <w:proofErr w:type="spellEnd"/>
      <w:proofErr w:type="gramEnd"/>
      <w:r w:rsidRPr="00DB30A0">
        <w:t xml:space="preserve">. with a Certificate in Law Librarianship from the University of Washington. Prior to the University of Washington, he spent five years as </w:t>
      </w:r>
      <w:proofErr w:type="gramStart"/>
      <w:r w:rsidRPr="00DB30A0">
        <w:t>an</w:t>
      </w:r>
      <w:proofErr w:type="gramEnd"/>
      <w:r w:rsidRPr="00DB30A0">
        <w:t xml:space="preserve">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3E35F133" w14:textId="77777777" w:rsidR="00DE5411" w:rsidRPr="0099179C" w:rsidRDefault="00DE5411" w:rsidP="00DE5411">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 xml:space="preserve">ing Microsoft Word, PDF, and HTML. In addition, </w:t>
      </w:r>
      <w:proofErr w:type="gramStart"/>
      <w:r w:rsidRPr="0099179C">
        <w:rPr>
          <w:sz w:val="12"/>
        </w:rPr>
        <w:t>This</w:t>
      </w:r>
      <w:proofErr w:type="gramEnd"/>
      <w:r w:rsidRPr="0099179C">
        <w:rPr>
          <w:sz w:val="12"/>
        </w:rPr>
        <w:t xml:space="preserve"> page was last updated February 8, 2013. 5 the links below link to the main pages for those treaties, rather than the HTML texts so that the reader can also find related protocols, </w:t>
      </w:r>
      <w:proofErr w:type="gramStart"/>
      <w:r w:rsidRPr="0099179C">
        <w:rPr>
          <w:sz w:val="12"/>
        </w:rPr>
        <w:t>notifications</w:t>
      </w:r>
      <w:proofErr w:type="gramEnd"/>
      <w:r w:rsidRPr="0099179C">
        <w:rPr>
          <w:sz w:val="12"/>
        </w:rPr>
        <w:t xml:space="preserve">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5765E21A" w14:textId="5A85B338" w:rsidR="00A95652" w:rsidRDefault="00C06887" w:rsidP="00DE5411">
      <w:pPr>
        <w:pStyle w:val="Heading2"/>
      </w:pPr>
      <w:r>
        <w:t>2</w:t>
      </w:r>
    </w:p>
    <w:p w14:paraId="0097A02F" w14:textId="77777777" w:rsidR="00DE5411" w:rsidRPr="00C43442" w:rsidRDefault="00DE5411" w:rsidP="00DE5411">
      <w:pPr>
        <w:pStyle w:val="Heading4"/>
        <w:rPr>
          <w:rFonts w:cs="Times New Roman"/>
        </w:rPr>
      </w:pPr>
      <w:r w:rsidRPr="00C43442">
        <w:rPr>
          <w:rFonts w:cs="Times New Roman"/>
        </w:rPr>
        <w:t>Utilitarianism is morally repugnant:</w:t>
      </w:r>
    </w:p>
    <w:p w14:paraId="53E8CA3E" w14:textId="77777777" w:rsidR="00DE5411" w:rsidRPr="00C43442" w:rsidRDefault="00DE5411" w:rsidP="00DE5411">
      <w:pPr>
        <w:pStyle w:val="Heading4"/>
        <w:rPr>
          <w:rFonts w:cs="Times New Roman"/>
        </w:rPr>
      </w:pPr>
      <w:r w:rsidRPr="00C43442">
        <w:rPr>
          <w:rFonts w:cs="Times New Roman"/>
        </w:rPr>
        <w:t xml:space="preserve">[1] Util creates a moral obligation to oppress </w:t>
      </w:r>
      <w:proofErr w:type="gramStart"/>
      <w:r w:rsidRPr="00C43442">
        <w:rPr>
          <w:rFonts w:cs="Times New Roman"/>
        </w:rPr>
        <w:t>people, when</w:t>
      </w:r>
      <w:proofErr w:type="gramEnd"/>
      <w:r w:rsidRPr="00C43442">
        <w:rPr>
          <w:rFonts w:cs="Times New Roman"/>
        </w:rPr>
        <w:t xml:space="preserve"> their suffering would cause a greater amount of happiness for the majority.</w:t>
      </w:r>
    </w:p>
    <w:p w14:paraId="24A39BF2" w14:textId="77777777" w:rsidR="00DE5411" w:rsidRPr="00C43442" w:rsidRDefault="00DE5411" w:rsidP="00DE5411">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33A255AD" w14:textId="77777777" w:rsidR="00DE5411" w:rsidRPr="00C43442" w:rsidRDefault="00DE5411" w:rsidP="00DE5411">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75BDA19D" w14:textId="77777777" w:rsidR="00DE5411" w:rsidRPr="00C43442" w:rsidRDefault="00DE5411" w:rsidP="00DE5411">
      <w:pPr>
        <w:pStyle w:val="Heading4"/>
        <w:rPr>
          <w:rFonts w:cs="Times New Roman"/>
        </w:rPr>
      </w:pPr>
      <w:r w:rsidRPr="00C43442">
        <w:rPr>
          <w:rFonts w:cs="Times New Roman"/>
        </w:rPr>
        <w:t xml:space="preserve">[2] Because only consequences determine if specific actions are good or bad, utilitarianism justifies horrific conclusions since no </w:t>
      </w:r>
      <w:proofErr w:type="gramStart"/>
      <w:r w:rsidRPr="00C43442">
        <w:rPr>
          <w:rFonts w:cs="Times New Roman"/>
        </w:rPr>
        <w:t>state of affairs</w:t>
      </w:r>
      <w:proofErr w:type="gramEnd"/>
      <w:r w:rsidRPr="00C43442">
        <w:rPr>
          <w:rFonts w:cs="Times New Roman"/>
        </w:rPr>
        <w:t xml:space="preserve"> could ever be intrinsically bad in and of itself. </w:t>
      </w:r>
    </w:p>
    <w:p w14:paraId="06EE0717" w14:textId="77777777" w:rsidR="00DE5411" w:rsidRPr="00C43442" w:rsidRDefault="00DE5411" w:rsidP="00DE5411">
      <w:proofErr w:type="spellStart"/>
      <w:r w:rsidRPr="00C43442">
        <w:rPr>
          <w:b/>
          <w:bCs/>
          <w:szCs w:val="26"/>
          <w:u w:val="single"/>
        </w:rPr>
        <w:t>Vallentyne</w:t>
      </w:r>
      <w:proofErr w:type="spellEnd"/>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C43442">
        <w:rPr>
          <w:b/>
          <w:bCs/>
          <w:szCs w:val="26"/>
          <w:u w:val="single"/>
        </w:rPr>
        <w:t>2006</w:t>
      </w:r>
      <w:r w:rsidRPr="00C43442">
        <w:rPr>
          <w:sz w:val="16"/>
          <w:szCs w:val="16"/>
        </w:rPr>
        <w:t xml:space="preserve">, mospace.umsystem.edu/xmlui/bitstream/handle/10355/10174/AgainstMaximizingActConsequentialism.pdf?sequence=1. </w:t>
      </w:r>
    </w:p>
    <w:p w14:paraId="7492A4FD" w14:textId="77777777" w:rsidR="00DE5411" w:rsidRPr="00C43442" w:rsidRDefault="00DE5411" w:rsidP="00DE5411">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w:t>
      </w:r>
      <w:proofErr w:type="gramStart"/>
      <w:r w:rsidRPr="00C43442">
        <w:rPr>
          <w:sz w:val="16"/>
        </w:rPr>
        <w:t>in a given</w:t>
      </w:r>
      <w:proofErr w:type="gramEnd"/>
      <w:r w:rsidRPr="00C43442">
        <w:rPr>
          <w:sz w:val="16"/>
        </w:rPr>
        <w:t xml:space="preserve">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C43442">
        <w:rPr>
          <w:sz w:val="16"/>
        </w:rPr>
        <w:t>implausible, because</w:t>
      </w:r>
      <w:proofErr w:type="gramEnd"/>
      <w:r w:rsidRPr="00C43442">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C43442">
        <w:rPr>
          <w:sz w:val="16"/>
        </w:rPr>
        <w:t>In particular</w:t>
      </w:r>
      <w:r w:rsidRPr="00C43442">
        <w:rPr>
          <w:b/>
          <w:bCs/>
          <w:szCs w:val="26"/>
          <w:u w:val="single"/>
        </w:rPr>
        <w:t xml:space="preserve">, </w:t>
      </w:r>
      <w:r w:rsidRPr="00C43442">
        <w:rPr>
          <w:b/>
          <w:bCs/>
          <w:szCs w:val="26"/>
          <w:highlight w:val="yellow"/>
          <w:u w:val="single"/>
        </w:rPr>
        <w:t>individuals</w:t>
      </w:r>
      <w:proofErr w:type="gramEnd"/>
      <w:r w:rsidRPr="00C43442">
        <w:rPr>
          <w:b/>
          <w:bCs/>
          <w:szCs w:val="26"/>
          <w:highlight w:val="yellow"/>
          <w:u w:val="single"/>
        </w:rPr>
        <w:t xml:space="preserve">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xml:space="preserve">, and this means that at least sometimes certain things may not be done to them, even though this promotes value overall. An innocent person may not be killed against her will, for example, </w:t>
      </w:r>
      <w:proofErr w:type="gramStart"/>
      <w:r w:rsidRPr="00C43442">
        <w:rPr>
          <w:sz w:val="16"/>
        </w:rPr>
        <w:t>in order to</w:t>
      </w:r>
      <w:proofErr w:type="gramEnd"/>
      <w:r w:rsidRPr="00C43442">
        <w:rPr>
          <w:sz w:val="16"/>
        </w:rPr>
        <w:t xml:space="preserve"> make a million happy people slightly happier. This would be sacrificing her for the benefit of others.</w:t>
      </w:r>
    </w:p>
    <w:p w14:paraId="38D0817C" w14:textId="77777777" w:rsidR="00DE5411" w:rsidRPr="00C43442" w:rsidRDefault="00DE5411" w:rsidP="00DE5411">
      <w:pPr>
        <w:pStyle w:val="Heading4"/>
        <w:rPr>
          <w:rFonts w:cs="Times New Roman"/>
        </w:rPr>
      </w:pPr>
      <w:r w:rsidRPr="00C43442">
        <w:rPr>
          <w:rFonts w:cs="Times New Roman"/>
        </w:rPr>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32044A63" w14:textId="625DB007" w:rsidR="00DE5411" w:rsidRPr="00C43442" w:rsidRDefault="00DE5411" w:rsidP="00DE5411">
      <w:pPr>
        <w:pStyle w:val="Heading4"/>
        <w:rPr>
          <w:rFonts w:cs="Times New Roman"/>
        </w:rPr>
      </w:pPr>
      <w:r w:rsidRPr="00C43442">
        <w:rPr>
          <w:rFonts w:cs="Times New Roman"/>
        </w:rPr>
        <w:t xml:space="preserve">Impacts: </w:t>
      </w:r>
    </w:p>
    <w:p w14:paraId="41F57509" w14:textId="56B8BDBE" w:rsidR="00DE5411" w:rsidRDefault="00DE5411" w:rsidP="00DE5411">
      <w:pPr>
        <w:pStyle w:val="Heading4"/>
        <w:rPr>
          <w:rFonts w:cs="Times New Roman"/>
        </w:rPr>
      </w:pP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08540EAC" w14:textId="6E426C31" w:rsidR="00DE5411" w:rsidRDefault="00C06887" w:rsidP="00DE5411">
      <w:pPr>
        <w:pStyle w:val="Heading2"/>
      </w:pPr>
      <w:r>
        <w:t>3</w:t>
      </w:r>
    </w:p>
    <w:p w14:paraId="02436D88" w14:textId="77777777" w:rsidR="00054C87" w:rsidRDefault="00054C87" w:rsidP="00054C87">
      <w:pPr>
        <w:pStyle w:val="Heading4"/>
      </w:pPr>
      <w:r>
        <w:t>Uniqueness: Industrial society and a growing population of humans make extinction inevitable- famine, biodiversity loss, and much more.</w:t>
      </w:r>
    </w:p>
    <w:p w14:paraId="6FCD9FF1" w14:textId="77777777" w:rsidR="00054C87" w:rsidRDefault="00054C87" w:rsidP="00054C87">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3E7DE0D5" w14:textId="77777777" w:rsidR="00054C87" w:rsidRPr="007378DB" w:rsidRDefault="00054C87" w:rsidP="00054C87">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7378DB">
        <w:rPr>
          <w:sz w:val="14"/>
        </w:rPr>
        <w:t>Bavel</w:t>
      </w:r>
      <w:proofErr w:type="spellEnd"/>
      <w:r w:rsidRPr="007378DB">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7378DB">
        <w:rPr>
          <w:sz w:val="14"/>
        </w:rPr>
        <w:t>Mindel</w:t>
      </w:r>
      <w:proofErr w:type="spellEnd"/>
      <w:r w:rsidRPr="007378DB">
        <w:rPr>
          <w:sz w:val="14"/>
        </w:rPr>
        <w:t xml:space="preserve">, 2015), certain global trends are obvious. Since the start of agriculture around 11,000 years ago, the biomass of </w:t>
      </w:r>
      <w:r w:rsidRPr="00E73F59">
        <w:rPr>
          <w:rStyle w:val="Emphasis"/>
          <w:highlight w:val="yellow"/>
        </w:rPr>
        <w:t>terrestrial vegetation has been halved</w:t>
      </w:r>
      <w:r w:rsidRPr="007378DB">
        <w:rPr>
          <w:sz w:val="14"/>
        </w:rPr>
        <w:t xml:space="preserve"> (</w:t>
      </w:r>
      <w:proofErr w:type="spellStart"/>
      <w:r w:rsidRPr="007378DB">
        <w:rPr>
          <w:sz w:val="14"/>
        </w:rPr>
        <w:t>Erb</w:t>
      </w:r>
      <w:proofErr w:type="spellEnd"/>
      <w:r w:rsidRPr="007378DB">
        <w:rPr>
          <w:sz w:val="14"/>
        </w:rPr>
        <w:t xml:space="preserve"> et al., 2018), with a corresponding loss of &gt;20% of its original biodiversity (Díaz et al., 2019), together denoting that &gt;70% of the Earth's land surface has been altered by Homo sapiens (IPBES, 2019). There have been &gt;</w:t>
      </w:r>
      <w:r w:rsidRPr="00E73F59">
        <w:rPr>
          <w:rStyle w:val="Emphasis"/>
          <w:highlight w:val="yellow"/>
        </w:rPr>
        <w:t>700</w:t>
      </w:r>
      <w:r w:rsidRPr="007378DB">
        <w:rPr>
          <w:sz w:val="14"/>
        </w:rPr>
        <w:t xml:space="preserve"> documented </w:t>
      </w:r>
      <w:r w:rsidRPr="00E73F59">
        <w:rPr>
          <w:rStyle w:val="Emphasis"/>
          <w:highlight w:val="yellow"/>
        </w:rPr>
        <w:t>vertebrate</w:t>
      </w:r>
      <w:r w:rsidRPr="007378DB">
        <w:rPr>
          <w:sz w:val="14"/>
        </w:rPr>
        <w:t xml:space="preserve"> (Díaz et al., 2019) </w:t>
      </w:r>
      <w:r w:rsidRPr="00E73F59">
        <w:rPr>
          <w:rStyle w:val="Emphasis"/>
          <w:highlight w:val="yellow"/>
        </w:rPr>
        <w:t>and ~600 plant</w:t>
      </w:r>
      <w:r w:rsidRPr="007378DB">
        <w:rPr>
          <w:sz w:val="14"/>
        </w:rPr>
        <w:t xml:space="preserve"> (Humphreys et al., 2019) </w:t>
      </w:r>
      <w:r w:rsidRPr="00E73F59">
        <w:rPr>
          <w:rStyle w:val="Emphasis"/>
          <w:highlight w:val="yellow"/>
        </w:rPr>
        <w:t>species extinctions</w:t>
      </w:r>
      <w:r w:rsidRPr="007378DB">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w:t>
      </w:r>
      <w:proofErr w:type="gramStart"/>
      <w:r w:rsidRPr="007378DB">
        <w:rPr>
          <w:sz w:val="14"/>
        </w:rPr>
        <w:t>in the near future</w:t>
      </w:r>
      <w:proofErr w:type="gramEnd"/>
      <w:r w:rsidRPr="007378DB">
        <w:rPr>
          <w:sz w:val="14"/>
        </w:rPr>
        <w:t xml:space="preserv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E73F59">
        <w:rPr>
          <w:rStyle w:val="Emphasis"/>
          <w:highlight w:val="yellow"/>
        </w:rPr>
        <w:t>Freshwater and marine environments have</w:t>
      </w:r>
      <w:r w:rsidRPr="007378DB">
        <w:rPr>
          <w:sz w:val="14"/>
        </w:rPr>
        <w:t xml:space="preserve"> also </w:t>
      </w:r>
      <w:r w:rsidRPr="00E73F59">
        <w:rPr>
          <w:rStyle w:val="Emphasis"/>
          <w:highlight w:val="yellow"/>
        </w:rPr>
        <w:t>been</w:t>
      </w:r>
      <w:r w:rsidRPr="007378DB">
        <w:rPr>
          <w:sz w:val="14"/>
        </w:rPr>
        <w:t xml:space="preserve"> severely </w:t>
      </w:r>
      <w:r w:rsidRPr="00E73F59">
        <w:rPr>
          <w:rStyle w:val="Emphasis"/>
          <w:highlight w:val="yellow"/>
        </w:rPr>
        <w:t>damaged</w:t>
      </w:r>
      <w:r w:rsidRPr="007378DB">
        <w:rPr>
          <w:sz w:val="14"/>
        </w:rPr>
        <w:t xml:space="preserve">. Today there is &lt;15% of the original wetland area globally than was present 300 years ago (Davidson, 2014), and &gt;75% of rivers &gt;1,000 km long no longer </w:t>
      </w:r>
      <w:proofErr w:type="gramStart"/>
      <w:r w:rsidRPr="007378DB">
        <w:rPr>
          <w:sz w:val="14"/>
        </w:rPr>
        <w:t>flow</w:t>
      </w:r>
      <w:proofErr w:type="gramEnd"/>
      <w:r w:rsidRPr="007378DB">
        <w:rPr>
          <w:sz w:val="14"/>
        </w:rPr>
        <w:t xml:space="preserve"> freely along their entire course (Grill et al., 2019). More than </w:t>
      </w:r>
      <w:r w:rsidRPr="00627B4B">
        <w:rPr>
          <w:rStyle w:val="Emphasis"/>
        </w:rPr>
        <w:t>two-thirds of the oceans have been compromised</w:t>
      </w:r>
      <w:r w:rsidRPr="007378DB">
        <w:rPr>
          <w:sz w:val="14"/>
        </w:rPr>
        <w:t xml:space="preserve"> to some extent by human activities (Halpern et al., 2015), live coral cover on reefs has halved in &lt;200 years (</w:t>
      </w:r>
      <w:proofErr w:type="spellStart"/>
      <w:r w:rsidRPr="007378DB">
        <w:rPr>
          <w:sz w:val="14"/>
        </w:rPr>
        <w:t>Frieler</w:t>
      </w:r>
      <w:proofErr w:type="spellEnd"/>
      <w:r w:rsidRPr="007378DB">
        <w:rPr>
          <w:sz w:val="14"/>
        </w:rPr>
        <w:t xml:space="preserve"> et al., 2013), seagrass extent has been decreasing by 10% per decade over the last century (</w:t>
      </w:r>
      <w:proofErr w:type="spellStart"/>
      <w:r w:rsidRPr="007378DB">
        <w:rPr>
          <w:sz w:val="14"/>
        </w:rPr>
        <w:t>Waycott</w:t>
      </w:r>
      <w:proofErr w:type="spellEnd"/>
      <w:r w:rsidRPr="007378DB">
        <w:rPr>
          <w:sz w:val="14"/>
        </w:rPr>
        <w:t xml:space="preserve"> et al., 2009; Díaz et al., 2019), kelp forests have declined by ~40% (</w:t>
      </w:r>
      <w:proofErr w:type="spellStart"/>
      <w:r w:rsidRPr="007378DB">
        <w:rPr>
          <w:sz w:val="14"/>
        </w:rPr>
        <w:t>Krumhansl</w:t>
      </w:r>
      <w:proofErr w:type="spellEnd"/>
      <w:r w:rsidRPr="007378DB">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7378DB">
        <w:rPr>
          <w:sz w:val="14"/>
        </w:rPr>
        <w:t>Hinkel</w:t>
      </w:r>
      <w:proofErr w:type="spellEnd"/>
      <w:r w:rsidRPr="007378DB">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7378DB">
        <w:rPr>
          <w:sz w:val="14"/>
        </w:rPr>
        <w:t>Elhacham</w:t>
      </w:r>
      <w:proofErr w:type="spellEnd"/>
      <w:r w:rsidRPr="007378DB">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7378DB">
        <w:rPr>
          <w:sz w:val="14"/>
        </w:rPr>
        <w:t>Barnosky</w:t>
      </w:r>
      <w:proofErr w:type="spellEnd"/>
      <w:r w:rsidRPr="007378DB">
        <w:rPr>
          <w:sz w:val="14"/>
        </w:rPr>
        <w:t xml:space="preserve"> et al., 2011</w:t>
      </w:r>
      <w:r w:rsidRPr="007378DB">
        <w:rPr>
          <w:rStyle w:val="Emphasis"/>
        </w:rPr>
        <w:t>). At least five major extinction events have occurred since the Cambrian</w:t>
      </w:r>
      <w:r w:rsidRPr="007378DB">
        <w:rPr>
          <w:sz w:val="14"/>
        </w:rPr>
        <w:t xml:space="preserve"> (Sodhi et al., 2009), the most recent of them 66 million years ago at the close of the Cretaceous period. </w:t>
      </w:r>
      <w:r w:rsidRPr="007378DB">
        <w:rPr>
          <w:rStyle w:val="Emphasis"/>
          <w:highlight w:val="yellow"/>
        </w:rPr>
        <w:t>The background rate of extinction</w:t>
      </w:r>
      <w:r w:rsidRPr="007378DB">
        <w:rPr>
          <w:rStyle w:val="Emphasis"/>
        </w:rPr>
        <w:t xml:space="preserve"> since then </w:t>
      </w:r>
      <w:r w:rsidRPr="00647C69">
        <w:rPr>
          <w:rStyle w:val="Emphasis"/>
          <w:highlight w:val="yellow"/>
        </w:rPr>
        <w:t>has been 0.1 extinctions million species−1 year</w:t>
      </w:r>
      <w:r w:rsidRPr="007378DB">
        <w:rPr>
          <w:rStyle w:val="Emphasis"/>
        </w:rPr>
        <w:t xml:space="preserve">−1 (Ceballos et al., 2015), </w:t>
      </w:r>
      <w:r w:rsidRPr="007378DB">
        <w:rPr>
          <w:rStyle w:val="Emphasis"/>
          <w:highlight w:val="yellow"/>
        </w:rPr>
        <w:t>while</w:t>
      </w:r>
      <w:r w:rsidRPr="007378DB">
        <w:rPr>
          <w:rStyle w:val="Emphasis"/>
        </w:rPr>
        <w:t xml:space="preserve"> estimates of </w:t>
      </w:r>
      <w:r w:rsidRPr="007378DB">
        <w:rPr>
          <w:rStyle w:val="Emphasis"/>
          <w:highlight w:val="yellow"/>
        </w:rPr>
        <w:t>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w:t>
      </w:r>
      <w:proofErr w:type="spellStart"/>
      <w:r w:rsidRPr="007378DB">
        <w:rPr>
          <w:sz w:val="14"/>
        </w:rPr>
        <w:t>Barnosky</w:t>
      </w:r>
      <w:proofErr w:type="spellEnd"/>
      <w:r w:rsidRPr="007378DB">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7378DB">
        <w:rPr>
          <w:sz w:val="14"/>
        </w:rPr>
        <w:t>Serdeczny</w:t>
      </w:r>
      <w:proofErr w:type="spellEnd"/>
      <w:r w:rsidRPr="007378DB">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7378DB">
        <w:rPr>
          <w:sz w:val="14"/>
        </w:rPr>
        <w:t>Gerland</w:t>
      </w:r>
      <w:proofErr w:type="spellEnd"/>
      <w:r w:rsidRPr="007378DB">
        <w:rPr>
          <w:sz w:val="14"/>
        </w:rPr>
        <w:t xml:space="preserve"> et al., 2014), although more recent estimates predict a peak toward the end of this century (</w:t>
      </w:r>
      <w:proofErr w:type="spellStart"/>
      <w:r w:rsidRPr="007378DB">
        <w:rPr>
          <w:sz w:val="14"/>
        </w:rPr>
        <w:t>Vollset</w:t>
      </w:r>
      <w:proofErr w:type="spellEnd"/>
      <w:r w:rsidRPr="007378DB">
        <w:rPr>
          <w:sz w:val="14"/>
        </w:rPr>
        <w:t xml:space="preserve">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 xml:space="preserve">700–800 million people are starving and </w:t>
      </w:r>
      <w:r w:rsidRPr="00E73F59">
        <w:rPr>
          <w:rStyle w:val="Emphasis"/>
          <w:highlight w:val="yellow"/>
        </w:rPr>
        <w:t>1–2 billion are</w:t>
      </w:r>
      <w:r w:rsidRPr="00E73F59">
        <w:rPr>
          <w:rStyle w:val="Emphasis"/>
        </w:rPr>
        <w:t xml:space="preserve"> </w:t>
      </w:r>
      <w:r w:rsidRPr="007378DB">
        <w:rPr>
          <w:sz w:val="14"/>
        </w:rPr>
        <w:t>micronutrient-</w:t>
      </w:r>
      <w:r w:rsidRPr="00627B4B">
        <w:rPr>
          <w:rStyle w:val="Emphasis"/>
          <w:highlight w:val="yellow"/>
        </w:rPr>
        <w:t>malnourished</w:t>
      </w:r>
      <w:r w:rsidRPr="007378DB">
        <w:rPr>
          <w:sz w:val="14"/>
        </w:rPr>
        <w:t xml:space="preserve"> </w:t>
      </w:r>
      <w:r w:rsidRPr="00627B4B">
        <w:rPr>
          <w:rStyle w:val="Emphasis"/>
          <w:highlight w:val="yellow"/>
        </w:rPr>
        <w:t>and</w:t>
      </w:r>
      <w:r w:rsidRPr="007378DB">
        <w:rPr>
          <w:sz w:val="14"/>
        </w:rPr>
        <w:t xml:space="preserve"> </w:t>
      </w:r>
      <w:r w:rsidRPr="00E73F59">
        <w:rPr>
          <w:rStyle w:val="Emphasis"/>
          <w:highlight w:val="yellow"/>
        </w:rPr>
        <w:t xml:space="preserve">unable to function </w:t>
      </w:r>
      <w:r w:rsidRPr="00627B4B">
        <w:rPr>
          <w:rStyle w:val="Emphasis"/>
          <w:highlight w:val="yellow"/>
        </w:rPr>
        <w:t>fully, with</w:t>
      </w:r>
      <w:r w:rsidRPr="007378DB">
        <w:rPr>
          <w:sz w:val="14"/>
        </w:rPr>
        <w:t xml:space="preserve"> </w:t>
      </w:r>
      <w:r w:rsidRPr="00E73F59">
        <w:rPr>
          <w:rStyle w:val="Emphasis"/>
        </w:rPr>
        <w:t xml:space="preserve">prospects of many </w:t>
      </w:r>
      <w:r w:rsidRPr="00627B4B">
        <w:rPr>
          <w:rStyle w:val="Emphasis"/>
          <w:highlight w:val="yellow"/>
        </w:rPr>
        <w:t>more food problems in the</w:t>
      </w:r>
      <w:r w:rsidRPr="00E73F59">
        <w:rPr>
          <w:rStyle w:val="Emphasis"/>
        </w:rPr>
        <w:t xml:space="preserve"> near </w:t>
      </w:r>
      <w:r w:rsidRPr="00627B4B">
        <w:rPr>
          <w:rStyle w:val="Emphasis"/>
          <w:highlight w:val="yellow"/>
        </w:rPr>
        <w:t>future</w:t>
      </w:r>
      <w:r w:rsidRPr="007378DB">
        <w:rPr>
          <w:sz w:val="14"/>
        </w:rPr>
        <w:t xml:space="preserve"> (Ehrlich and Harte, 2015</w:t>
      </w:r>
      <w:proofErr w:type="gramStart"/>
      <w:r w:rsidRPr="007378DB">
        <w:rPr>
          <w:sz w:val="14"/>
        </w:rPr>
        <w:t>a,b</w:t>
      </w:r>
      <w:proofErr w:type="gramEnd"/>
      <w:r w:rsidRPr="007378DB">
        <w:rPr>
          <w:sz w:val="14"/>
        </w:rPr>
        <w:t xml:space="preserve">).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001FEB">
        <w:rPr>
          <w:rStyle w:val="Emphasis"/>
          <w:highlight w:val="yellow"/>
        </w:rPr>
        <w:t xml:space="preserve">more synthetic compounds and </w:t>
      </w:r>
      <w:r w:rsidRPr="00627B4B">
        <w:rPr>
          <w:rStyle w:val="Emphasis"/>
        </w:rPr>
        <w:t xml:space="preserve">dangerous throw-away </w:t>
      </w:r>
      <w:r w:rsidRPr="00001FEB">
        <w:rPr>
          <w:rStyle w:val="Emphasis"/>
          <w:highlight w:val="yellow"/>
        </w:rPr>
        <w:t>plastics</w:t>
      </w:r>
      <w:r w:rsidRPr="00E73F59">
        <w:rPr>
          <w:rStyle w:val="Emphasis"/>
        </w:rPr>
        <w:t xml:space="preserve"> (</w:t>
      </w:r>
      <w:proofErr w:type="spellStart"/>
      <w:r w:rsidRPr="00E73F59">
        <w:rPr>
          <w:rStyle w:val="Emphasis"/>
        </w:rPr>
        <w:t>Vethaak</w:t>
      </w:r>
      <w:proofErr w:type="spellEnd"/>
      <w:r w:rsidRPr="00E73F59">
        <w:rPr>
          <w:rStyle w:val="Emphasis"/>
        </w:rPr>
        <w:t xml:space="preserve">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w:t>
      </w:r>
      <w:proofErr w:type="spellStart"/>
      <w:r w:rsidRPr="00E73F59">
        <w:rPr>
          <w:rStyle w:val="Emphasis"/>
        </w:rPr>
        <w:t>Klare</w:t>
      </w:r>
      <w:proofErr w:type="spellEnd"/>
      <w:r w:rsidRPr="00E73F59">
        <w:rPr>
          <w:rStyle w:val="Emphasis"/>
        </w:rPr>
        <w:t>,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7378DB">
        <w:rPr>
          <w:sz w:val="14"/>
        </w:rPr>
        <w:t>Klare</w:t>
      </w:r>
      <w:proofErr w:type="spellEnd"/>
      <w:r w:rsidRPr="007378DB">
        <w:rPr>
          <w:sz w:val="14"/>
        </w:rPr>
        <w:t xml:space="preserve">, 2001; Toon et al., 2007). The multiple, interacting causes of civil war </w:t>
      </w:r>
      <w:proofErr w:type="gramStart"/>
      <w:r w:rsidRPr="007378DB">
        <w:rPr>
          <w:sz w:val="14"/>
        </w:rPr>
        <w:t>in particular are</w:t>
      </w:r>
      <w:proofErr w:type="gramEnd"/>
      <w:r w:rsidRPr="007378DB">
        <w:rPr>
          <w:sz w:val="14"/>
        </w:rPr>
        <w:t xml:space="preserve"> varied, including poverty, inequality, weak institutions, political grievance, ethnic divisions, and environmental stressors such as drought, deforestation, and land degradation (Homer-Dixon, 1991, 1999; Collier and </w:t>
      </w:r>
      <w:proofErr w:type="spellStart"/>
      <w:r w:rsidRPr="007378DB">
        <w:rPr>
          <w:sz w:val="14"/>
        </w:rPr>
        <w:t>Hoeer</w:t>
      </w:r>
      <w:proofErr w:type="spellEnd"/>
      <w:r w:rsidRPr="007378DB">
        <w:rPr>
          <w:sz w:val="14"/>
        </w:rPr>
        <w:t xml:space="preserve">, 1998; Hauge and </w:t>
      </w:r>
      <w:proofErr w:type="spellStart"/>
      <w:r w:rsidRPr="007378DB">
        <w:rPr>
          <w:sz w:val="14"/>
        </w:rPr>
        <w:t>llingsen</w:t>
      </w:r>
      <w:proofErr w:type="spellEnd"/>
      <w:r w:rsidRPr="007378DB">
        <w:rPr>
          <w:sz w:val="14"/>
        </w:rPr>
        <w:t xml:space="preserve">, 1998; Fearon and </w:t>
      </w:r>
      <w:proofErr w:type="spellStart"/>
      <w:r w:rsidRPr="007378DB">
        <w:rPr>
          <w:sz w:val="14"/>
        </w:rPr>
        <w:t>Laitin</w:t>
      </w:r>
      <w:proofErr w:type="spellEnd"/>
      <w:r w:rsidRPr="007378DB">
        <w:rPr>
          <w:sz w:val="14"/>
        </w:rPr>
        <w:t xml:space="preserve">, 2003; </w:t>
      </w:r>
      <w:proofErr w:type="spellStart"/>
      <w:r w:rsidRPr="007378DB">
        <w:rPr>
          <w:sz w:val="14"/>
        </w:rPr>
        <w:t>Brückner</w:t>
      </w:r>
      <w:proofErr w:type="spellEnd"/>
      <w:r w:rsidRPr="007378DB">
        <w:rPr>
          <w:sz w:val="14"/>
        </w:rPr>
        <w:t>, 2010; Acemoglu et al., 2017). Population growth itself can even increase the probability of military involvement in conflicts (</w:t>
      </w:r>
      <w:proofErr w:type="spellStart"/>
      <w:r w:rsidRPr="007378DB">
        <w:rPr>
          <w:sz w:val="14"/>
        </w:rPr>
        <w:t>Tir</w:t>
      </w:r>
      <w:proofErr w:type="spellEnd"/>
      <w:r w:rsidRPr="007378DB">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7378DB">
        <w:rPr>
          <w:rStyle w:val="Emphasis"/>
          <w:highlight w:val="yellow"/>
        </w:rPr>
        <w:t>between January and August 2020, humanity consumed as much as Earth can renew in the entire year</w:t>
      </w:r>
      <w:r w:rsidRPr="007378DB">
        <w:rPr>
          <w:sz w:val="14"/>
        </w:rPr>
        <w:t xml:space="preserve"> (overshootday.org). While inequality among people and countries remains staggering, the global middle class has grown rapidly and exceeded half the human population by 2018 (</w:t>
      </w:r>
      <w:proofErr w:type="spellStart"/>
      <w:r w:rsidRPr="007378DB">
        <w:rPr>
          <w:sz w:val="14"/>
        </w:rPr>
        <w:t>Kharas</w:t>
      </w:r>
      <w:proofErr w:type="spellEnd"/>
      <w:r w:rsidRPr="007378DB">
        <w:rPr>
          <w:sz w:val="14"/>
        </w:rPr>
        <w:t xml:space="preserve"> and Hamel, 2018). Over 70% of all people currently </w:t>
      </w:r>
      <w:proofErr w:type="gramStart"/>
      <w:r w:rsidRPr="007378DB">
        <w:rPr>
          <w:sz w:val="14"/>
        </w:rPr>
        <w:t>live in</w:t>
      </w:r>
      <w:proofErr w:type="gramEnd"/>
      <w:r w:rsidRPr="007378DB">
        <w:rPr>
          <w:sz w:val="14"/>
        </w:rPr>
        <w:t xml:space="preserve"> countries that run a biocapacity deficit while also having less than world-average income, excluding them from compensating their biocapacity deficit through purchases (</w:t>
      </w:r>
      <w:proofErr w:type="spellStart"/>
      <w:r w:rsidRPr="007378DB">
        <w:rPr>
          <w:sz w:val="14"/>
        </w:rPr>
        <w:t>Wackernagel</w:t>
      </w:r>
      <w:proofErr w:type="spellEnd"/>
      <w:r w:rsidRPr="007378DB">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7378DB">
        <w:rPr>
          <w:sz w:val="14"/>
        </w:rPr>
        <w:t>Wackernagel</w:t>
      </w:r>
      <w:proofErr w:type="spellEnd"/>
      <w:r w:rsidRPr="007378DB">
        <w:rPr>
          <w:sz w:val="14"/>
        </w:rPr>
        <w:t xml:space="preserve"> et al., 2019).</w:t>
      </w:r>
    </w:p>
    <w:p w14:paraId="7E2714BB" w14:textId="77777777" w:rsidR="00054C87" w:rsidRDefault="00054C87" w:rsidP="00054C87">
      <w:pPr>
        <w:pStyle w:val="Heading4"/>
      </w:pPr>
      <w:r>
        <w:t xml:space="preserve">Link: Nuclear war would collapse civilization through nuclear famine but ensure that </w:t>
      </w:r>
      <w:proofErr w:type="gramStart"/>
      <w:r>
        <w:t>a number of</w:t>
      </w:r>
      <w:proofErr w:type="gramEnd"/>
      <w:r>
        <w:t xml:space="preserve"> humans survive.</w:t>
      </w:r>
    </w:p>
    <w:p w14:paraId="3C534378" w14:textId="77777777" w:rsidR="00054C87" w:rsidRDefault="00054C87" w:rsidP="00054C87">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61501E0B" w14:textId="77777777" w:rsidR="00054C87" w:rsidRDefault="00054C87" w:rsidP="00054C87">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w:t>
      </w:r>
      <w:proofErr w:type="gramStart"/>
      <w:r w:rsidRPr="00381B05">
        <w:rPr>
          <w:sz w:val="16"/>
        </w:rPr>
        <w:t>the human race</w:t>
      </w:r>
      <w:proofErr w:type="gramEnd"/>
      <w:r w:rsidRPr="00381B05">
        <w:rPr>
          <w:sz w:val="16"/>
        </w:rPr>
        <w:t xml:space="preserv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599D88D3" w14:textId="77777777" w:rsidR="00054C87" w:rsidRDefault="00054C87" w:rsidP="00054C87">
      <w:pPr>
        <w:pStyle w:val="Heading4"/>
      </w:pPr>
      <w:r>
        <w:t xml:space="preserve">Internal Link: </w:t>
      </w:r>
      <w:proofErr w:type="gramStart"/>
      <w:r>
        <w:t>Isolated island</w:t>
      </w:r>
      <w:proofErr w:type="gramEnd"/>
      <w:r>
        <w:t xml:space="preserve"> populations repopulate Earth solves nuclear winter led extinction.  </w:t>
      </w:r>
    </w:p>
    <w:p w14:paraId="0B96F806" w14:textId="77777777" w:rsidR="00054C87" w:rsidRPr="00882AC1" w:rsidRDefault="00054C87" w:rsidP="00054C87">
      <w:proofErr w:type="spellStart"/>
      <w:r w:rsidRPr="00502888">
        <w:rPr>
          <w:rStyle w:val="Style13ptBold"/>
        </w:rPr>
        <w:t>Turchin</w:t>
      </w:r>
      <w:proofErr w:type="spellEnd"/>
      <w:r w:rsidRPr="00502888">
        <w:rPr>
          <w:rStyle w:val="Style13ptBold"/>
        </w:rPr>
        <w:t xml:space="preserve"> and Green 18</w:t>
      </w:r>
      <w:r>
        <w:t xml:space="preserve"> </w:t>
      </w:r>
      <w:r w:rsidRPr="00502888">
        <w:rPr>
          <w:sz w:val="16"/>
          <w:szCs w:val="16"/>
        </w:rPr>
        <w:t xml:space="preserve">(Alexey </w:t>
      </w:r>
      <w:proofErr w:type="spellStart"/>
      <w:r w:rsidRPr="00502888">
        <w:rPr>
          <w:sz w:val="16"/>
          <w:szCs w:val="16"/>
        </w:rPr>
        <w:t>Turchin</w:t>
      </w:r>
      <w:proofErr w:type="spellEnd"/>
      <w:r w:rsidRPr="00502888">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9B5AAD6" w14:textId="77777777" w:rsidR="00054C87" w:rsidRDefault="00054C87" w:rsidP="00054C87">
      <w:pPr>
        <w:rPr>
          <w:sz w:val="10"/>
        </w:rPr>
      </w:pPr>
      <w:r w:rsidRPr="00B452C7">
        <w:rPr>
          <w:sz w:val="10"/>
        </w:rPr>
        <w:t xml:space="preserve">Different types of possible catastrophes suggest different scenarios for how survival could happen on an island. What is important is that the island should have properties which protect against the specific dangers of </w:t>
      </w:r>
      <w:proofErr w:type="gramStart"/>
      <w:r w:rsidRPr="00B452C7">
        <w:rPr>
          <w:sz w:val="10"/>
        </w:rPr>
        <w:t>particular global</w:t>
      </w:r>
      <w:proofErr w:type="gramEnd"/>
      <w:r w:rsidRPr="00B452C7">
        <w:rPr>
          <w:sz w:val="10"/>
        </w:rPr>
        <w:t xml:space="preserve"> catastrophic risks. Specifically, different islands will provide protection against different risks, and their natural diversity will contribute to a higher total level of protection:  Quarantined island survives </w:t>
      </w:r>
      <w:proofErr w:type="gramStart"/>
      <w:r w:rsidRPr="00B452C7">
        <w:rPr>
          <w:sz w:val="10"/>
        </w:rPr>
        <w:t>pandemic .</w:t>
      </w:r>
      <w:proofErr w:type="gramEnd"/>
      <w:r w:rsidRPr="00B452C7">
        <w:rPr>
          <w:sz w:val="10"/>
        </w:rPr>
        <w:t xml:space="preserve">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 xml:space="preserve">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B452C7">
        <w:rPr>
          <w:sz w:val="10"/>
        </w:rPr>
        <w:t>motor boats</w:t>
      </w:r>
      <w:proofErr w:type="gramEnd"/>
      <w:r w:rsidRPr="00B452C7">
        <w:rPr>
          <w:sz w:val="10"/>
        </w:rPr>
        <w:t xml:space="preserve">,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w:t>
      </w:r>
      <w:proofErr w:type="gramStart"/>
      <w:r w:rsidRPr="00B452C7">
        <w:rPr>
          <w:sz w:val="10"/>
        </w:rPr>
        <w:t>similar to</w:t>
      </w:r>
      <w:proofErr w:type="gramEnd"/>
      <w:r w:rsidRPr="00B452C7">
        <w:rPr>
          <w:sz w:val="10"/>
        </w:rPr>
        <w:t xml:space="preserve">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 xml:space="preserve">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B452C7">
        <w:rPr>
          <w:sz w:val="10"/>
        </w:rPr>
        <w:t>ammunition</w:t>
      </w:r>
      <w:proofErr w:type="gramEnd"/>
      <w:r w:rsidRPr="00B452C7">
        <w:rPr>
          <w:sz w:val="10"/>
        </w:rPr>
        <w:t xml:space="preserve">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w:t>
      </w:r>
      <w:proofErr w:type="spellStart"/>
      <w:r w:rsidRPr="00B452C7">
        <w:rPr>
          <w:sz w:val="10"/>
        </w:rPr>
        <w:t>Voanews</w:t>
      </w:r>
      <w:proofErr w:type="spellEnd"/>
      <w:r w:rsidRPr="00B452C7">
        <w:rPr>
          <w:sz w:val="10"/>
        </w:rPr>
        <w:t>,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w:t>
      </w:r>
      <w:proofErr w:type="gramStart"/>
      <w:r w:rsidRPr="00B452C7">
        <w:rPr>
          <w:sz w:val="10"/>
        </w:rPr>
        <w:t>energy</w:t>
      </w:r>
      <w:proofErr w:type="gramEnd"/>
      <w:r w:rsidRPr="00B452C7">
        <w:rPr>
          <w:sz w:val="10"/>
        </w:rPr>
        <w:t xml:space="preserve">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w:t>
      </w:r>
      <w:proofErr w:type="spellStart"/>
      <w:r w:rsidRPr="00B452C7">
        <w:rPr>
          <w:sz w:val="10"/>
          <w:szCs w:val="16"/>
        </w:rPr>
        <w:t>Turchin</w:t>
      </w:r>
      <w:proofErr w:type="spellEnd"/>
      <w:r w:rsidRPr="00B452C7">
        <w:rPr>
          <w:sz w:val="10"/>
          <w:szCs w:val="16"/>
        </w:rPr>
        <w:t xml:space="preserve">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w:t>
      </w:r>
      <w:proofErr w:type="gramStart"/>
      <w:r w:rsidRPr="00B452C7">
        <w:rPr>
          <w:sz w:val="10"/>
        </w:rPr>
        <w:t>e.g.</w:t>
      </w:r>
      <w:proofErr w:type="gramEnd"/>
      <w:r w:rsidRPr="00B452C7">
        <w:rPr>
          <w:sz w:val="10"/>
        </w:rPr>
        <w:t xml:space="preserve">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0967B77A" w14:textId="77777777" w:rsidR="00054C87" w:rsidRDefault="00054C87" w:rsidP="00054C87">
      <w:pPr>
        <w:pStyle w:val="Heading4"/>
      </w:pPr>
      <w:r>
        <w:t xml:space="preserve">Impact: Industrial civilization wouldn’t recover. </w:t>
      </w:r>
    </w:p>
    <w:p w14:paraId="6AF66DBA" w14:textId="77777777" w:rsidR="00054C87" w:rsidRDefault="00054C87" w:rsidP="00054C87">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2ECCCF8F" w14:textId="55219EF6" w:rsidR="00054C87" w:rsidRPr="00054C87" w:rsidRDefault="00054C87" w:rsidP="00054C87">
      <w:pPr>
        <w:rPr>
          <w:sz w:val="8"/>
        </w:rPr>
      </w:pPr>
      <w:r w:rsidRPr="005B3F26">
        <w:rPr>
          <w:sz w:val="8"/>
        </w:rPr>
        <w:t xml:space="preserve">Imagine that the world as we know it ends tomorrow. There’s a global catastrophe: a pandemic virus, an asteroid strike, or perhaps a nuclear holocaust. </w:t>
      </w:r>
      <w:proofErr w:type="gramStart"/>
      <w:r w:rsidRPr="005B3F26">
        <w:rPr>
          <w:sz w:val="8"/>
        </w:rPr>
        <w:t>The vast majority of</w:t>
      </w:r>
      <w:proofErr w:type="gramEnd"/>
      <w:r w:rsidRPr="005B3F26">
        <w:rPr>
          <w:sz w:val="8"/>
        </w:rPr>
        <w:t xml:space="preserve"> the human race perishes. Our </w:t>
      </w:r>
      <w:proofErr w:type="spellStart"/>
      <w:r w:rsidRPr="005B3F26">
        <w:rPr>
          <w:sz w:val="8"/>
        </w:rPr>
        <w:t>civilisation</w:t>
      </w:r>
      <w:proofErr w:type="spellEnd"/>
      <w:r w:rsidRPr="005B3F26">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5B3F26">
        <w:rPr>
          <w:sz w:val="8"/>
        </w:rPr>
        <w:t>agonising</w:t>
      </w:r>
      <w:proofErr w:type="spellEnd"/>
      <w:r w:rsidRPr="005B3F26">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5B3F26">
        <w:rPr>
          <w:sz w:val="8"/>
        </w:rPr>
        <w:t>civilisation</w:t>
      </w:r>
      <w:proofErr w:type="spellEnd"/>
      <w:r w:rsidRPr="005B3F26">
        <w:rPr>
          <w:sz w:val="8"/>
        </w:rPr>
        <w:t xml:space="preserve">?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w:t>
      </w:r>
      <w:proofErr w:type="gramStart"/>
      <w:r w:rsidRPr="005B3F26">
        <w:rPr>
          <w:sz w:val="8"/>
        </w:rPr>
        <w:t>gas</w:t>
      </w:r>
      <w:proofErr w:type="gramEnd"/>
      <w:r w:rsidRPr="005B3F26">
        <w:rPr>
          <w:sz w:val="8"/>
        </w:rPr>
        <w:t xml:space="preserve"> </w:t>
      </w:r>
      <w:r w:rsidRPr="00EF24EC">
        <w:rPr>
          <w:sz w:val="8"/>
        </w:rPr>
        <w:t xml:space="preserve">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EF24EC">
        <w:rPr>
          <w:sz w:val="8"/>
        </w:rPr>
        <w:t>civilisation</w:t>
      </w:r>
      <w:proofErr w:type="spellEnd"/>
      <w:r w:rsidRPr="00EF24EC">
        <w:rPr>
          <w:sz w:val="8"/>
        </w:rPr>
        <w:t xml:space="preserve"> necessarily contingent on the easy availability of ancient energy? Is it possible to build an </w:t>
      </w:r>
      <w:proofErr w:type="spellStart"/>
      <w:r w:rsidRPr="00EF24EC">
        <w:rPr>
          <w:sz w:val="8"/>
        </w:rPr>
        <w:t>industrialised</w:t>
      </w:r>
      <w:proofErr w:type="spellEnd"/>
      <w:r w:rsidRPr="00EF24EC">
        <w:rPr>
          <w:sz w:val="8"/>
        </w:rPr>
        <w:t xml:space="preserve"> </w:t>
      </w:r>
      <w:proofErr w:type="spellStart"/>
      <w:r w:rsidRPr="00EF24EC">
        <w:rPr>
          <w:sz w:val="8"/>
        </w:rPr>
        <w:t>civilisation</w:t>
      </w:r>
      <w:proofErr w:type="spellEnd"/>
      <w:r w:rsidRPr="00EF24EC">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EF24EC">
        <w:rPr>
          <w:sz w:val="8"/>
        </w:rPr>
        <w:t>civilisation</w:t>
      </w:r>
      <w:proofErr w:type="spellEnd"/>
      <w:r w:rsidRPr="00EF24EC">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w:t>
      </w:r>
      <w:proofErr w:type="gramStart"/>
      <w:r w:rsidRPr="00EF24EC">
        <w:rPr>
          <w:sz w:val="8"/>
        </w:rPr>
        <w:t>, more or less, that</w:t>
      </w:r>
      <w:proofErr w:type="gramEnd"/>
      <w:r w:rsidRPr="00EF24EC">
        <w:rPr>
          <w:sz w:val="8"/>
        </w:rPr>
        <w:t xml:space="preserve"> we need for modern semiconductor electronics components. These techniques took a long time to </w:t>
      </w:r>
      <w:proofErr w:type="gramStart"/>
      <w:r w:rsidRPr="00EF24EC">
        <w:rPr>
          <w:sz w:val="8"/>
        </w:rPr>
        <w:t>develop, and</w:t>
      </w:r>
      <w:proofErr w:type="gramEnd"/>
      <w:r w:rsidRPr="00EF24EC">
        <w:rPr>
          <w:sz w:val="8"/>
        </w:rPr>
        <w:t xml:space="preserve"> would presumably take a long time to recover. So photovoltaic solar power would not be within the capability of a society early in the </w:t>
      </w:r>
      <w:proofErr w:type="spellStart"/>
      <w:r w:rsidRPr="00EF24EC">
        <w:rPr>
          <w:sz w:val="8"/>
        </w:rPr>
        <w:t>industrialisation</w:t>
      </w:r>
      <w:proofErr w:type="spellEnd"/>
      <w:r w:rsidRPr="00EF24EC">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EF24EC">
        <w:rPr>
          <w:sz w:val="8"/>
        </w:rPr>
        <w:t>organisation</w:t>
      </w:r>
      <w:proofErr w:type="spellEnd"/>
      <w:r w:rsidRPr="00EF24EC">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w:t>
      </w:r>
      <w:proofErr w:type="spellStart"/>
      <w:r w:rsidRPr="005B3F26">
        <w:rPr>
          <w:sz w:val="8"/>
        </w:rPr>
        <w:t>civilisation</w:t>
      </w:r>
      <w:proofErr w:type="spellEnd"/>
      <w:r w:rsidRPr="005B3F26">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B3F26">
        <w:rPr>
          <w:sz w:val="8"/>
        </w:rPr>
        <w:t>industrialising</w:t>
      </w:r>
      <w:proofErr w:type="spellEnd"/>
      <w:r w:rsidRPr="005B3F26">
        <w:rPr>
          <w:sz w:val="8"/>
        </w:rPr>
        <w:t xml:space="preserve"> society produce crucial building materials such as iron and steel, brick, mortar, </w:t>
      </w:r>
      <w:proofErr w:type="gramStart"/>
      <w:r w:rsidRPr="005B3F26">
        <w:rPr>
          <w:sz w:val="8"/>
        </w:rPr>
        <w:t>cement</w:t>
      </w:r>
      <w:proofErr w:type="gramEnd"/>
      <w:r w:rsidRPr="005B3F26">
        <w:rPr>
          <w:sz w:val="8"/>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B3F26">
        <w:rPr>
          <w:sz w:val="8"/>
        </w:rPr>
        <w:t>sulphur</w:t>
      </w:r>
      <w:proofErr w:type="spellEnd"/>
      <w:r w:rsidRPr="005B3F26">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B3F26">
        <w:rPr>
          <w:sz w:val="8"/>
        </w:rPr>
        <w:t>smoulders</w:t>
      </w:r>
      <w:proofErr w:type="spellEnd"/>
      <w:r w:rsidRPr="005B3F26">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5B3F26">
        <w:rPr>
          <w:sz w:val="8"/>
        </w:rPr>
        <w:t>sealed</w:t>
      </w:r>
      <w:proofErr w:type="gramEnd"/>
      <w:r w:rsidRPr="005B3F26">
        <w:rPr>
          <w:sz w:val="8"/>
        </w:rPr>
        <w:t xml:space="preserve"> and a fire is lit from the top. The skill in charcoal production is to allow just enough air into the interior of the kiln. There must be enough combustion heat to drive out moisture and volatiles and to </w:t>
      </w:r>
      <w:proofErr w:type="spellStart"/>
      <w:r w:rsidRPr="005B3F26">
        <w:rPr>
          <w:sz w:val="8"/>
        </w:rPr>
        <w:t>pyrolyse</w:t>
      </w:r>
      <w:proofErr w:type="spellEnd"/>
      <w:r w:rsidRPr="005B3F26">
        <w:rPr>
          <w:sz w:val="8"/>
        </w:rPr>
        <w:t xml:space="preserve"> the wood, but not so much that you are left with nothing but a pile of ashes. The kiln attendant monitors the state of the burn by carefully watching the smoke seeping out of the top, opening air </w:t>
      </w:r>
      <w:proofErr w:type="gramStart"/>
      <w:r w:rsidRPr="005B3F26">
        <w:rPr>
          <w:sz w:val="8"/>
        </w:rPr>
        <w:t>holes</w:t>
      </w:r>
      <w:proofErr w:type="gramEnd"/>
      <w:r w:rsidRPr="005B3F26">
        <w:rPr>
          <w:sz w:val="8"/>
        </w:rPr>
        <w:t xml:space="preserve"> or sealing with clay as necessary to regulate the process. Brazil shows how the raw materials of modern </w:t>
      </w:r>
      <w:proofErr w:type="spellStart"/>
      <w:r w:rsidRPr="005B3F26">
        <w:rPr>
          <w:sz w:val="8"/>
        </w:rPr>
        <w:t>civilisation</w:t>
      </w:r>
      <w:proofErr w:type="spellEnd"/>
      <w:r w:rsidRPr="005B3F26">
        <w:rPr>
          <w:sz w:val="8"/>
        </w:rPr>
        <w:t xml:space="preserve"> can be supplied without reliance on fossil fuels </w:t>
      </w:r>
      <w:proofErr w:type="gramStart"/>
      <w:r w:rsidRPr="005B3F26">
        <w:rPr>
          <w:sz w:val="8"/>
        </w:rPr>
        <w:t>Good</w:t>
      </w:r>
      <w:proofErr w:type="gramEnd"/>
      <w:r w:rsidRPr="005B3F26">
        <w:rPr>
          <w:sz w:val="8"/>
        </w:rPr>
        <w:t xml:space="preserve"> things come to those who wait, and this wood pyrolysis process can take up to a week of carefully controlled </w:t>
      </w:r>
      <w:proofErr w:type="spellStart"/>
      <w:r w:rsidRPr="005B3F26">
        <w:rPr>
          <w:sz w:val="8"/>
        </w:rPr>
        <w:t>smouldering</w:t>
      </w:r>
      <w:proofErr w:type="spellEnd"/>
      <w:r w:rsidRPr="005B3F26">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B3F26">
        <w:rPr>
          <w:sz w:val="8"/>
        </w:rPr>
        <w:t>civilisation</w:t>
      </w:r>
      <w:proofErr w:type="spellEnd"/>
      <w:r w:rsidRPr="005B3F26">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B3F26">
        <w:rPr>
          <w:sz w:val="8"/>
        </w:rPr>
        <w:t>vapours</w:t>
      </w:r>
      <w:proofErr w:type="spellEnd"/>
      <w:r w:rsidRPr="005B3F26">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5B3F26">
        <w:rPr>
          <w:sz w:val="8"/>
        </w:rPr>
        <w:t>actually touching</w:t>
      </w:r>
      <w:proofErr w:type="gramEnd"/>
      <w:r w:rsidRPr="005B3F26">
        <w:rPr>
          <w:sz w:val="8"/>
        </w:rPr>
        <w:t xml:space="preserve"> the matchwood: it dances above, with a clear gap in between. The flame </w:t>
      </w:r>
      <w:proofErr w:type="gramStart"/>
      <w:r w:rsidRPr="005B3F26">
        <w:rPr>
          <w:sz w:val="8"/>
        </w:rPr>
        <w:t>actually feeds</w:t>
      </w:r>
      <w:proofErr w:type="gramEnd"/>
      <w:r w:rsidRPr="005B3F26">
        <w:rPr>
          <w:sz w:val="8"/>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5B3F26">
        <w:rPr>
          <w:sz w:val="8"/>
        </w:rPr>
        <w:t>To</w:t>
      </w:r>
      <w:proofErr w:type="gramEnd"/>
      <w:r w:rsidRPr="005B3F26">
        <w:rPr>
          <w:sz w:val="8"/>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5B3F26">
        <w:rPr>
          <w:sz w:val="8"/>
        </w:rPr>
        <w:t>carbonised</w:t>
      </w:r>
      <w:proofErr w:type="spellEnd"/>
      <w:r w:rsidRPr="005B3F26">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5B3F26">
        <w:rPr>
          <w:sz w:val="8"/>
        </w:rPr>
        <w:t>street lights</w:t>
      </w:r>
      <w:proofErr w:type="gramEnd"/>
      <w:r w:rsidRPr="005B3F26">
        <w:rPr>
          <w:sz w:val="8"/>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B3F26">
        <w:rPr>
          <w:sz w:val="8"/>
        </w:rPr>
        <w:t>litre</w:t>
      </w:r>
      <w:proofErr w:type="spellEnd"/>
      <w:r w:rsidRPr="005B3F26">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5B3F26">
        <w:rPr>
          <w:sz w:val="8"/>
        </w:rPr>
        <w:t>cement</w:t>
      </w:r>
      <w:proofErr w:type="gramEnd"/>
      <w:r w:rsidRPr="005B3F26">
        <w:rPr>
          <w:sz w:val="8"/>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B3F26">
        <w:rPr>
          <w:sz w:val="8"/>
        </w:rPr>
        <w:t>marvellous</w:t>
      </w:r>
      <w:proofErr w:type="spellEnd"/>
      <w:r w:rsidRPr="005B3F26">
        <w:rPr>
          <w:sz w:val="8"/>
        </w:rPr>
        <w:t xml:space="preserve"> vision of industry wholly weaned from its dependency on fossil fuel. Is that our solution, then? Could our rebooting society run on wood, supplemented with electricity from renewable sources? Maybe </w:t>
      </w:r>
      <w:proofErr w:type="gramStart"/>
      <w:r w:rsidRPr="005B3F26">
        <w:rPr>
          <w:sz w:val="8"/>
        </w:rPr>
        <w:t>so, if</w:t>
      </w:r>
      <w:proofErr w:type="gramEnd"/>
      <w:r w:rsidRPr="005B3F26">
        <w:rPr>
          <w:sz w:val="8"/>
        </w:rPr>
        <w:t xml:space="preserve">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 xml:space="preserve">that our survivors </w:t>
      </w:r>
      <w:proofErr w:type="gramStart"/>
      <w:r w:rsidRPr="005B3F26">
        <w:rPr>
          <w:sz w:val="8"/>
        </w:rPr>
        <w:t>are able to</w:t>
      </w:r>
      <w:proofErr w:type="gramEnd"/>
      <w:r w:rsidRPr="005B3F26">
        <w:rPr>
          <w:sz w:val="8"/>
        </w:rPr>
        <w:t xml:space="preserve">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w:t>
      </w:r>
      <w:r w:rsidRPr="005B3F26">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5B3F26">
        <w:rPr>
          <w:sz w:val="8"/>
        </w:rPr>
        <w:t>that subsequent engineers</w:t>
      </w:r>
      <w:proofErr w:type="gramEnd"/>
      <w:r w:rsidRPr="005B3F26">
        <w:rPr>
          <w:sz w:val="8"/>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5B3F26">
        <w:rPr>
          <w:sz w:val="8"/>
        </w:rPr>
        <w:t>metallurgy</w:t>
      </w:r>
      <w:proofErr w:type="gramEnd"/>
      <w:r w:rsidRPr="005B3F26">
        <w:rPr>
          <w:sz w:val="8"/>
        </w:rPr>
        <w:t xml:space="preserve">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w:t>
      </w:r>
      <w:proofErr w:type="gramStart"/>
      <w:r w:rsidRPr="005B3F26">
        <w:rPr>
          <w:sz w:val="8"/>
        </w:rPr>
        <w:t>In</w:t>
      </w:r>
      <w:proofErr w:type="gramEnd"/>
      <w:r w:rsidRPr="005B3F26">
        <w:rPr>
          <w:sz w:val="8"/>
        </w:rPr>
        <w:t xml:space="preserve"> a temperate climate such as the UK’s, an acre of broadleaf trees produces about four to five </w:t>
      </w:r>
      <w:proofErr w:type="spellStart"/>
      <w:r w:rsidRPr="005B3F26">
        <w:rPr>
          <w:sz w:val="8"/>
        </w:rPr>
        <w:t>tonnes</w:t>
      </w:r>
      <w:proofErr w:type="spellEnd"/>
      <w:r w:rsidRPr="005B3F26">
        <w:rPr>
          <w:sz w:val="8"/>
        </w:rPr>
        <w:t xml:space="preserve"> of biomass fuel every year. If you cultivated fast-growing kinds such as willow or miscanthus grass, you could quadruple that. The trick to </w:t>
      </w:r>
      <w:proofErr w:type="spellStart"/>
      <w:r w:rsidRPr="005B3F26">
        <w:rPr>
          <w:sz w:val="8"/>
        </w:rPr>
        <w:t>maximising</w:t>
      </w:r>
      <w:proofErr w:type="spellEnd"/>
      <w:r w:rsidRPr="005B3F26">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5B3F26">
        <w:rPr>
          <w:sz w:val="8"/>
        </w:rPr>
        <w:t>all of</w:t>
      </w:r>
      <w:proofErr w:type="gramEnd"/>
      <w:r w:rsidRPr="005B3F26">
        <w:rPr>
          <w:sz w:val="8"/>
        </w:rPr>
        <w:t xml:space="preserve">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w:t>
      </w:r>
      <w:proofErr w:type="gramStart"/>
      <w:r w:rsidRPr="005B3F26">
        <w:rPr>
          <w:sz w:val="8"/>
        </w:rPr>
        <w:t>and also</w:t>
      </w:r>
      <w:proofErr w:type="gramEnd"/>
      <w:r w:rsidRPr="005B3F26">
        <w:rPr>
          <w:sz w:val="8"/>
        </w:rPr>
        <w:t xml:space="preserve">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5B3F26">
        <w:rPr>
          <w:sz w:val="8"/>
        </w:rPr>
        <w:t>tonnes</w:t>
      </w:r>
      <w:proofErr w:type="spellEnd"/>
      <w:r w:rsidRPr="005B3F26">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5B3F26">
        <w:rPr>
          <w:sz w:val="8"/>
        </w:rPr>
        <w:t>industrialise</w:t>
      </w:r>
      <w:proofErr w:type="spellEnd"/>
      <w:r w:rsidRPr="005B3F26">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5B3F26">
        <w:rPr>
          <w:sz w:val="8"/>
        </w:rPr>
        <w:t>industrialising</w:t>
      </w:r>
      <w:proofErr w:type="spellEnd"/>
      <w:r w:rsidRPr="005B3F26">
        <w:rPr>
          <w:sz w:val="8"/>
        </w:rPr>
        <w:t xml:space="preserve"> under such conditions, it would have to focus its efforts in certain, very </w:t>
      </w:r>
      <w:proofErr w:type="spellStart"/>
      <w:r w:rsidRPr="005B3F26">
        <w:rPr>
          <w:sz w:val="8"/>
        </w:rPr>
        <w:t>favourable</w:t>
      </w:r>
      <w:proofErr w:type="spellEnd"/>
      <w:r w:rsidRPr="005B3F26">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w:t>
      </w:r>
      <w:proofErr w:type="gramStart"/>
      <w:r w:rsidRPr="005B3F26">
        <w:rPr>
          <w:sz w:val="8"/>
        </w:rPr>
        <w:t>actually growing</w:t>
      </w:r>
      <w:proofErr w:type="gramEnd"/>
      <w:r w:rsidRPr="005B3F26">
        <w:rPr>
          <w:sz w:val="8"/>
        </w:rPr>
        <w:t xml:space="preserve">, which is worrying for a number of reasons too familiar to rehearse here. Steps towards a low-carbon economy are vital. But we should also </w:t>
      </w:r>
      <w:proofErr w:type="spellStart"/>
      <w:r w:rsidRPr="005B3F26">
        <w:rPr>
          <w:sz w:val="8"/>
        </w:rPr>
        <w:t>recognise</w:t>
      </w:r>
      <w:proofErr w:type="spellEnd"/>
      <w:r w:rsidRPr="005B3F26">
        <w:rPr>
          <w:sz w:val="8"/>
        </w:rPr>
        <w:t xml:space="preserve"> how pivotal those accumulated reservoirs of thermal energy were in getting us to where we are. Maybe we could have made it the hard way. A slow-burn progression through the stages of </w:t>
      </w:r>
      <w:proofErr w:type="spellStart"/>
      <w:r w:rsidRPr="005B3F26">
        <w:rPr>
          <w:sz w:val="8"/>
        </w:rPr>
        <w:t>mechanisation</w:t>
      </w:r>
      <w:proofErr w:type="spellEnd"/>
      <w:r w:rsidRPr="005B3F26">
        <w:rPr>
          <w:sz w:val="8"/>
        </w:rPr>
        <w:t xml:space="preserve">, supported by a combination of renewable electricity and sustainably grown biomass, might be possible after all. Then again, it might not. We’d better hope we can secure the future of our own </w:t>
      </w:r>
      <w:proofErr w:type="spellStart"/>
      <w:r w:rsidRPr="005B3F26">
        <w:rPr>
          <w:sz w:val="8"/>
        </w:rPr>
        <w:t>civilisation</w:t>
      </w:r>
      <w:proofErr w:type="spellEnd"/>
      <w:r w:rsidRPr="005B3F26">
        <w:rPr>
          <w:sz w:val="8"/>
        </w:rPr>
        <w:t xml:space="preserve">, because we might have </w:t>
      </w:r>
      <w:proofErr w:type="spellStart"/>
      <w:r w:rsidRPr="005B3F26">
        <w:rPr>
          <w:sz w:val="8"/>
        </w:rPr>
        <w:t>scuppered</w:t>
      </w:r>
      <w:proofErr w:type="spellEnd"/>
      <w:r w:rsidRPr="005B3F26">
        <w:rPr>
          <w:sz w:val="8"/>
        </w:rPr>
        <w:t xml:space="preserve"> the chances of any society to follow in our wake.</w:t>
      </w:r>
    </w:p>
    <w:p w14:paraId="6BACCC80" w14:textId="3F371ECF" w:rsidR="00DE5411" w:rsidRPr="00DE5411" w:rsidRDefault="00DE5411" w:rsidP="00DE5411"/>
    <w:sectPr w:rsidR="00DE5411" w:rsidRPr="00DE5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FB7DA6"/>
    <w:multiLevelType w:val="hybridMultilevel"/>
    <w:tmpl w:val="D5606C6C"/>
    <w:lvl w:ilvl="0" w:tplc="8DC09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76842"/>
    <w:multiLevelType w:val="hybridMultilevel"/>
    <w:tmpl w:val="7696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45307895312"/>
    <w:docVar w:name="VerbatimVersion" w:val="5.1"/>
  </w:docVars>
  <w:rsids>
    <w:rsidRoot w:val="00DE5411"/>
    <w:rsid w:val="000139A3"/>
    <w:rsid w:val="00054C87"/>
    <w:rsid w:val="000D7249"/>
    <w:rsid w:val="00100833"/>
    <w:rsid w:val="00104529"/>
    <w:rsid w:val="00105942"/>
    <w:rsid w:val="00107396"/>
    <w:rsid w:val="00144A4C"/>
    <w:rsid w:val="00176AB0"/>
    <w:rsid w:val="00177B7D"/>
    <w:rsid w:val="0018322D"/>
    <w:rsid w:val="0019515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663B"/>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645CF"/>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06328"/>
    <w:rsid w:val="00C06887"/>
    <w:rsid w:val="00C13773"/>
    <w:rsid w:val="00C17CC8"/>
    <w:rsid w:val="00C83417"/>
    <w:rsid w:val="00C9604F"/>
    <w:rsid w:val="00CA19AA"/>
    <w:rsid w:val="00CA7085"/>
    <w:rsid w:val="00CC5298"/>
    <w:rsid w:val="00CD736E"/>
    <w:rsid w:val="00CD798D"/>
    <w:rsid w:val="00CE161E"/>
    <w:rsid w:val="00CF59A8"/>
    <w:rsid w:val="00D325A9"/>
    <w:rsid w:val="00D36A8A"/>
    <w:rsid w:val="00D61409"/>
    <w:rsid w:val="00D6691E"/>
    <w:rsid w:val="00D71170"/>
    <w:rsid w:val="00DA1C92"/>
    <w:rsid w:val="00DA25D4"/>
    <w:rsid w:val="00DA6538"/>
    <w:rsid w:val="00DE541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682DA"/>
  <w15:chartTrackingRefBased/>
  <w15:docId w15:val="{41AB078E-01D1-438D-85BF-EFE10CF3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5411"/>
    <w:rPr>
      <w:rFonts w:ascii="Calibri" w:hAnsi="Calibri" w:cs="Calibri"/>
    </w:rPr>
  </w:style>
  <w:style w:type="paragraph" w:styleId="Heading1">
    <w:name w:val="heading 1"/>
    <w:aliases w:val="Pocket"/>
    <w:basedOn w:val="Normal"/>
    <w:next w:val="Normal"/>
    <w:link w:val="Heading1Char"/>
    <w:qFormat/>
    <w:rsid w:val="00DE54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54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54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DE54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54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411"/>
  </w:style>
  <w:style w:type="character" w:customStyle="1" w:styleId="Heading1Char">
    <w:name w:val="Heading 1 Char"/>
    <w:aliases w:val="Pocket Char"/>
    <w:basedOn w:val="DefaultParagraphFont"/>
    <w:link w:val="Heading1"/>
    <w:rsid w:val="00DE54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54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54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DE54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E541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5411"/>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6"/>
    <w:qFormat/>
    <w:rsid w:val="00DE5411"/>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DE5411"/>
    <w:rPr>
      <w:color w:val="auto"/>
      <w:u w:val="none"/>
    </w:rPr>
  </w:style>
  <w:style w:type="character" w:styleId="FollowedHyperlink">
    <w:name w:val="FollowedHyperlink"/>
    <w:basedOn w:val="DefaultParagraphFont"/>
    <w:uiPriority w:val="99"/>
    <w:semiHidden/>
    <w:unhideWhenUsed/>
    <w:rsid w:val="00DE5411"/>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DE5411"/>
    <w:pPr>
      <w:spacing w:after="0" w:line="240" w:lineRule="auto"/>
    </w:pPr>
    <w:rPr>
      <w:sz w:val="26"/>
      <w:u w:val="single"/>
    </w:rPr>
  </w:style>
  <w:style w:type="paragraph" w:customStyle="1" w:styleId="textbold">
    <w:name w:val="text bold"/>
    <w:basedOn w:val="Normal"/>
    <w:link w:val="Emphasis"/>
    <w:uiPriority w:val="7"/>
    <w:qFormat/>
    <w:rsid w:val="00DE5411"/>
    <w:pPr>
      <w:ind w:left="720"/>
      <w:jc w:val="both"/>
    </w:pPr>
    <w:rPr>
      <w:b/>
      <w:iCs/>
      <w:sz w:val="26"/>
      <w:u w:val="single"/>
    </w:rPr>
  </w:style>
  <w:style w:type="paragraph" w:styleId="ListParagraph">
    <w:name w:val="List Paragraph"/>
    <w:basedOn w:val="Normal"/>
    <w:uiPriority w:val="99"/>
    <w:unhideWhenUsed/>
    <w:qFormat/>
    <w:rsid w:val="00C06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10225</Words>
  <Characters>58288</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2021-10-15T20:25:00Z</dcterms:created>
  <dcterms:modified xsi:type="dcterms:W3CDTF">2021-10-15T21:48:00Z</dcterms:modified>
</cp:coreProperties>
</file>