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D4BE7" w14:textId="7EA52651" w:rsidR="00A95652" w:rsidRDefault="00272F4D" w:rsidP="00272F4D">
      <w:pPr>
        <w:pStyle w:val="Heading2"/>
      </w:pPr>
      <w:r>
        <w:t>1</w:t>
      </w:r>
    </w:p>
    <w:p w14:paraId="6648529D" w14:textId="77777777" w:rsidR="00272F4D" w:rsidRDefault="00272F4D" w:rsidP="00272F4D">
      <w:pPr>
        <w:pStyle w:val="Heading4"/>
      </w:pPr>
      <w:r>
        <w:t>Interpretation: Debaters must not claim that act of debating concedes the validity of their framework.</w:t>
      </w:r>
    </w:p>
    <w:p w14:paraId="7F9640AD" w14:textId="77777777" w:rsidR="00272F4D" w:rsidRDefault="00272F4D" w:rsidP="00272F4D">
      <w:pPr>
        <w:pStyle w:val="Heading4"/>
      </w:pPr>
      <w:r>
        <w:t>Violation: You read a performativity standard and gave it a pre fiat implication.</w:t>
      </w:r>
    </w:p>
    <w:p w14:paraId="423C1F6A" w14:textId="77777777" w:rsidR="00272F4D" w:rsidRDefault="00272F4D" w:rsidP="00272F4D">
      <w:pPr>
        <w:pStyle w:val="Heading4"/>
      </w:pPr>
      <w:r>
        <w:t>Standards:</w:t>
      </w:r>
    </w:p>
    <w:p w14:paraId="178DF502" w14:textId="77777777" w:rsidR="00272F4D" w:rsidRDefault="00272F4D" w:rsidP="00272F4D">
      <w:pPr>
        <w:pStyle w:val="Heading4"/>
      </w:pPr>
      <w:r>
        <w:t xml:space="preserve">1] Strat </w:t>
      </w:r>
      <w:proofErr w:type="spellStart"/>
      <w:r>
        <w:t>Scew</w:t>
      </w:r>
      <w:proofErr w:type="spellEnd"/>
      <w:r>
        <w:t>:</w:t>
      </w:r>
    </w:p>
    <w:p w14:paraId="3BFD1CDA" w14:textId="77777777" w:rsidR="00272F4D" w:rsidRDefault="00272F4D" w:rsidP="00272F4D">
      <w:pPr>
        <w:pStyle w:val="Heading4"/>
      </w:pPr>
      <w:r>
        <w:t xml:space="preserve">A] It allows you to extend one argument to invalidate 99% of the framework debate because contesting your framework concedes its authority which 1] ensures the </w:t>
      </w:r>
      <w:proofErr w:type="spellStart"/>
      <w:r>
        <w:t>aff</w:t>
      </w:r>
      <w:proofErr w:type="spellEnd"/>
      <w:r>
        <w:t xml:space="preserve"> has a massive structural advantage and 2] Puts me in a double bind where I either dump on performativity and undercover something else or auto lose the </w:t>
      </w:r>
      <w:proofErr w:type="spellStart"/>
      <w:r>
        <w:t>phil</w:t>
      </w:r>
      <w:proofErr w:type="spellEnd"/>
      <w:r>
        <w:t xml:space="preserve"> debate.</w:t>
      </w:r>
    </w:p>
    <w:p w14:paraId="7848A9D7" w14:textId="77777777" w:rsidR="00272F4D" w:rsidRDefault="00272F4D" w:rsidP="00272F4D">
      <w:pPr>
        <w:pStyle w:val="Heading4"/>
      </w:pPr>
      <w:r>
        <w:t xml:space="preserve">B] Performativity creates a </w:t>
      </w:r>
      <w:proofErr w:type="spellStart"/>
      <w:r>
        <w:t>reducto</w:t>
      </w:r>
      <w:proofErr w:type="spellEnd"/>
      <w:r>
        <w:t xml:space="preserve">-ad-absurdum where if I respond to it, you will just say that I </w:t>
      </w:r>
      <w:proofErr w:type="gramStart"/>
      <w:r>
        <w:t>relied</w:t>
      </w:r>
      <w:proofErr w:type="gramEnd"/>
      <w:r>
        <w:t xml:space="preserve"> your framework to respond to it creating a paradox. That makes the framework debate unwinnable and irresolvable. Resolvability is an independent voter since fairness and education presuppose the judge can make a coherent decision.</w:t>
      </w:r>
    </w:p>
    <w:p w14:paraId="16A8845C" w14:textId="77777777" w:rsidR="00272F4D" w:rsidRDefault="00272F4D" w:rsidP="00272F4D">
      <w:pPr>
        <w:pStyle w:val="Heading4"/>
      </w:pPr>
      <w:r>
        <w:t>2] Phil Ed:</w:t>
      </w:r>
    </w:p>
    <w:p w14:paraId="59EA7C96" w14:textId="77777777" w:rsidR="00272F4D" w:rsidRDefault="00272F4D" w:rsidP="00272F4D">
      <w:pPr>
        <w:pStyle w:val="Heading4"/>
      </w:pPr>
      <w:r>
        <w:t xml:space="preserve">A] Performativity encourages debaters to only read frameworks with good performativity warrants such as Agonism or Libertarianism. That 1] Discourages researching different framework’s relationship to the topic and 2] prevents debaters from learning a wider variety of philosophy. </w:t>
      </w:r>
    </w:p>
    <w:p w14:paraId="13BA650E" w14:textId="77777777" w:rsidR="00272F4D" w:rsidRDefault="00272F4D" w:rsidP="00272F4D">
      <w:pPr>
        <w:pStyle w:val="Heading4"/>
      </w:pPr>
      <w:r>
        <w:t>B] It kills clash since you never have to respond to 90% of objections to the framework since they all go away if you win one discourse argument. Phil ed is a voter since it teaches debaters how to determine good and bad in the world.</w:t>
      </w:r>
    </w:p>
    <w:p w14:paraId="20BBF8E6" w14:textId="1807FFBA" w:rsidR="00272F4D" w:rsidRPr="00272F4D" w:rsidRDefault="00272F4D" w:rsidP="00272F4D">
      <w:pPr>
        <w:pStyle w:val="Heading4"/>
      </w:pPr>
      <w:r>
        <w:t xml:space="preserve">C] My interpretation solves objections that we won’t learn philosophy of language since 1] You can still read these arguments without giving them a pre fiat implication and 2] It encourages debaters to represent linguistics accurately instead of bastardizing them </w:t>
      </w:r>
      <w:proofErr w:type="gramStart"/>
      <w:r>
        <w:t>in order to</w:t>
      </w:r>
      <w:proofErr w:type="gramEnd"/>
      <w:r>
        <w:t xml:space="preserve"> win rounds.</w:t>
      </w:r>
    </w:p>
    <w:p w14:paraId="7B6883CD" w14:textId="46A3AAE4" w:rsidR="00272F4D" w:rsidRDefault="00272F4D" w:rsidP="00272F4D">
      <w:pPr>
        <w:pStyle w:val="Heading2"/>
      </w:pPr>
      <w:r>
        <w:t>2</w:t>
      </w:r>
    </w:p>
    <w:p w14:paraId="2E5BC114" w14:textId="77777777" w:rsidR="0039460D" w:rsidRDefault="0039460D" w:rsidP="0039460D">
      <w:pPr>
        <w:pStyle w:val="Heading4"/>
      </w:pPr>
      <w:proofErr w:type="spellStart"/>
      <w:r>
        <w:t>Interp</w:t>
      </w:r>
      <w:proofErr w:type="spellEnd"/>
      <w:r>
        <w:t xml:space="preserve"> – Debaters may not say to check the doc for arguments they want to be</w:t>
      </w:r>
    </w:p>
    <w:p w14:paraId="110AEFE4" w14:textId="77777777" w:rsidR="0039460D" w:rsidRDefault="0039460D" w:rsidP="0039460D">
      <w:pPr>
        <w:pStyle w:val="Heading4"/>
      </w:pPr>
      <w:r>
        <w:t>evaluated. To clarify, they must read all arguments in the speech doc they want to</w:t>
      </w:r>
    </w:p>
    <w:p w14:paraId="6BA1A636" w14:textId="77777777" w:rsidR="0039460D" w:rsidRDefault="0039460D" w:rsidP="0039460D">
      <w:pPr>
        <w:pStyle w:val="Heading4"/>
      </w:pPr>
      <w:r>
        <w:t>apply to the round.</w:t>
      </w:r>
    </w:p>
    <w:p w14:paraId="49A95A77" w14:textId="77777777" w:rsidR="0039460D" w:rsidRDefault="0039460D" w:rsidP="0039460D">
      <w:pPr>
        <w:pStyle w:val="Heading4"/>
      </w:pPr>
      <w:r>
        <w:t>Violation – You say check the doc for spec and read a bunch of definitions</w:t>
      </w:r>
      <w:r>
        <w:t xml:space="preserve"> </w:t>
      </w:r>
    </w:p>
    <w:p w14:paraId="0FDFCE8A" w14:textId="1A4D2CB2" w:rsidR="0039460D" w:rsidRPr="0039460D" w:rsidRDefault="0039460D" w:rsidP="0039460D">
      <w:pPr>
        <w:pStyle w:val="Heading4"/>
      </w:pPr>
      <w:r>
        <w:t xml:space="preserve">The standard is </w:t>
      </w:r>
      <w:proofErr w:type="spellStart"/>
      <w:r>
        <w:t>strat</w:t>
      </w:r>
      <w:proofErr w:type="spellEnd"/>
      <w:r>
        <w:t xml:space="preserve"> skew – A) It means you have infinite time to make arguments</w:t>
      </w:r>
      <w:r>
        <w:t xml:space="preserve"> </w:t>
      </w:r>
      <w:r>
        <w:t>because you can just say things like “check the doc for my responses to the K” which</w:t>
      </w:r>
      <w:r>
        <w:t xml:space="preserve"> </w:t>
      </w:r>
      <w:r>
        <w:t>makes it impossible to win since time controls our ability to make arguments B) It</w:t>
      </w:r>
      <w:r>
        <w:t xml:space="preserve"> </w:t>
      </w:r>
      <w:r>
        <w:t xml:space="preserve">justifies things like you hiding a </w:t>
      </w:r>
      <w:proofErr w:type="spellStart"/>
      <w:r>
        <w:t>prioris</w:t>
      </w:r>
      <w:proofErr w:type="spellEnd"/>
      <w:r>
        <w:t xml:space="preserve"> in a long paragraph of definitions and</w:t>
      </w:r>
      <w:r>
        <w:t xml:space="preserve"> </w:t>
      </w:r>
      <w:r>
        <w:t>extending them in the next speech by saying “I told u to check the doc for spec and I</w:t>
      </w:r>
      <w:r>
        <w:t xml:space="preserve"> </w:t>
      </w:r>
      <w:r>
        <w:t>spec that affirm means to express agreement”. That kills my strategy since I won’t</w:t>
      </w:r>
      <w:r>
        <w:t xml:space="preserve"> </w:t>
      </w:r>
      <w:r>
        <w:t>read the arguments if I don’t read spec and you’ll extend them to win every round.</w:t>
      </w:r>
    </w:p>
    <w:p w14:paraId="2B79795D" w14:textId="736549A1" w:rsidR="00B03217" w:rsidRDefault="00B03217" w:rsidP="00B03217">
      <w:pPr>
        <w:pStyle w:val="Heading2"/>
      </w:pPr>
      <w:r>
        <w:t>3</w:t>
      </w:r>
    </w:p>
    <w:p w14:paraId="50D28003" w14:textId="77777777" w:rsidR="00604C0E" w:rsidRDefault="00604C0E" w:rsidP="00604C0E">
      <w:pPr>
        <w:pStyle w:val="Heading3"/>
        <w:rPr>
          <w:rFonts w:eastAsia="Times New Roman"/>
        </w:rPr>
      </w:pPr>
      <w:r>
        <w:rPr>
          <w:rFonts w:eastAsia="Times New Roman"/>
        </w:rPr>
        <w:t>FWK</w:t>
      </w:r>
    </w:p>
    <w:p w14:paraId="3685DAF1" w14:textId="77777777" w:rsidR="00604C0E" w:rsidRPr="00910C85" w:rsidRDefault="00604C0E" w:rsidP="00604C0E">
      <w:pPr>
        <w:keepNext/>
        <w:keepLines/>
        <w:spacing w:before="40" w:after="0"/>
        <w:outlineLvl w:val="3"/>
        <w:rPr>
          <w:rFonts w:eastAsia="Times New Roman"/>
          <w:b/>
          <w:iCs/>
          <w:sz w:val="26"/>
        </w:rPr>
      </w:pPr>
      <w:r w:rsidRPr="00910C85">
        <w:rPr>
          <w:rFonts w:eastAsia="Times New Roman"/>
          <w:b/>
          <w:iCs/>
          <w:sz w:val="26"/>
        </w:rPr>
        <w:t xml:space="preserve">I value morality. Ethical </w:t>
      </w:r>
      <w:proofErr w:type="spellStart"/>
      <w:r w:rsidRPr="00910C85">
        <w:rPr>
          <w:rFonts w:eastAsia="Times New Roman"/>
          <w:b/>
          <w:iCs/>
          <w:sz w:val="26"/>
        </w:rPr>
        <w:t>Internalism</w:t>
      </w:r>
      <w:proofErr w:type="spellEnd"/>
      <w:r w:rsidRPr="00910C85">
        <w:rPr>
          <w:rFonts w:eastAsia="Times New Roman"/>
          <w:b/>
          <w:iCs/>
          <w:sz w:val="26"/>
        </w:rPr>
        <w:t xml:space="preserve"> is true: </w:t>
      </w:r>
    </w:p>
    <w:p w14:paraId="482D1FF3" w14:textId="77777777" w:rsidR="00604C0E" w:rsidRPr="00910C85" w:rsidRDefault="00604C0E" w:rsidP="00604C0E">
      <w:pPr>
        <w:keepNext/>
        <w:keepLines/>
        <w:spacing w:before="40" w:after="0"/>
        <w:outlineLvl w:val="3"/>
        <w:rPr>
          <w:rFonts w:eastAsia="Times New Roman"/>
          <w:b/>
          <w:iCs/>
          <w:sz w:val="26"/>
        </w:rPr>
      </w:pPr>
      <w:r>
        <w:rPr>
          <w:rFonts w:eastAsia="Times New Roman"/>
          <w:b/>
          <w:iCs/>
          <w:sz w:val="26"/>
        </w:rPr>
        <w:t>1.</w:t>
      </w:r>
      <w:r w:rsidRPr="00910C85">
        <w:rPr>
          <w:rFonts w:eastAsia="Times New Roman"/>
          <w:b/>
          <w:iCs/>
          <w:sz w:val="26"/>
        </w:rPr>
        <w:t xml:space="preserve">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062F834D" w14:textId="77777777" w:rsidR="00604C0E" w:rsidRPr="00910C85" w:rsidRDefault="00604C0E" w:rsidP="00604C0E">
      <w:pPr>
        <w:keepNext/>
        <w:keepLines/>
        <w:spacing w:before="40" w:after="0"/>
        <w:outlineLvl w:val="3"/>
        <w:rPr>
          <w:rFonts w:eastAsia="Times New Roman"/>
          <w:b/>
          <w:iCs/>
          <w:sz w:val="26"/>
        </w:rPr>
      </w:pPr>
      <w:r w:rsidRPr="00910C85">
        <w:rPr>
          <w:rFonts w:eastAsia="Times New Roman"/>
          <w:b/>
          <w:iCs/>
          <w:sz w:val="26"/>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910C85">
        <w:rPr>
          <w:rFonts w:eastAsia="Times New Roman"/>
          <w:b/>
          <w:iCs/>
          <w:sz w:val="26"/>
        </w:rPr>
        <w:t>it</w:t>
      </w:r>
      <w:proofErr w:type="gramEnd"/>
      <w:r w:rsidRPr="00910C85">
        <w:rPr>
          <w:rFonts w:eastAsia="Times New Roman"/>
          <w:b/>
          <w:iCs/>
          <w:sz w:val="26"/>
        </w:rPr>
        <w:t xml:space="preserve"> B) Empirics – there is no factual account of the good since each agents’ motivations are unique and there has been no conversion of differing beliefs into a unified ethic.</w:t>
      </w:r>
    </w:p>
    <w:p w14:paraId="67CCC22A" w14:textId="77777777" w:rsidR="00604C0E" w:rsidRPr="00910C85" w:rsidRDefault="00604C0E" w:rsidP="00604C0E">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w:t>
      </w:r>
      <w:proofErr w:type="gramStart"/>
      <w:r w:rsidRPr="00910C85">
        <w:rPr>
          <w:rFonts w:eastAsia="Calibri"/>
          <w:iCs/>
          <w:sz w:val="12"/>
          <w:szCs w:val="12"/>
        </w:rPr>
        <w:t>Canadian-American</w:t>
      </w:r>
      <w:proofErr w:type="gramEnd"/>
      <w:r w:rsidRPr="00910C85">
        <w:rPr>
          <w:rFonts w:eastAsia="Calibri"/>
          <w:iCs/>
          <w:sz w:val="12"/>
          <w:szCs w:val="12"/>
        </w:rPr>
        <w:t xml:space="preserve"> philosopher best known for his neo-Hobbesian social contract theory of morality, “Why Contractarianism”, within the book Contractarianism and Rational Choice: Essays on David Gauthier’s Morals By Agreement. Book written by Peter </w:t>
      </w:r>
      <w:proofErr w:type="spellStart"/>
      <w:r w:rsidRPr="00910C85">
        <w:rPr>
          <w:rFonts w:eastAsia="Calibri"/>
          <w:iCs/>
          <w:sz w:val="12"/>
          <w:szCs w:val="12"/>
        </w:rPr>
        <w:t>Vallentyne</w:t>
      </w:r>
      <w:proofErr w:type="spellEnd"/>
      <w:r w:rsidRPr="00910C85">
        <w:rPr>
          <w:rFonts w:eastAsia="Calibri"/>
          <w:iCs/>
          <w:sz w:val="12"/>
          <w:szCs w:val="12"/>
        </w:rPr>
        <w:t xml:space="preserve"> [https://b-ok.cc/book/975363/60f3f7] 1998, ///AHS PB //Recut by Scopa </w:t>
      </w:r>
    </w:p>
    <w:p w14:paraId="3541B101" w14:textId="77777777" w:rsidR="00604C0E" w:rsidRPr="00910C85" w:rsidRDefault="00604C0E" w:rsidP="00604C0E">
      <w:pPr>
        <w:keepNext/>
        <w:keepLines/>
        <w:spacing w:before="40" w:after="0"/>
        <w:outlineLvl w:val="3"/>
        <w:rPr>
          <w:rFonts w:eastAsia="Times New Roman"/>
          <w:b/>
          <w:iCs/>
          <w:sz w:val="26"/>
        </w:rPr>
      </w:pPr>
      <w:r w:rsidRPr="00910C85">
        <w:rPr>
          <w:rFonts w:eastAsia="Calibri"/>
          <w:iCs/>
          <w:sz w:val="12"/>
          <w:szCs w:val="12"/>
        </w:rPr>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w:t>
      </w:r>
      <w:proofErr w:type="gramStart"/>
      <w:r w:rsidRPr="00910C85">
        <w:rPr>
          <w:rFonts w:eastAsia="Calibri"/>
          <w:iCs/>
          <w:sz w:val="12"/>
          <w:szCs w:val="12"/>
        </w:rPr>
        <w:t>agent ’</w:t>
      </w:r>
      <w:proofErr w:type="gramEnd"/>
      <w:r w:rsidRPr="00910C85">
        <w:rPr>
          <w:rFonts w:eastAsia="Calibri"/>
          <w:iCs/>
          <w:sz w:val="12"/>
          <w:szCs w:val="12"/>
        </w:rPr>
        <w:t xml:space="preserve">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w:t>
      </w:r>
      <w:proofErr w:type="gramStart"/>
      <w:r w:rsidRPr="00910C85">
        <w:rPr>
          <w:rFonts w:eastAsia="Calibri"/>
          <w:b/>
          <w:iCs/>
          <w:sz w:val="26"/>
          <w:u w:val="single"/>
        </w:rPr>
        <w:t>to choice</w:t>
      </w:r>
      <w:proofErr w:type="gramEnd"/>
      <w:r w:rsidRPr="00910C85">
        <w:rPr>
          <w:rFonts w:eastAsia="Calibri"/>
          <w:b/>
          <w:iCs/>
          <w:sz w:val="26"/>
          <w:u w:val="single"/>
        </w:rPr>
        <w:t xml:space="preserv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w:t>
      </w:r>
      <w:proofErr w:type="spellStart"/>
      <w:r w:rsidRPr="00910C85">
        <w:rPr>
          <w:rFonts w:eastAsia="Calibri"/>
          <w:iCs/>
          <w:sz w:val="12"/>
          <w:szCs w:val="12"/>
        </w:rPr>
        <w:t>mode</w:t>
      </w:r>
      <w:proofErr w:type="spellEnd"/>
      <w:r w:rsidRPr="00910C85">
        <w:rPr>
          <w:rFonts w:eastAsia="Calibri"/>
          <w:iCs/>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w:t>
      </w:r>
      <w:proofErr w:type="gramStart"/>
      <w:r w:rsidRPr="00910C85">
        <w:rPr>
          <w:rFonts w:eastAsia="Calibri"/>
          <w:b/>
          <w:iCs/>
          <w:sz w:val="26"/>
          <w:u w:val="single"/>
        </w:rPr>
        <w:t>on the whole</w:t>
      </w:r>
      <w:proofErr w:type="gramEnd"/>
      <w:r w:rsidRPr="00910C85">
        <w:rPr>
          <w:rFonts w:eastAsia="Calibri"/>
          <w:b/>
          <w:iCs/>
          <w:sz w:val="26"/>
          <w:u w:val="single"/>
        </w:rPr>
        <w:t xml:space="preserv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910C85">
        <w:rPr>
          <w:rFonts w:eastAsia="Calibri"/>
          <w:iCs/>
          <w:sz w:val="12"/>
          <w:szCs w:val="12"/>
        </w:rPr>
        <w:t>find  rationality</w:t>
      </w:r>
      <w:proofErr w:type="gramEnd"/>
      <w:r w:rsidRPr="00910C85">
        <w:rPr>
          <w:rFonts w:eastAsia="Calibri"/>
          <w:iCs/>
          <w:sz w:val="12"/>
          <w:szCs w:val="12"/>
        </w:rPr>
        <w:t xml:space="preserve"> thrust upon you. Note that the first two beliefs could be replaced by preferences, with the same effect. Since </w:t>
      </w:r>
      <w:r w:rsidRPr="00910C85">
        <w:rPr>
          <w:rFonts w:eastAsia="Calibri"/>
          <w:b/>
          <w:iCs/>
          <w:sz w:val="26"/>
          <w:u w:val="single"/>
        </w:rPr>
        <w:t xml:space="preserve">in representing our </w:t>
      </w:r>
      <w:proofErr w:type="gramStart"/>
      <w:r w:rsidRPr="00910C85">
        <w:rPr>
          <w:rFonts w:eastAsia="Calibri"/>
          <w:b/>
          <w:iCs/>
          <w:sz w:val="26"/>
          <w:u w:val="single"/>
        </w:rPr>
        <w:t>preferences</w:t>
      </w:r>
      <w:proofErr w:type="gramEnd"/>
      <w:r w:rsidRPr="00910C85">
        <w:rPr>
          <w:rFonts w:eastAsia="Calibri"/>
          <w:b/>
          <w:iCs/>
          <w:sz w:val="26"/>
          <w:u w:val="single"/>
        </w:rPr>
        <w:t xml:space="preserve">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910C85">
        <w:rPr>
          <w:rFonts w:eastAsia="Calibri"/>
          <w:iCs/>
          <w:sz w:val="12"/>
          <w:szCs w:val="12"/>
        </w:rPr>
        <w:t>framework, and</w:t>
      </w:r>
      <w:proofErr w:type="gramEnd"/>
      <w:r w:rsidRPr="00910C85">
        <w:rPr>
          <w:rFonts w:eastAsia="Calibri"/>
          <w:iCs/>
          <w:sz w:val="12"/>
          <w:szCs w:val="12"/>
        </w:rPr>
        <w:t xml:space="preserve"> denying that any </w:t>
      </w:r>
      <w:proofErr w:type="spellStart"/>
      <w:r w:rsidRPr="00910C85">
        <w:rPr>
          <w:rFonts w:eastAsia="Calibri"/>
          <w:iCs/>
          <w:sz w:val="12"/>
          <w:szCs w:val="12"/>
        </w:rPr>
        <w:t>extramoral</w:t>
      </w:r>
      <w:proofErr w:type="spellEnd"/>
      <w:r w:rsidRPr="00910C85">
        <w:rPr>
          <w:rFonts w:eastAsia="Calibri"/>
          <w:iCs/>
          <w:sz w:val="12"/>
          <w:szCs w:val="12"/>
        </w:rPr>
        <w:t xml:space="preserve"> foundation is relevant. For </w:t>
      </w:r>
      <w:r w:rsidRPr="00910C85">
        <w:rPr>
          <w:rFonts w:eastAsia="Calibri"/>
          <w:b/>
          <w:iCs/>
          <w:sz w:val="26"/>
          <w:u w:val="single"/>
        </w:rPr>
        <w:t xml:space="preserve">an </w:t>
      </w:r>
      <w:proofErr w:type="spellStart"/>
      <w:r w:rsidRPr="00910C85">
        <w:rPr>
          <w:rFonts w:eastAsia="Calibri"/>
          <w:b/>
          <w:iCs/>
          <w:sz w:val="26"/>
          <w:highlight w:val="yellow"/>
          <w:u w:val="single"/>
        </w:rPr>
        <w:t>extramoral</w:t>
      </w:r>
      <w:proofErr w:type="spellEnd"/>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343054D9" w14:textId="77777777" w:rsidR="00604C0E" w:rsidRPr="00910C85" w:rsidRDefault="00604C0E" w:rsidP="00604C0E">
      <w:pPr>
        <w:pStyle w:val="Heading4"/>
        <w:rPr>
          <w:rFonts w:eastAsia="Calibri"/>
        </w:rPr>
      </w:pPr>
      <w:r w:rsidRPr="00910C85">
        <w:rPr>
          <w:rFonts w:eastAsia="Calibri"/>
        </w:rPr>
        <w:t xml:space="preserve">Since agents take their own ability to act as intrinsically valuable, permissibility is avoided through a system of </w:t>
      </w:r>
      <w:r w:rsidRPr="00910C85">
        <w:rPr>
          <w:rFonts w:eastAsia="Calibri"/>
          <w:u w:val="single"/>
        </w:rPr>
        <w:t xml:space="preserve">mutual </w:t>
      </w:r>
      <w:proofErr w:type="spellStart"/>
      <w:r w:rsidRPr="00910C85">
        <w:rPr>
          <w:rFonts w:eastAsia="Calibri"/>
          <w:u w:val="single"/>
        </w:rPr>
        <w:t>self restraint</w:t>
      </w:r>
      <w:proofErr w:type="spellEnd"/>
      <w:r w:rsidRPr="00910C85">
        <w:rPr>
          <w:rFonts w:eastAsia="Calibri"/>
        </w:rPr>
        <w:t xml:space="preserve"> where </w:t>
      </w:r>
      <w:proofErr w:type="gramStart"/>
      <w:r w:rsidRPr="00910C85">
        <w:rPr>
          <w:rFonts w:eastAsia="Calibri"/>
        </w:rPr>
        <w:t>agents  refrain</w:t>
      </w:r>
      <w:proofErr w:type="gramEnd"/>
      <w:r w:rsidRPr="00910C85">
        <w:rPr>
          <w:rFonts w:eastAsia="Calibri"/>
        </w:rPr>
        <w:t xml:space="preserve"> from impeding upon the actions of other agents, under the expectation that others will do the same out of rational </w:t>
      </w:r>
      <w:proofErr w:type="spellStart"/>
      <w:r w:rsidRPr="00910C85">
        <w:rPr>
          <w:rFonts w:eastAsia="Calibri"/>
        </w:rPr>
        <w:t>self interest</w:t>
      </w:r>
      <w:proofErr w:type="spellEnd"/>
      <w:r w:rsidRPr="00910C85">
        <w:rPr>
          <w:rFonts w:eastAsia="Calibri"/>
        </w:rPr>
        <w:t xml:space="preserve">. This is achieved through a system of contracts which both parties’ consent to </w:t>
      </w:r>
      <w:proofErr w:type="gramStart"/>
      <w:r w:rsidRPr="00910C85">
        <w:rPr>
          <w:rFonts w:eastAsia="Calibri"/>
        </w:rPr>
        <w:t>in order to</w:t>
      </w:r>
      <w:proofErr w:type="gramEnd"/>
      <w:r w:rsidRPr="00910C85">
        <w:rPr>
          <w:rFonts w:eastAsia="Calibri"/>
        </w:rPr>
        <w:t xml:space="preserve"> regulate behavior. </w:t>
      </w:r>
    </w:p>
    <w:p w14:paraId="3D33C85F" w14:textId="77777777" w:rsidR="00604C0E" w:rsidRPr="00910C85" w:rsidRDefault="00604C0E" w:rsidP="00604C0E">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w:t>
      </w:r>
      <w:proofErr w:type="gramStart"/>
      <w:r w:rsidRPr="00910C85">
        <w:rPr>
          <w:rFonts w:eastAsia="Times New Roman"/>
        </w:rPr>
        <w:t>And,</w:t>
      </w:r>
      <w:proofErr w:type="gramEnd"/>
      <w:r w:rsidRPr="00910C85">
        <w:rPr>
          <w:rFonts w:eastAsia="Times New Roman"/>
        </w:rPr>
        <w:t xml:space="preserve"> the framework outweighs on actor specificity: States are not physical actors, but derive authority from contracts that allow them to constrain action. </w:t>
      </w:r>
    </w:p>
    <w:p w14:paraId="069ABF8E" w14:textId="77777777" w:rsidR="00604C0E" w:rsidRPr="00910C85" w:rsidRDefault="00604C0E" w:rsidP="00604C0E">
      <w:pPr>
        <w:pStyle w:val="Heading4"/>
        <w:rPr>
          <w:rFonts w:eastAsia="Times New Roman"/>
        </w:rPr>
      </w:pPr>
      <w:r w:rsidRPr="00910C85">
        <w:rPr>
          <w:rFonts w:eastAsia="Times New Roman"/>
        </w:rPr>
        <w:t xml:space="preserve">Prefer additionally – </w:t>
      </w:r>
    </w:p>
    <w:p w14:paraId="79B3524B" w14:textId="77777777" w:rsidR="00604C0E" w:rsidRPr="00910C85" w:rsidRDefault="00604C0E" w:rsidP="00604C0E">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w:t>
      </w:r>
      <w:proofErr w:type="spellStart"/>
      <w:r w:rsidRPr="00910C85">
        <w:rPr>
          <w:rFonts w:eastAsia="Times New Roman"/>
        </w:rPr>
        <w:t>self interest</w:t>
      </w:r>
      <w:proofErr w:type="spellEnd"/>
      <w:r w:rsidRPr="00910C85">
        <w:rPr>
          <w:rFonts w:eastAsia="Times New Roman"/>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6F6911C9" w14:textId="77777777" w:rsidR="00604C0E" w:rsidRPr="00910C85" w:rsidRDefault="00604C0E" w:rsidP="00604C0E">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2CDC46AE" w14:textId="77777777" w:rsidR="00604C0E" w:rsidRDefault="00604C0E" w:rsidP="00604C0E">
      <w:pPr>
        <w:pStyle w:val="Heading3"/>
      </w:pPr>
      <w:r>
        <w:t>Offense</w:t>
      </w:r>
    </w:p>
    <w:p w14:paraId="19904207" w14:textId="77777777" w:rsidR="00604C0E" w:rsidRPr="007D574C" w:rsidRDefault="00604C0E" w:rsidP="00604C0E">
      <w:pPr>
        <w:pStyle w:val="Heading4"/>
      </w:pPr>
      <w:r>
        <w:t>I negate that the appropriation of outer space is unjust.</w:t>
      </w:r>
    </w:p>
    <w:p w14:paraId="4E41BE97" w14:textId="77777777" w:rsidR="00604C0E" w:rsidRDefault="00604C0E" w:rsidP="00604C0E">
      <w:pPr>
        <w:pStyle w:val="Heading4"/>
      </w:pPr>
      <w:r>
        <w:t xml:space="preserve">[1] Banning appropriation prevents private entities from fulfilling existing contracts with governments. </w:t>
      </w:r>
    </w:p>
    <w:p w14:paraId="4B397B99" w14:textId="77777777" w:rsidR="00604C0E" w:rsidRPr="00487C09" w:rsidRDefault="00604C0E" w:rsidP="00604C0E">
      <w:r>
        <w:t xml:space="preserve">Loren </w:t>
      </w:r>
      <w:proofErr w:type="spellStart"/>
      <w:r w:rsidRPr="00181559">
        <w:rPr>
          <w:rStyle w:val="Style13ptBold"/>
        </w:rPr>
        <w:t>Grush</w:t>
      </w:r>
      <w:proofErr w:type="spellEnd"/>
      <w:r>
        <w:t xml:space="preserve">, daughter of 2 NASA engineers so she knows </w:t>
      </w:r>
      <w:proofErr w:type="spellStart"/>
      <w:r>
        <w:t>whats</w:t>
      </w:r>
      <w:proofErr w:type="spellEnd"/>
      <w:r>
        <w:t xml:space="preserve"> up, June 18, 20</w:t>
      </w:r>
      <w:r w:rsidRPr="00181559">
        <w:rPr>
          <w:rStyle w:val="Style13ptBold"/>
        </w:rPr>
        <w:t>19</w:t>
      </w:r>
      <w:r>
        <w:t>, The Verge, “Commercial space companies have received $7.2 billion in government investment since 2000”, [https://www.theverge.com/2019/6/18/18683455/nasa-space-angels-contracts-government-investment-spacex-air-force] mc</w:t>
      </w:r>
    </w:p>
    <w:p w14:paraId="77478721" w14:textId="77777777" w:rsidR="00604C0E" w:rsidRDefault="00604C0E" w:rsidP="00604C0E">
      <w:pPr>
        <w:rPr>
          <w:sz w:val="14"/>
        </w:rPr>
      </w:pPr>
      <w:r w:rsidRPr="00487C09">
        <w:rPr>
          <w:rStyle w:val="Emphasis"/>
          <w:highlight w:val="yellow"/>
        </w:rPr>
        <w:t>Early investments</w:t>
      </w:r>
      <w:r w:rsidRPr="00487C09">
        <w:rPr>
          <w:rStyle w:val="Emphasis"/>
        </w:rPr>
        <w:t xml:space="preserve"> from a government agency,</w:t>
      </w:r>
      <w:r w:rsidRPr="001B1B58">
        <w:rPr>
          <w:sz w:val="14"/>
        </w:rPr>
        <w:t xml:space="preserve"> like NASA or the Air Force, </w:t>
      </w:r>
      <w:r w:rsidRPr="00487C09">
        <w:rPr>
          <w:rStyle w:val="Emphasis"/>
          <w:highlight w:val="yellow"/>
        </w:rPr>
        <w:t xml:space="preserve">can be a crucial step in the evolution of </w:t>
      </w:r>
      <w:r w:rsidRPr="00487C09">
        <w:rPr>
          <w:rStyle w:val="Emphasis"/>
        </w:rPr>
        <w:t xml:space="preserve">commercial </w:t>
      </w:r>
      <w:r w:rsidRPr="00487C09">
        <w:rPr>
          <w:rStyle w:val="Emphasis"/>
          <w:highlight w:val="yellow"/>
        </w:rPr>
        <w:t>space companies</w:t>
      </w:r>
      <w:r w:rsidRPr="001B1B58">
        <w:rPr>
          <w:sz w:val="14"/>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public investment can sometimes be the difference between life and death for a company. “I think it’s really important for people to recognize </w:t>
      </w:r>
      <w:r w:rsidRPr="00155F2E">
        <w:rPr>
          <w:rStyle w:val="StyleUnderline"/>
          <w:b/>
          <w:bCs/>
        </w:rPr>
        <w:t xml:space="preserve">that </w:t>
      </w:r>
      <w:r w:rsidRPr="00155F2E">
        <w:rPr>
          <w:rStyle w:val="StyleUnderline"/>
          <w:b/>
          <w:bCs/>
          <w:highlight w:val="yellow"/>
        </w:rPr>
        <w:t>it isn’t just the private sector deciding to do something</w:t>
      </w:r>
      <w:r w:rsidRPr="001B1B58">
        <w:rPr>
          <w:sz w:val="14"/>
        </w:rPr>
        <w:t>,” Chad Anderson, CEO of Space Angels, tells The Verge. “</w:t>
      </w:r>
      <w:r w:rsidRPr="00155F2E">
        <w:rPr>
          <w:rStyle w:val="StyleUnderline"/>
          <w:b/>
          <w:bCs/>
          <w:highlight w:val="yellow"/>
        </w:rPr>
        <w:t>The government has played a key role</w:t>
      </w:r>
      <w:r w:rsidRPr="001B1B58">
        <w:rPr>
          <w:sz w:val="14"/>
        </w:rPr>
        <w:t xml:space="preserve"> in the development of entrepreneurial space companies.”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w:t>
      </w:r>
      <w:r w:rsidRPr="00487C09">
        <w:rPr>
          <w:rStyle w:val="Emphasis"/>
          <w:highlight w:val="yellow"/>
        </w:rPr>
        <w:t xml:space="preserve">67 space companies received </w:t>
      </w:r>
      <w:r w:rsidRPr="00155F2E">
        <w:rPr>
          <w:rStyle w:val="Emphasis"/>
        </w:rPr>
        <w:t xml:space="preserve">a total of </w:t>
      </w:r>
      <w:r w:rsidRPr="00487C09">
        <w:rPr>
          <w:rStyle w:val="Emphasis"/>
          <w:highlight w:val="yellow"/>
        </w:rPr>
        <w:t xml:space="preserve">$7.2 billion </w:t>
      </w:r>
      <w:r w:rsidRPr="00155F2E">
        <w:rPr>
          <w:rStyle w:val="Emphasis"/>
        </w:rPr>
        <w:t>in investments from the government</w:t>
      </w:r>
      <w:r w:rsidRPr="001B1B58">
        <w:rPr>
          <w:sz w:val="14"/>
        </w:rPr>
        <w:t xml:space="preserve">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During its first decade of operation, </w:t>
      </w:r>
      <w:r w:rsidRPr="00487C09">
        <w:rPr>
          <w:rStyle w:val="Emphasis"/>
          <w:highlight w:val="yellow"/>
        </w:rPr>
        <w:t xml:space="preserve">SpaceX operated </w:t>
      </w:r>
      <w:proofErr w:type="gramStart"/>
      <w:r w:rsidRPr="00487C09">
        <w:rPr>
          <w:rStyle w:val="Emphasis"/>
          <w:highlight w:val="yellow"/>
        </w:rPr>
        <w:t>off of</w:t>
      </w:r>
      <w:proofErr w:type="gramEnd"/>
      <w:r w:rsidRPr="00487C09">
        <w:rPr>
          <w:rStyle w:val="Emphasis"/>
          <w:highlight w:val="yellow"/>
        </w:rPr>
        <w:t xml:space="preserve"> $1 billion, and</w:t>
      </w:r>
      <w:r w:rsidRPr="001B1B58">
        <w:rPr>
          <w:sz w:val="14"/>
        </w:rPr>
        <w:t xml:space="preserve"> about </w:t>
      </w:r>
      <w:r w:rsidRPr="00487C09">
        <w:rPr>
          <w:rStyle w:val="Emphasis"/>
          <w:highlight w:val="yellow"/>
        </w:rPr>
        <w:t>half</w:t>
      </w:r>
      <w:r w:rsidRPr="001B1B58">
        <w:rPr>
          <w:sz w:val="14"/>
        </w:rPr>
        <w:t xml:space="preserve"> of that money </w:t>
      </w:r>
      <w:r w:rsidRPr="00487C09">
        <w:rPr>
          <w:rStyle w:val="Emphasis"/>
          <w:highlight w:val="yellow"/>
        </w:rPr>
        <w:t>came from government contracts</w:t>
      </w:r>
      <w:r w:rsidRPr="001B1B58">
        <w:rPr>
          <w:sz w:val="14"/>
        </w:rPr>
        <w:t xml:space="preserve"> from NASA, according to the Space Angels report. Musk notably thanked NASA for the agency’s support after SpaceX launched its very first Dragon cargo capsule to the International Space Station in 2012. “They didn’t do this alone,” says Anderson. “They couldn’t have done it without the help of NASA.”</w:t>
      </w:r>
    </w:p>
    <w:p w14:paraId="0E17E212" w14:textId="77777777" w:rsidR="00604C0E" w:rsidRPr="00DD78D7" w:rsidRDefault="00604C0E" w:rsidP="00604C0E">
      <w:pPr>
        <w:pStyle w:val="Heading4"/>
      </w:pPr>
      <w:r w:rsidRPr="00DD78D7">
        <w:t>[2] Forecloses the ability for future contracts.</w:t>
      </w:r>
    </w:p>
    <w:p w14:paraId="4548815D" w14:textId="77777777" w:rsidR="00604C0E" w:rsidRDefault="00604C0E" w:rsidP="00604C0E">
      <w:r w:rsidRPr="004B5DCD">
        <w:rPr>
          <w:rFonts w:eastAsiaTheme="majorEastAsia" w:cstheme="majorBidi"/>
          <w:b/>
          <w:iCs/>
          <w:sz w:val="26"/>
        </w:rPr>
        <w:t>Christensen 16,</w:t>
      </w:r>
      <w:r w:rsidRPr="004B5DCD">
        <w:t xml:space="preserve"> "Building Confidence and Reducing Risk in Space Resources Policy," </w:t>
      </w:r>
      <w:r>
        <w:t>Ian Christensen. Project Manager [</w:t>
      </w:r>
      <w:r w:rsidRPr="00700651">
        <w:t>https://room.eu.com/article/building-confidence-and-reducing-risk-in-space-resources-policy</w:t>
      </w:r>
      <w:r>
        <w:t xml:space="preserve">] // recut </w:t>
      </w:r>
      <w:proofErr w:type="spellStart"/>
      <w:r>
        <w:t>ahs</w:t>
      </w:r>
      <w:proofErr w:type="spellEnd"/>
      <w:r>
        <w:t xml:space="preserve"> </w:t>
      </w:r>
      <w:proofErr w:type="spellStart"/>
      <w:r>
        <w:t>emi</w:t>
      </w:r>
      <w:proofErr w:type="spellEnd"/>
      <w:r>
        <w:t xml:space="preserve">  </w:t>
      </w:r>
    </w:p>
    <w:p w14:paraId="1A33760D" w14:textId="5B1232F9" w:rsidR="00604C0E" w:rsidRPr="0039460D" w:rsidRDefault="00604C0E" w:rsidP="00604C0E">
      <w:pPr>
        <w:rPr>
          <w:sz w:val="10"/>
        </w:rPr>
      </w:pPr>
      <w:r w:rsidRPr="00793C87">
        <w:rPr>
          <w:sz w:val="10"/>
        </w:rPr>
        <w:t xml:space="preserve">Like most areas of economic activity, </w:t>
      </w:r>
      <w:r w:rsidRPr="00EA6B2F">
        <w:rPr>
          <w:b/>
          <w:bCs/>
          <w:highlight w:val="yellow"/>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EA6B2F">
        <w:rPr>
          <w:b/>
          <w:bCs/>
          <w:highlight w:val="yellow"/>
          <w:u w:val="single"/>
        </w:rPr>
        <w:t>business plans are based</w:t>
      </w:r>
      <w:r w:rsidRPr="00D65994">
        <w:rPr>
          <w:u w:val="single"/>
        </w:rPr>
        <w:t xml:space="preserve"> </w:t>
      </w:r>
      <w:r w:rsidRPr="00EA6B2F">
        <w:rPr>
          <w:b/>
          <w:bCs/>
          <w:u w:val="single"/>
        </w:rPr>
        <w:t>up</w:t>
      </w:r>
      <w:r w:rsidRPr="00EA6B2F">
        <w:rPr>
          <w:b/>
          <w:bCs/>
          <w:highlight w:val="yellow"/>
          <w:u w:val="single"/>
        </w:rPr>
        <w:t>on</w:t>
      </w:r>
      <w:r w:rsidRPr="00D65994">
        <w:rPr>
          <w:u w:val="single"/>
        </w:rPr>
        <w:t xml:space="preserve"> the ability to </w:t>
      </w:r>
      <w:r w:rsidRPr="00793C87">
        <w:rPr>
          <w:rStyle w:val="StyleUnderline"/>
          <w:b/>
          <w:bCs/>
          <w:highlight w:val="yellow"/>
        </w:rPr>
        <w:t>access a resource</w:t>
      </w:r>
      <w:r w:rsidRPr="00793C87">
        <w:rPr>
          <w:sz w:val="10"/>
        </w:rPr>
        <w:t xml:space="preserve">, produce a product, service, or goods based </w:t>
      </w:r>
      <w:proofErr w:type="gramStart"/>
      <w:r w:rsidRPr="00793C87">
        <w:rPr>
          <w:sz w:val="10"/>
        </w:rPr>
        <w:t>from</w:t>
      </w:r>
      <w:proofErr w:type="gramEnd"/>
      <w:r w:rsidRPr="00793C87">
        <w:rPr>
          <w:sz w:val="10"/>
        </w:rPr>
        <w:t xml:space="preserve"> the resource, </w:t>
      </w:r>
      <w:r w:rsidRPr="00793C87">
        <w:rPr>
          <w:rStyle w:val="StyleUnderline"/>
          <w:b/>
          <w:bCs/>
          <w:highlight w:val="yellow"/>
        </w:rPr>
        <w:t>and produce revenue</w:t>
      </w:r>
      <w:r w:rsidRPr="00793C87">
        <w:rPr>
          <w:sz w:val="10"/>
        </w:rPr>
        <w:t xml:space="preserve"> from that product based on established market activities. An economic system requires a level of regulation and oversight to ensure it functions. Regulation and governmental oversight </w:t>
      </w:r>
      <w:proofErr w:type="gramStart"/>
      <w:r w:rsidRPr="00793C87">
        <w:rPr>
          <w:sz w:val="10"/>
        </w:rPr>
        <w:t>is</w:t>
      </w:r>
      <w:proofErr w:type="gramEnd"/>
      <w:r w:rsidRPr="00793C87">
        <w:rPr>
          <w:sz w:val="10"/>
        </w:rPr>
        <w:t xml:space="preserve">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w:t>
      </w:r>
      <w:proofErr w:type="gramStart"/>
      <w:r w:rsidRPr="00793C87">
        <w:rPr>
          <w:sz w:val="10"/>
        </w:rPr>
        <w:t>fairly comprehensive</w:t>
      </w:r>
      <w:proofErr w:type="gramEnd"/>
      <w:r w:rsidRPr="00793C87">
        <w:rPr>
          <w:sz w:val="10"/>
        </w:rPr>
        <w:t xml:space="preserve"> piece of legislation focusing on the development of the US commercial space sector, the ‘US Commercial Space Launch Competitiveness Act of 2015’. One title of this law, Title IV - Space Resource Exploration and Utilization, has elicited considerable international attention. It </w:t>
      </w:r>
      <w:proofErr w:type="spellStart"/>
      <w:r w:rsidRPr="00793C87">
        <w:rPr>
          <w:sz w:val="10"/>
        </w:rPr>
        <w:t>authorises</w:t>
      </w:r>
      <w:proofErr w:type="spellEnd"/>
      <w:r w:rsidRPr="00793C87">
        <w:rPr>
          <w:sz w:val="10"/>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which represents the primary source of international law governing space activities. At issue is whether </w:t>
      </w:r>
      <w:proofErr w:type="spellStart"/>
      <w:r w:rsidRPr="00793C87">
        <w:rPr>
          <w:sz w:val="10"/>
        </w:rPr>
        <w:t>authorising</w:t>
      </w:r>
      <w:proofErr w:type="spellEnd"/>
      <w:r w:rsidRPr="00793C87">
        <w:rPr>
          <w:sz w:val="10"/>
        </w:rPr>
        <w:t xml:space="preserve"> the use of space resources violates Article II of the Treaty, which states ‘Outer space, including the Moon and other celestial bodies, is not subject to national appropriation by claims of sovereignty, by means of use or occupation, or by other </w:t>
      </w:r>
      <w:proofErr w:type="gramStart"/>
      <w:r w:rsidRPr="00793C87">
        <w:rPr>
          <w:sz w:val="10"/>
        </w:rPr>
        <w:t>means’</w:t>
      </w:r>
      <w:proofErr w:type="gramEnd"/>
      <w:r w:rsidRPr="00793C87">
        <w:rPr>
          <w:sz w:val="10"/>
        </w:rPr>
        <w:t xml:space="preserve">. </w:t>
      </w:r>
      <w:r w:rsidRPr="00EA6B2F">
        <w:rPr>
          <w:u w:val="single"/>
        </w:rPr>
        <w:t xml:space="preserve">The most prohibitive interpretation of this Article would suggest all </w:t>
      </w:r>
      <w:r w:rsidRPr="00EA6B2F">
        <w:rPr>
          <w:b/>
          <w:bCs/>
          <w:highlight w:val="yellow"/>
          <w:u w:val="single"/>
        </w:rPr>
        <w:t>extractive</w:t>
      </w:r>
      <w:r w:rsidRPr="003D62C8">
        <w:rPr>
          <w:u w:val="single"/>
        </w:rPr>
        <w:t xml:space="preserve"> or consumptive </w:t>
      </w:r>
      <w:r w:rsidRPr="00EA6B2F">
        <w:rPr>
          <w:b/>
          <w:bCs/>
          <w:highlight w:val="yellow"/>
          <w:u w:val="single"/>
        </w:rPr>
        <w:t>uses of space resources</w:t>
      </w:r>
      <w:r w:rsidRPr="003D62C8">
        <w:rPr>
          <w:u w:val="single"/>
        </w:rPr>
        <w:t xml:space="preserve"> on celestial </w:t>
      </w:r>
      <w:r w:rsidRPr="00EA6B2F">
        <w:rPr>
          <w:u w:val="single"/>
        </w:rPr>
        <w:t xml:space="preserve">bodies would be </w:t>
      </w:r>
      <w:r w:rsidRPr="00EA6B2F">
        <w:rPr>
          <w:b/>
          <w:bCs/>
          <w:highlight w:val="yellow"/>
          <w:u w:val="single"/>
        </w:rPr>
        <w:t>prohibited</w:t>
      </w:r>
      <w:r w:rsidRPr="0016478E">
        <w:rPr>
          <w:highlight w:val="cyan"/>
          <w:u w:val="single"/>
        </w:rPr>
        <w:t>.</w:t>
      </w:r>
      <w:r w:rsidRPr="00793C87">
        <w:rPr>
          <w:sz w:val="10"/>
        </w:rPr>
        <w:t xml:space="preserve"> </w:t>
      </w:r>
      <w:r w:rsidRPr="003D62C8">
        <w:rPr>
          <w:u w:val="single"/>
        </w:rPr>
        <w:t xml:space="preserve">An interpretation of </w:t>
      </w:r>
      <w:r w:rsidRPr="00EA6B2F">
        <w:rPr>
          <w:u w:val="single"/>
        </w:rPr>
        <w:t>this</w:t>
      </w:r>
      <w:r w:rsidRPr="003D62C8">
        <w:rPr>
          <w:u w:val="single"/>
        </w:rPr>
        <w:t xml:space="preserve"> type </w:t>
      </w:r>
      <w:r w:rsidRPr="00EA6B2F">
        <w:rPr>
          <w:b/>
          <w:bCs/>
          <w:highlight w:val="yellow"/>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EA6B2F">
        <w:rPr>
          <w:b/>
          <w:bCs/>
          <w:highlight w:val="yellow"/>
          <w:u w:val="single"/>
        </w:rPr>
        <w:t>and</w:t>
      </w:r>
      <w:r w:rsidRPr="003D62C8">
        <w:rPr>
          <w:u w:val="single"/>
        </w:rPr>
        <w:t xml:space="preserve"> by extension the </w:t>
      </w:r>
      <w:r w:rsidRPr="00EA6B2F">
        <w:rPr>
          <w:b/>
          <w:bCs/>
          <w:highlight w:val="yellow"/>
          <w:u w:val="single"/>
        </w:rPr>
        <w:t>security of investments</w:t>
      </w:r>
      <w:r w:rsidRPr="003D62C8">
        <w:rPr>
          <w:u w:val="single"/>
        </w:rPr>
        <w:t xml:space="preserve"> in </w:t>
      </w:r>
      <w:r w:rsidRPr="00793C87">
        <w:rPr>
          <w:sz w:val="10"/>
        </w:rPr>
        <w:t xml:space="preserve">those plans. However, opinion is consolidating around the interpretation that the US law </w:t>
      </w:r>
      <w:proofErr w:type="gramStart"/>
      <w:r w:rsidRPr="00793C87">
        <w:rPr>
          <w:sz w:val="10"/>
        </w:rPr>
        <w:t>is in compliance with</w:t>
      </w:r>
      <w:proofErr w:type="gramEnd"/>
      <w:r w:rsidRPr="00793C87">
        <w:rPr>
          <w:sz w:val="10"/>
        </w:rPr>
        <w:t xml:space="preserve">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w:t>
      </w:r>
      <w:proofErr w:type="gramStart"/>
      <w:r w:rsidRPr="00DF2B03">
        <w:rPr>
          <w:u w:val="single"/>
        </w:rPr>
        <w:t>some kind of international</w:t>
      </w:r>
      <w:proofErr w:type="gramEnd"/>
      <w:r w:rsidRPr="00DF2B03">
        <w:rPr>
          <w:u w:val="single"/>
        </w:rPr>
        <w:t xml:space="preserve"> backlash.”</w:t>
      </w:r>
      <w:r>
        <w:rPr>
          <w:u w:val="single"/>
        </w:rPr>
        <w:t xml:space="preserve"> </w:t>
      </w:r>
      <w:proofErr w:type="spellStart"/>
      <w:r w:rsidRPr="00EA6B2F">
        <w:rPr>
          <w:b/>
          <w:bCs/>
          <w:highlight w:val="yellow"/>
          <w:u w:val="single"/>
        </w:rPr>
        <w:t>Signalling</w:t>
      </w:r>
      <w:proofErr w:type="spellEnd"/>
      <w:r w:rsidRPr="00BB3A3D">
        <w:rPr>
          <w:u w:val="single"/>
        </w:rPr>
        <w:t xml:space="preserve"> this </w:t>
      </w:r>
      <w:r w:rsidRPr="00EA6B2F">
        <w:rPr>
          <w:b/>
          <w:bCs/>
          <w:highlight w:val="yellow"/>
          <w:u w:val="single"/>
        </w:rPr>
        <w:t>support</w:t>
      </w:r>
      <w:r w:rsidRPr="00BB3A3D">
        <w:rPr>
          <w:u w:val="single"/>
        </w:rPr>
        <w:t xml:space="preserve"> - </w:t>
      </w:r>
      <w:proofErr w:type="spellStart"/>
      <w:r w:rsidRPr="00BB3A3D">
        <w:rPr>
          <w:u w:val="single"/>
        </w:rPr>
        <w:t>ie</w:t>
      </w:r>
      <w:proofErr w:type="spellEnd"/>
      <w:r w:rsidRPr="00EA6B2F">
        <w:rPr>
          <w:b/>
          <w:bCs/>
          <w:u w:val="single"/>
        </w:rPr>
        <w:t xml:space="preserve">, </w:t>
      </w:r>
      <w:r w:rsidRPr="00EA6B2F">
        <w:rPr>
          <w:b/>
          <w:bCs/>
          <w:highlight w:val="yellow"/>
          <w:u w:val="single"/>
        </w:rPr>
        <w:t>reduc</w:t>
      </w:r>
      <w:r w:rsidRPr="00EA6B2F">
        <w:rPr>
          <w:b/>
          <w:bCs/>
          <w:u w:val="single"/>
        </w:rPr>
        <w:t xml:space="preserve">ing </w:t>
      </w:r>
      <w:r w:rsidRPr="00EA6B2F">
        <w:rPr>
          <w:b/>
          <w:bCs/>
          <w:highlight w:val="yellow"/>
          <w:u w:val="single"/>
        </w:rPr>
        <w:t>political risk and establish</w:t>
      </w:r>
      <w:r w:rsidRPr="00EA6B2F">
        <w:rPr>
          <w:b/>
          <w:bCs/>
          <w:u w:val="single"/>
        </w:rPr>
        <w:t>ing</w:t>
      </w:r>
      <w:r w:rsidRPr="00BB3A3D">
        <w:rPr>
          <w:u w:val="single"/>
        </w:rPr>
        <w:t xml:space="preserve"> the </w:t>
      </w:r>
      <w:r w:rsidRPr="00EA6B2F">
        <w:rPr>
          <w:u w:val="single"/>
        </w:rPr>
        <w:t>underlying frameworks</w:t>
      </w:r>
      <w:r w:rsidRPr="00BB3A3D">
        <w:rPr>
          <w:u w:val="single"/>
        </w:rPr>
        <w:t xml:space="preserve"> to enable </w:t>
      </w:r>
      <w:r w:rsidRPr="00EA6B2F">
        <w:rPr>
          <w:b/>
          <w:bCs/>
          <w:highlight w:val="yellow"/>
          <w:u w:val="single"/>
        </w:rPr>
        <w:t>activity</w:t>
      </w:r>
      <w:r w:rsidRPr="00BB3A3D">
        <w:rPr>
          <w:u w:val="single"/>
        </w:rPr>
        <w:t xml:space="preserve"> - is one reason governments enact legislation of the type represented by the US Act. Legislation and regulation </w:t>
      </w:r>
      <w:proofErr w:type="gramStart"/>
      <w:r w:rsidRPr="00BB3A3D">
        <w:rPr>
          <w:u w:val="single"/>
        </w:rPr>
        <w:t>is</w:t>
      </w:r>
      <w:proofErr w:type="gramEnd"/>
      <w:r w:rsidRPr="00BB3A3D">
        <w:rPr>
          <w:u w:val="single"/>
        </w:rPr>
        <w:t xml:space="preserve">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w:t>
      </w:r>
      <w:proofErr w:type="spellStart"/>
      <w:r w:rsidRPr="00793C87">
        <w:rPr>
          <w:sz w:val="10"/>
        </w:rPr>
        <w:t>authorisation</w:t>
      </w:r>
      <w:proofErr w:type="spellEnd"/>
      <w:r w:rsidRPr="00793C87">
        <w:rPr>
          <w:sz w:val="10"/>
        </w:rPr>
        <w:t xml:space="preserve"> and continuing supervision by the appropriate State Party to the Treaty’. States typically respond to this obligation through national regulations, </w:t>
      </w:r>
      <w:proofErr w:type="gramStart"/>
      <w:r w:rsidRPr="00793C87">
        <w:rPr>
          <w:sz w:val="10"/>
        </w:rPr>
        <w:t>laws</w:t>
      </w:r>
      <w:proofErr w:type="gramEnd"/>
      <w:r w:rsidRPr="00793C87">
        <w:rPr>
          <w:sz w:val="10"/>
        </w:rPr>
        <w:t xml:space="preserve">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EA6B2F">
        <w:rPr>
          <w:b/>
          <w:bCs/>
          <w:highlight w:val="yellow"/>
          <w:u w:val="single"/>
        </w:rPr>
        <w:t>uncertainty – or risk</w:t>
      </w:r>
      <w:r w:rsidRPr="008139B6">
        <w:rPr>
          <w:u w:val="single"/>
        </w:rPr>
        <w:t xml:space="preserve"> – as the commercial entities continue to execute their business plans. The lack of a regulatory framework does </w:t>
      </w:r>
      <w:r w:rsidRPr="00EA6B2F">
        <w:rPr>
          <w:b/>
          <w:bCs/>
          <w:highlight w:val="yellow"/>
          <w:u w:val="single"/>
        </w:rPr>
        <w:t>not</w:t>
      </w:r>
      <w:r w:rsidRPr="008139B6">
        <w:rPr>
          <w:u w:val="single"/>
        </w:rPr>
        <w:t xml:space="preserve"> necessarily</w:t>
      </w:r>
      <w:r w:rsidRPr="00DF2B03">
        <w:rPr>
          <w:u w:val="single"/>
        </w:rPr>
        <w:t xml:space="preserve"> create an environment </w:t>
      </w:r>
      <w:r w:rsidRPr="00EA6B2F">
        <w:rPr>
          <w:highlight w:val="yellow"/>
          <w:u w:val="single"/>
        </w:rPr>
        <w:t>c</w:t>
      </w:r>
      <w:r w:rsidRPr="00EA6B2F">
        <w:rPr>
          <w:b/>
          <w:bCs/>
          <w:highlight w:val="yellow"/>
          <w:u w:val="single"/>
        </w:rPr>
        <w:t xml:space="preserve">onducive to business </w:t>
      </w:r>
      <w:r w:rsidRPr="00793C87">
        <w:rPr>
          <w:sz w:val="10"/>
        </w:rPr>
        <w:t xml:space="preserve">development. The current situation in the US is one in which the government has clearly </w:t>
      </w:r>
      <w:proofErr w:type="spellStart"/>
      <w:r w:rsidRPr="00793C87">
        <w:rPr>
          <w:sz w:val="10"/>
        </w:rPr>
        <w:t>signalled</w:t>
      </w:r>
      <w:proofErr w:type="spellEnd"/>
      <w:r w:rsidRPr="00793C87">
        <w:rPr>
          <w:sz w:val="10"/>
        </w:rPr>
        <w:t xml:space="preserve">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43447F54" w14:textId="77777777" w:rsidR="00604C0E" w:rsidRPr="0090429E" w:rsidRDefault="00604C0E" w:rsidP="00604C0E">
      <w:pPr>
        <w:pStyle w:val="Heading4"/>
      </w:pPr>
      <w:r>
        <w:t xml:space="preserve">[3] Private appropriation is consistent with international law. </w:t>
      </w:r>
      <w:r w:rsidRPr="0090429E">
        <w:t>No OST violation – sovereignty and private property are distinct</w:t>
      </w:r>
      <w:r>
        <w:t xml:space="preserve">. </w:t>
      </w:r>
    </w:p>
    <w:p w14:paraId="35D5929B" w14:textId="77777777" w:rsidR="00604C0E" w:rsidRPr="002778E9" w:rsidRDefault="00604C0E" w:rsidP="00604C0E">
      <w:r w:rsidRPr="002778E9">
        <w:rPr>
          <w:rStyle w:val="Style13ptBold"/>
        </w:rPr>
        <w:t>Pace 11</w:t>
      </w:r>
      <w:r w:rsidRPr="002778E9">
        <w:t xml:space="preserve"> (Scott Pace is the director of the Space Policy Institute at the Elliott School of International Affairs at George Washington University, and former Associate Administrator for Program Analysis and Evaluation at NASA. “Merchant and Guardian Challenges in the Exercise of </w:t>
      </w:r>
      <w:proofErr w:type="spellStart"/>
      <w:r w:rsidRPr="002778E9">
        <w:t>Spacepower</w:t>
      </w:r>
      <w:proofErr w:type="spellEnd"/>
      <w:r w:rsidRPr="002778E9">
        <w:t xml:space="preserve">” Toward a Theory of </w:t>
      </w:r>
      <w:proofErr w:type="spellStart"/>
      <w:r w:rsidRPr="002778E9">
        <w:t>Spacepower</w:t>
      </w:r>
      <w:proofErr w:type="spellEnd"/>
      <w:r w:rsidRPr="002778E9">
        <w:t xml:space="preserve">, Chapter 7, February 2011, National Defense University Press, http://www.ndu.edu/press/space-Ch7.html, </w:t>
      </w:r>
      <w:proofErr w:type="gramStart"/>
      <w:r w:rsidRPr="002778E9">
        <w:t>TDA)recut</w:t>
      </w:r>
      <w:proofErr w:type="gramEnd"/>
      <w:r w:rsidRPr="002778E9">
        <w:t xml:space="preserve"> </w:t>
      </w:r>
      <w:proofErr w:type="spellStart"/>
      <w:r w:rsidRPr="002778E9">
        <w:t>emi</w:t>
      </w:r>
      <w:proofErr w:type="spellEnd"/>
    </w:p>
    <w:p w14:paraId="31744B6B" w14:textId="5B9AC205" w:rsidR="00604C0E" w:rsidRPr="0039460D" w:rsidRDefault="00604C0E" w:rsidP="00604C0E">
      <w:pPr>
        <w:rPr>
          <w:b/>
          <w:iCs/>
          <w:sz w:val="26"/>
          <w:u w:val="single"/>
        </w:rPr>
      </w:pPr>
      <w:r w:rsidRPr="001B1B58">
        <w:rPr>
          <w:sz w:val="14"/>
        </w:rPr>
        <w:t>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w:t>
      </w:r>
      <w:r w:rsidRPr="002778E9">
        <w:rPr>
          <w:rStyle w:val="Emphasis"/>
        </w:rPr>
        <w:t>. Article II of the 1967</w:t>
      </w:r>
      <w:r w:rsidRPr="001B1B58">
        <w:rPr>
          <w:sz w:val="14"/>
        </w:rPr>
        <w:t xml:space="preserve"> </w:t>
      </w:r>
      <w:r w:rsidRPr="002778E9">
        <w:rPr>
          <w:rStyle w:val="Emphasis"/>
          <w:highlight w:val="yellow"/>
        </w:rPr>
        <w:t>O</w:t>
      </w:r>
      <w:r w:rsidRPr="002778E9">
        <w:rPr>
          <w:rStyle w:val="Emphasis"/>
        </w:rPr>
        <w:t xml:space="preserve">uter </w:t>
      </w:r>
      <w:r w:rsidRPr="002778E9">
        <w:rPr>
          <w:rStyle w:val="Emphasis"/>
          <w:highlight w:val="yellow"/>
        </w:rPr>
        <w:t>S</w:t>
      </w:r>
      <w:r w:rsidRPr="002778E9">
        <w:rPr>
          <w:rStyle w:val="Emphasis"/>
        </w:rPr>
        <w:t xml:space="preserve">pace </w:t>
      </w:r>
      <w:r w:rsidRPr="002778E9">
        <w:rPr>
          <w:rStyle w:val="Emphasis"/>
          <w:highlight w:val="yellow"/>
        </w:rPr>
        <w:t>T</w:t>
      </w:r>
      <w:r w:rsidRPr="002778E9">
        <w:rPr>
          <w:rStyle w:val="Emphasis"/>
        </w:rPr>
        <w:t xml:space="preserve">reaty, however, specifically </w:t>
      </w:r>
      <w:r w:rsidRPr="002778E9">
        <w:rPr>
          <w:rStyle w:val="Emphasis"/>
          <w:highlight w:val="yellow"/>
        </w:rPr>
        <w:t>bars national appropriation</w:t>
      </w:r>
      <w:r w:rsidRPr="001B1B58">
        <w:rPr>
          <w:sz w:val="14"/>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scholars, however, make a distinction between sovereignty and property and point to </w:t>
      </w:r>
      <w:r w:rsidRPr="002778E9">
        <w:rPr>
          <w:rStyle w:val="Emphasis"/>
          <w:highlight w:val="yellow"/>
        </w:rPr>
        <w:t>civil law</w:t>
      </w:r>
      <w:r w:rsidRPr="002778E9">
        <w:rPr>
          <w:rStyle w:val="Emphasis"/>
        </w:rPr>
        <w:t xml:space="preserve"> that </w:t>
      </w:r>
      <w:r w:rsidRPr="002778E9">
        <w:rPr>
          <w:rStyle w:val="Emphasis"/>
          <w:highlight w:val="yellow"/>
        </w:rPr>
        <w:t>recognizes property rights independent of sovereignty</w:t>
      </w:r>
      <w:r w:rsidRPr="002778E9">
        <w:rPr>
          <w:rStyle w:val="Emphasis"/>
        </w:rPr>
        <w:t xml:space="preserve">.34 It has also been argued that while </w:t>
      </w:r>
      <w:r w:rsidRPr="002778E9">
        <w:rPr>
          <w:rStyle w:val="Emphasis"/>
          <w:highlight w:val="yellow"/>
        </w:rPr>
        <w:t>article II</w:t>
      </w:r>
      <w:r w:rsidRPr="002778E9">
        <w:rPr>
          <w:rStyle w:val="Emphasis"/>
        </w:rPr>
        <w:t xml:space="preserve"> of the treaty prohibits territorial sovereignty, it </w:t>
      </w:r>
      <w:r w:rsidRPr="002778E9">
        <w:rPr>
          <w:rStyle w:val="Emphasis"/>
          <w:highlight w:val="yellow"/>
        </w:rPr>
        <w:t>does not prohibit private appropriation.</w:t>
      </w:r>
      <w:r w:rsidRPr="002778E9">
        <w:rPr>
          <w:rStyle w:val="Emphasis"/>
        </w:rPr>
        <w:t xml:space="preserve"> The provision of the Outer Space Treaty requiring state parties to be responsible for the activities of persons under their jurisdiction or control </w:t>
      </w:r>
      <w:r w:rsidRPr="002778E9">
        <w:rPr>
          <w:rStyle w:val="Emphasis"/>
          <w:highlight w:val="yellow"/>
        </w:rPr>
        <w:t>leaves the door open to agreements</w:t>
      </w:r>
      <w:r w:rsidRPr="002778E9">
        <w:rPr>
          <w:rStyle w:val="Emphasis"/>
        </w:rPr>
        <w:t xml:space="preserve"> or </w:t>
      </w:r>
      <w:r w:rsidRPr="002778E9">
        <w:rPr>
          <w:rStyle w:val="Emphasis"/>
          <w:highlight w:val="yellow"/>
        </w:rPr>
        <w:t>processes that allow them to recognize and confer property rights, even under common law.</w:t>
      </w:r>
      <w:r w:rsidRPr="002778E9">
        <w:rPr>
          <w:rStyle w:val="Emphasis"/>
        </w:rPr>
        <w:t xml:space="preserve"> </w:t>
      </w:r>
    </w:p>
    <w:p w14:paraId="557E1259" w14:textId="77777777" w:rsidR="00604C0E" w:rsidRPr="004876BF" w:rsidRDefault="00604C0E" w:rsidP="00604C0E">
      <w:pPr>
        <w:pStyle w:val="Heading4"/>
        <w:rPr>
          <w:rFonts w:cs="Calibri"/>
        </w:rPr>
      </w:pPr>
      <w:r>
        <w:t xml:space="preserve">[4] </w:t>
      </w:r>
      <w:r>
        <w:rPr>
          <w:rFonts w:cs="Calibri"/>
        </w:rPr>
        <w:t xml:space="preserve">the </w:t>
      </w:r>
      <w:proofErr w:type="spellStart"/>
      <w:r>
        <w:rPr>
          <w:rFonts w:cs="Calibri"/>
        </w:rPr>
        <w:t>aff</w:t>
      </w:r>
      <w:proofErr w:type="spellEnd"/>
      <w:r>
        <w:rPr>
          <w:rFonts w:cs="Calibri"/>
        </w:rPr>
        <w:t xml:space="preserve"> is</w:t>
      </w:r>
      <w:r w:rsidRPr="00DB30A0">
        <w:rPr>
          <w:rFonts w:cs="Calibri"/>
        </w:rPr>
        <w:t xml:space="preserve"> not in mutual self-interest because </w:t>
      </w:r>
      <w:r>
        <w:rPr>
          <w:rFonts w:cs="Calibri"/>
        </w:rPr>
        <w:t>countries</w:t>
      </w:r>
      <w:r w:rsidRPr="00DB30A0">
        <w:rPr>
          <w:rFonts w:cs="Calibri"/>
        </w:rPr>
        <w:t xml:space="preserve"> want to keep their own economies ahead of others. </w:t>
      </w:r>
      <w:r>
        <w:rPr>
          <w:rFonts w:cs="Calibri"/>
        </w:rPr>
        <w:t>only p</w:t>
      </w:r>
      <w:r w:rsidRPr="002C7BA5">
        <w:t xml:space="preserve">rivatization </w:t>
      </w:r>
      <w:r>
        <w:t>can</w:t>
      </w:r>
      <w:r w:rsidRPr="002C7BA5">
        <w:t xml:space="preserve"> spur</w:t>
      </w:r>
      <w:r>
        <w:t xml:space="preserve"> that</w:t>
      </w:r>
      <w:r w:rsidRPr="002C7BA5">
        <w:t xml:space="preserve"> economic growth.</w:t>
      </w:r>
    </w:p>
    <w:p w14:paraId="6092CF4D" w14:textId="77777777" w:rsidR="00604C0E" w:rsidRPr="002C7BA5" w:rsidRDefault="00604C0E" w:rsidP="00604C0E">
      <w:r w:rsidRPr="002C7BA5">
        <w:rPr>
          <w:rStyle w:val="Style13ptBold"/>
        </w:rPr>
        <w:t>Edwards 09</w:t>
      </w:r>
      <w:r w:rsidRPr="002C7BA5">
        <w:t xml:space="preserve"> (Chris, Director of Tax Policy Studies @ CATO Institute, M.A. in Economics, “Privatization”, February 2009 </w:t>
      </w:r>
      <w:hyperlink r:id="rId6" w:history="1">
        <w:r w:rsidRPr="002C7BA5">
          <w:rPr>
            <w:rStyle w:val="Hyperlink"/>
          </w:rPr>
          <w:t>http://www.downsizinggovernment.org/privatization</w:t>
        </w:r>
      </w:hyperlink>
      <w:r w:rsidRPr="002C7BA5">
        <w:t xml:space="preserve">) </w:t>
      </w:r>
      <w:r>
        <w:t>recut mc</w:t>
      </w:r>
    </w:p>
    <w:p w14:paraId="7B27972F" w14:textId="77777777" w:rsidR="00604C0E" w:rsidRPr="0051794D" w:rsidRDefault="00604C0E" w:rsidP="00604C0E">
      <w:pPr>
        <w:rPr>
          <w:sz w:val="16"/>
        </w:rPr>
      </w:pPr>
      <w:r w:rsidRPr="0051794D">
        <w:rPr>
          <w:sz w:val="16"/>
        </w:rPr>
        <w:t xml:space="preserve">Governments on every continent have sold off state-owned assets to private investors in recent decades. Airports, railroads, energy utilities, and many other assets have been privatized. The privatization revolution has overthrown the belief widely held in the 20th century that governments should own the most important industries in the economy. </w:t>
      </w:r>
      <w:r w:rsidRPr="0051794D">
        <w:rPr>
          <w:rStyle w:val="Emphasis"/>
          <w:highlight w:val="yellow"/>
        </w:rPr>
        <w:t>Privatization has</w:t>
      </w:r>
      <w:r w:rsidRPr="0051794D">
        <w:rPr>
          <w:sz w:val="16"/>
        </w:rPr>
        <w:t xml:space="preserve"> generally </w:t>
      </w:r>
      <w:r w:rsidRPr="0051794D">
        <w:rPr>
          <w:rStyle w:val="Emphasis"/>
          <w:highlight w:val="yellow"/>
        </w:rPr>
        <w:t>led to reduced costs, higher-quality services, and</w:t>
      </w:r>
      <w:r w:rsidRPr="0051794D">
        <w:rPr>
          <w:sz w:val="16"/>
        </w:rPr>
        <w:t xml:space="preserve"> increased </w:t>
      </w:r>
      <w:r w:rsidRPr="0051794D">
        <w:rPr>
          <w:rStyle w:val="Emphasis"/>
          <w:highlight w:val="yellow"/>
        </w:rPr>
        <w:t>innovation in</w:t>
      </w:r>
      <w:r w:rsidRPr="0051794D">
        <w:rPr>
          <w:sz w:val="16"/>
        </w:rPr>
        <w:t xml:space="preserve"> formerly </w:t>
      </w:r>
      <w:r w:rsidRPr="0051794D">
        <w:rPr>
          <w:rStyle w:val="Emphasis"/>
          <w:highlight w:val="yellow"/>
        </w:rPr>
        <w:t>moribund government industries</w:t>
      </w:r>
      <w:r w:rsidRPr="0051794D">
        <w:rPr>
          <w:sz w:val="16"/>
        </w:rPr>
        <w:t xml:space="preserve">.  The presumption that government should own industry was challenged in the 1980s by British Prime Minister Margaret Thatcher and by President Ronald Reagan. But while Thatcher made enormous reforms in Britain, only a few major federal assets have been privatized in this country. Conrail, a freight railroad, was privatized in 1987 for $1.7 billion. The Alaska Power Administration was privatized in 1996. The federal helium reserve was privatized in 1996 for $1.8 billion. The Elk Hills Petroleum Reserve was sold in 1997 for $3.7 billion. The U.S. Enrichment Corporation, which provides enriched uranium to the nuclear industry, was privatized in 1998 for $3.1 billion.  There remain many </w:t>
      </w:r>
      <w:r w:rsidRPr="0051794D">
        <w:rPr>
          <w:rStyle w:val="Emphasis"/>
        </w:rPr>
        <w:t>federal assets that should be privatized</w:t>
      </w:r>
      <w:r w:rsidRPr="0051794D">
        <w:rPr>
          <w:sz w:val="16"/>
        </w:rPr>
        <w:t xml:space="preserve">, including businesses such as Amtrak and infrastructure such as the air traffic control system. The government also holds billions of dollars of real estate that should be sold. The benefits to the federal budget of privatization would be modest, but the benefits to the economy would be large as newly </w:t>
      </w:r>
      <w:r w:rsidRPr="0051794D">
        <w:rPr>
          <w:rStyle w:val="Emphasis"/>
          <w:highlight w:val="yellow"/>
        </w:rPr>
        <w:t>private businesses</w:t>
      </w:r>
      <w:r w:rsidRPr="0051794D">
        <w:rPr>
          <w:sz w:val="16"/>
        </w:rPr>
        <w:t xml:space="preserve"> would </w:t>
      </w:r>
      <w:r w:rsidRPr="0051794D">
        <w:rPr>
          <w:rStyle w:val="Emphasis"/>
          <w:highlight w:val="yellow"/>
        </w:rPr>
        <w:t>innovate</w:t>
      </w:r>
      <w:r w:rsidRPr="0051794D">
        <w:rPr>
          <w:sz w:val="16"/>
        </w:rPr>
        <w:t xml:space="preserve"> and improve their performance.  The Office of Management and Budget has calculated that about half of all federal employees perform tasks that are not "inherently governmental." The Bush administration had attempted to contract some of those activities to outside vendors, but such "competitive sourcing" is not privatization. Privatization makes an activity entirely private, taking it completely </w:t>
      </w:r>
      <w:proofErr w:type="gramStart"/>
      <w:r w:rsidRPr="0051794D">
        <w:rPr>
          <w:sz w:val="16"/>
        </w:rPr>
        <w:t>off of</w:t>
      </w:r>
      <w:proofErr w:type="gramEnd"/>
      <w:r w:rsidRPr="0051794D">
        <w:rPr>
          <w:sz w:val="16"/>
        </w:rPr>
        <w:t xml:space="preserve"> the government's books. That allows for greater innovation </w:t>
      </w:r>
      <w:r w:rsidRPr="0051794D">
        <w:rPr>
          <w:rStyle w:val="Emphasis"/>
          <w:highlight w:val="yellow"/>
        </w:rPr>
        <w:t>and prevents corruption</w:t>
      </w:r>
      <w:r w:rsidRPr="0051794D">
        <w:rPr>
          <w:sz w:val="16"/>
          <w:highlight w:val="yellow"/>
        </w:rPr>
        <w:t>,</w:t>
      </w:r>
      <w:r w:rsidRPr="0051794D">
        <w:rPr>
          <w:sz w:val="16"/>
        </w:rPr>
        <w:t xml:space="preserve"> which is a serious pitfall of government contracting.  Privatization of federal assets makes sense for many reasons. First, sales of federal assets would cut the budget deficit. Second, </w:t>
      </w:r>
      <w:r w:rsidRPr="0051794D">
        <w:rPr>
          <w:rStyle w:val="Emphasis"/>
          <w:highlight w:val="yellow"/>
        </w:rPr>
        <w:t>privatization</w:t>
      </w:r>
      <w:r w:rsidRPr="0051794D">
        <w:rPr>
          <w:sz w:val="16"/>
        </w:rPr>
        <w:t xml:space="preserve"> would </w:t>
      </w:r>
      <w:r w:rsidRPr="0051794D">
        <w:rPr>
          <w:rStyle w:val="Emphasis"/>
          <w:highlight w:val="yellow"/>
        </w:rPr>
        <w:t>reduce</w:t>
      </w:r>
      <w:r w:rsidRPr="0051794D">
        <w:rPr>
          <w:sz w:val="16"/>
        </w:rPr>
        <w:t xml:space="preserve"> the </w:t>
      </w:r>
      <w:r w:rsidRPr="0051794D">
        <w:rPr>
          <w:rStyle w:val="Emphasis"/>
          <w:highlight w:val="yellow"/>
        </w:rPr>
        <w:t>responsibilities</w:t>
      </w:r>
      <w:r w:rsidRPr="0051794D">
        <w:rPr>
          <w:sz w:val="16"/>
        </w:rPr>
        <w:t xml:space="preserve"> of the government </w:t>
      </w:r>
      <w:r w:rsidRPr="0051794D">
        <w:rPr>
          <w:rStyle w:val="Emphasis"/>
          <w:highlight w:val="yellow"/>
        </w:rPr>
        <w:t>so</w:t>
      </w:r>
      <w:r w:rsidRPr="0051794D">
        <w:rPr>
          <w:sz w:val="16"/>
        </w:rPr>
        <w:t xml:space="preserve"> that </w:t>
      </w:r>
      <w:r w:rsidRPr="0051794D">
        <w:rPr>
          <w:rStyle w:val="Emphasis"/>
          <w:highlight w:val="yellow"/>
        </w:rPr>
        <w:t>policymakers could</w:t>
      </w:r>
      <w:r w:rsidRPr="0051794D">
        <w:rPr>
          <w:sz w:val="16"/>
        </w:rPr>
        <w:t xml:space="preserve"> better </w:t>
      </w:r>
      <w:r w:rsidRPr="0051794D">
        <w:rPr>
          <w:rStyle w:val="Emphasis"/>
          <w:highlight w:val="yellow"/>
        </w:rPr>
        <w:t>focus on their</w:t>
      </w:r>
      <w:r w:rsidRPr="0051794D">
        <w:rPr>
          <w:rStyle w:val="Emphasis"/>
        </w:rPr>
        <w:t xml:space="preserve"> core </w:t>
      </w:r>
      <w:r w:rsidRPr="0051794D">
        <w:rPr>
          <w:rStyle w:val="Emphasis"/>
          <w:highlight w:val="yellow"/>
        </w:rPr>
        <w:t>responsibilities</w:t>
      </w:r>
      <w:r w:rsidRPr="0051794D">
        <w:rPr>
          <w:sz w:val="16"/>
        </w:rPr>
        <w:t xml:space="preserve">, such as national security. Third, there is vast foreign privatization experience that could be drawn on in pursuing U.S. reforms. Fourth, </w:t>
      </w:r>
      <w:r w:rsidRPr="0051794D">
        <w:rPr>
          <w:rStyle w:val="Emphasis"/>
          <w:highlight w:val="yellow"/>
        </w:rPr>
        <w:t>privatization</w:t>
      </w:r>
      <w:r w:rsidRPr="0051794D">
        <w:rPr>
          <w:rStyle w:val="Emphasis"/>
        </w:rPr>
        <w:t xml:space="preserve"> would spur economic growth by </w:t>
      </w:r>
      <w:r w:rsidRPr="0051794D">
        <w:rPr>
          <w:rStyle w:val="Emphasis"/>
          <w:highlight w:val="yellow"/>
        </w:rPr>
        <w:t>open</w:t>
      </w:r>
      <w:r w:rsidRPr="0051794D">
        <w:rPr>
          <w:rStyle w:val="Emphasis"/>
        </w:rPr>
        <w:t xml:space="preserve">ing </w:t>
      </w:r>
      <w:r w:rsidRPr="0051794D">
        <w:rPr>
          <w:rStyle w:val="Emphasis"/>
          <w:highlight w:val="yellow"/>
        </w:rPr>
        <w:t>new markets to entrepreneurs</w:t>
      </w:r>
      <w:r w:rsidRPr="0051794D">
        <w:rPr>
          <w:sz w:val="16"/>
        </w:rPr>
        <w:t xml:space="preserve">. For example, repeal of the postal monopoly could bring major innovation to the mail industry, just as the 1980s' breakup of AT&amp;T brought innovation to the telecommunications industry.  Some policymakers think that certain activities, such as air traffic control, are "too important" to leave to the private sector. But the reality is just the opposite. </w:t>
      </w:r>
      <w:r w:rsidRPr="0051794D">
        <w:rPr>
          <w:rStyle w:val="Emphasis"/>
        </w:rPr>
        <w:t>The government has shown itself to be a failure at providing efficiency and high quality in services such as air traffic control</w:t>
      </w:r>
      <w:r w:rsidRPr="0051794D">
        <w:rPr>
          <w:sz w:val="16"/>
        </w:rPr>
        <w:t xml:space="preserve">. Such industries are too important to miss out on the innovations that private entrepreneurs could bring to them. </w:t>
      </w:r>
    </w:p>
    <w:p w14:paraId="17A09510" w14:textId="77777777" w:rsidR="00604C0E" w:rsidRPr="00604C0E" w:rsidRDefault="00604C0E" w:rsidP="00604C0E"/>
    <w:sectPr w:rsidR="00604C0E" w:rsidRPr="00604C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2F4D"/>
    <w:rsid w:val="000139A3"/>
    <w:rsid w:val="000A3CD0"/>
    <w:rsid w:val="000D7249"/>
    <w:rsid w:val="00100833"/>
    <w:rsid w:val="00104529"/>
    <w:rsid w:val="00105942"/>
    <w:rsid w:val="00107396"/>
    <w:rsid w:val="00144A4C"/>
    <w:rsid w:val="00176AB0"/>
    <w:rsid w:val="00177B7D"/>
    <w:rsid w:val="0018322D"/>
    <w:rsid w:val="001B5776"/>
    <w:rsid w:val="001D55C6"/>
    <w:rsid w:val="001E527A"/>
    <w:rsid w:val="001F78CE"/>
    <w:rsid w:val="00251FC7"/>
    <w:rsid w:val="00272F4D"/>
    <w:rsid w:val="002855A7"/>
    <w:rsid w:val="002B146A"/>
    <w:rsid w:val="002B5E17"/>
    <w:rsid w:val="00315690"/>
    <w:rsid w:val="00316B75"/>
    <w:rsid w:val="00325646"/>
    <w:rsid w:val="003460F2"/>
    <w:rsid w:val="0038158C"/>
    <w:rsid w:val="003902BA"/>
    <w:rsid w:val="0039460D"/>
    <w:rsid w:val="003A09E2"/>
    <w:rsid w:val="00407037"/>
    <w:rsid w:val="004605D6"/>
    <w:rsid w:val="004C60E8"/>
    <w:rsid w:val="004E3579"/>
    <w:rsid w:val="004E728B"/>
    <w:rsid w:val="004F39E0"/>
    <w:rsid w:val="00537BD5"/>
    <w:rsid w:val="0057268A"/>
    <w:rsid w:val="005D2912"/>
    <w:rsid w:val="00604C0E"/>
    <w:rsid w:val="006065BD"/>
    <w:rsid w:val="00645FA9"/>
    <w:rsid w:val="00647866"/>
    <w:rsid w:val="00665003"/>
    <w:rsid w:val="006A2AD0"/>
    <w:rsid w:val="006C2375"/>
    <w:rsid w:val="006D4ECC"/>
    <w:rsid w:val="00722258"/>
    <w:rsid w:val="007243E5"/>
    <w:rsid w:val="00766EA0"/>
    <w:rsid w:val="007A2226"/>
    <w:rsid w:val="007D50A7"/>
    <w:rsid w:val="007F5B66"/>
    <w:rsid w:val="00801D5B"/>
    <w:rsid w:val="00823A1C"/>
    <w:rsid w:val="0083678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0321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3FCFB"/>
  <w15:chartTrackingRefBased/>
  <w15:docId w15:val="{3EA7C2B1-54AD-4179-9383-FAAB1DB2B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2F4D"/>
    <w:rPr>
      <w:rFonts w:ascii="Calibri" w:hAnsi="Calibri" w:cs="Calibri"/>
    </w:rPr>
  </w:style>
  <w:style w:type="paragraph" w:styleId="Heading1">
    <w:name w:val="heading 1"/>
    <w:aliases w:val="Pocket"/>
    <w:basedOn w:val="Normal"/>
    <w:next w:val="Normal"/>
    <w:link w:val="Heading1Char"/>
    <w:qFormat/>
    <w:rsid w:val="00272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2F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2F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272F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2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F4D"/>
  </w:style>
  <w:style w:type="character" w:customStyle="1" w:styleId="Heading1Char">
    <w:name w:val="Heading 1 Char"/>
    <w:aliases w:val="Pocket Char"/>
    <w:basedOn w:val="DefaultParagraphFont"/>
    <w:link w:val="Heading1"/>
    <w:rsid w:val="00272F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2F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2F4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272F4D"/>
    <w:rPr>
      <w:rFonts w:ascii="Calibri" w:eastAsiaTheme="majorEastAsia" w:hAnsi="Calibri" w:cstheme="majorBidi"/>
      <w:b/>
      <w:iCs/>
      <w:sz w:val="26"/>
    </w:rPr>
  </w:style>
  <w:style w:type="character" w:styleId="Emphasis">
    <w:name w:val="Emphasis"/>
    <w:basedOn w:val="DefaultParagraphFont"/>
    <w:uiPriority w:val="7"/>
    <w:qFormat/>
    <w:rsid w:val="00272F4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2F4D"/>
    <w:rPr>
      <w:b/>
      <w:bCs/>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272F4D"/>
    <w:rPr>
      <w:b w:val="0"/>
      <w:sz w:val="26"/>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272F4D"/>
    <w:rPr>
      <w:color w:val="auto"/>
      <w:u w:val="none"/>
    </w:rPr>
  </w:style>
  <w:style w:type="character" w:styleId="FollowedHyperlink">
    <w:name w:val="FollowedHyperlink"/>
    <w:basedOn w:val="DefaultParagraphFont"/>
    <w:uiPriority w:val="99"/>
    <w:semiHidden/>
    <w:unhideWhenUsed/>
    <w:rsid w:val="00272F4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ownsizinggovernment.org/privatiz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3701</Words>
  <Characters>21096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2022-02-18T20:29:00Z</dcterms:created>
  <dcterms:modified xsi:type="dcterms:W3CDTF">2022-02-18T21:54:00Z</dcterms:modified>
</cp:coreProperties>
</file>