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B3F25" w14:textId="15FECABC" w:rsidR="00A9618C" w:rsidRDefault="00A9618C" w:rsidP="00A9618C">
      <w:pPr>
        <w:pStyle w:val="Heading2"/>
      </w:pPr>
      <w:r>
        <w:t>Theory</w:t>
      </w:r>
    </w:p>
    <w:p w14:paraId="0A8930D5" w14:textId="38051CB6" w:rsidR="00A9618C" w:rsidRPr="00473EE4" w:rsidRDefault="00A9618C" w:rsidP="00A9618C">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4C22FFB8" w14:textId="77777777" w:rsidR="00A9618C" w:rsidRPr="00473EE4" w:rsidRDefault="00A9618C" w:rsidP="00A9618C">
      <w:pPr>
        <w:pStyle w:val="Heading4"/>
      </w:pPr>
      <w:r w:rsidRPr="00473EE4">
        <w:t>It’s preemptive, you violate by reading turns</w:t>
      </w:r>
      <w:r>
        <w:t xml:space="preserve"> or defense</w:t>
      </w:r>
      <w:r w:rsidRPr="00473EE4">
        <w:t xml:space="preserve"> </w:t>
      </w:r>
      <w:r>
        <w:t>to my offense and reading an alternative framework.</w:t>
      </w:r>
    </w:p>
    <w:p w14:paraId="75B9135A" w14:textId="77777777" w:rsidR="00A9618C" w:rsidRDefault="00A9618C" w:rsidP="00A9618C">
      <w:pPr>
        <w:pStyle w:val="Heading4"/>
      </w:pPr>
      <w:r>
        <w:t xml:space="preserve">Prefer – </w:t>
      </w:r>
    </w:p>
    <w:p w14:paraId="582857E8" w14:textId="1F5380B9" w:rsidR="00A9618C" w:rsidRDefault="00A9618C" w:rsidP="00A9618C">
      <w:pPr>
        <w:pStyle w:val="Analytic"/>
      </w:pPr>
      <w:r>
        <w:t>1.</w:t>
      </w:r>
      <w:r w:rsidRPr="001D6E7E">
        <w:t xml:space="preserve"> Strat skew – </w:t>
      </w:r>
    </w:p>
    <w:p w14:paraId="3E382250" w14:textId="44E1A3BE" w:rsidR="00A9618C" w:rsidRPr="00A9618C" w:rsidRDefault="00A9618C" w:rsidP="00DD453B">
      <w:pPr>
        <w:pStyle w:val="Analytic"/>
        <w:rPr>
          <w:rFonts w:cs="Times New Roman"/>
          <w:iCs w:val="0"/>
        </w:rPr>
      </w:pPr>
      <w:r>
        <w:t xml:space="preserve">2. Depth of Clash – </w:t>
      </w:r>
    </w:p>
    <w:p w14:paraId="0A2F6D43" w14:textId="4907759F" w:rsidR="00A9618C" w:rsidRDefault="00A9618C" w:rsidP="00A9618C">
      <w:pPr>
        <w:pStyle w:val="Heading2"/>
      </w:pPr>
      <w:r>
        <w:t>FWK</w:t>
      </w:r>
    </w:p>
    <w:p w14:paraId="6649157E" w14:textId="58C1498C" w:rsidR="00A9618C" w:rsidRPr="00E20F8E" w:rsidRDefault="00A9618C" w:rsidP="00A9618C">
      <w:pPr>
        <w:pStyle w:val="Heading4"/>
        <w:rPr>
          <w:rFonts w:cs="Calibri"/>
        </w:rPr>
      </w:pPr>
      <w:r w:rsidRPr="00E20F8E">
        <w:rPr>
          <w:rFonts w:cs="Calibri"/>
        </w:rPr>
        <w:t>The meta-ethic is consistency with transcendental form of subjects.</w:t>
      </w:r>
    </w:p>
    <w:p w14:paraId="1CCA6408" w14:textId="77777777" w:rsidR="00A9618C" w:rsidRDefault="00A9618C" w:rsidP="00A9618C">
      <w:pPr>
        <w:rPr>
          <w:b/>
          <w:szCs w:val="26"/>
        </w:rPr>
      </w:pPr>
    </w:p>
    <w:p w14:paraId="1B6C57E8" w14:textId="77777777" w:rsidR="00A9618C" w:rsidRPr="00E20F8E" w:rsidRDefault="00A9618C" w:rsidP="00A9618C">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r>
        <w:rPr>
          <w:rFonts w:cs="Calibri"/>
        </w:rPr>
        <w:t xml:space="preserve"> D)</w:t>
      </w:r>
      <w:r w:rsidRPr="004E6110">
        <w:t xml:space="preserve"> </w:t>
      </w:r>
      <w:r w:rsidRPr="006645BA">
        <w:t xml:space="preserve">proving the converse of the resolution is not sufficient to disprove the resolution’s truth.  </w:t>
      </w:r>
      <w:proofErr w:type="gramStart"/>
      <w:r w:rsidRPr="006645BA">
        <w:t>And,</w:t>
      </w:r>
      <w:proofErr w:type="gramEnd"/>
      <w:r w:rsidRPr="006645BA">
        <w:t xml:space="preserve"> this is also true of obligations since an obligation existing doesn’t mean that there can’t be a stronger obligation to do something else, as an obligation is a locus of moral duty and there can always be different obligations, particularly allowing for individual meaning creation is inherently good regardless of the content of index.</w:t>
      </w:r>
    </w:p>
    <w:p w14:paraId="26752052" w14:textId="77777777" w:rsidR="00A9618C" w:rsidRPr="00E20F8E" w:rsidRDefault="00A9618C" w:rsidP="00A9618C">
      <w:pPr>
        <w:rPr>
          <w:b/>
          <w:szCs w:val="26"/>
        </w:rPr>
      </w:pPr>
    </w:p>
    <w:p w14:paraId="7665B6BD" w14:textId="77777777" w:rsidR="00A9618C" w:rsidRDefault="00A9618C" w:rsidP="00A9618C">
      <w:pPr>
        <w:pStyle w:val="Heading4"/>
        <w:rPr>
          <w:rFonts w:eastAsia="Times New Roman"/>
          <w:u w:val="single"/>
        </w:rPr>
      </w:pPr>
      <w:r w:rsidRPr="007E24C9">
        <w:t xml:space="preserve">Moral </w:t>
      </w:r>
      <w:r>
        <w:t>truths</w:t>
      </w:r>
      <w:r w:rsidRPr="007E24C9">
        <w:t xml:space="preserve"> </w:t>
      </w:r>
      <w:r>
        <w:t xml:space="preserve">are </w:t>
      </w:r>
      <w:r w:rsidRPr="007E24C9">
        <w:t xml:space="preserve">only accessible through procedural transcendental idealism – a) Is/ought gap – appeals to the empirical world merely explain how the world is rather than what it ought to be b) </w:t>
      </w:r>
      <w:r>
        <w:t xml:space="preserve">The Naturalistic Fallacy: It is impossible to reduce goodness to an observable property, since the two are fundamentally separate. For example, if we believe an action that produces pleasure is good, it does not logically follow that pleasure and goodness are the same property, since the fact they describe the same thing does not make them the same thing. </w:t>
      </w:r>
      <w:r w:rsidRPr="007E24C9">
        <w:t>c)</w:t>
      </w:r>
      <w:r>
        <w:t xml:space="preserve"> Natural properties are </w:t>
      </w:r>
      <w:proofErr w:type="spellStart"/>
      <w:r>
        <w:t>aribitrary</w:t>
      </w:r>
      <w:proofErr w:type="spellEnd"/>
      <w:r>
        <w:t xml:space="preserve"> since one could observe any natural phenomenon and equate it with goodness d) </w:t>
      </w:r>
      <w:r w:rsidRPr="007E24C9">
        <w:t xml:space="preserve">Motivation – empirical circumstances change based one </w:t>
      </w:r>
      <w:proofErr w:type="gramStart"/>
      <w:r w:rsidRPr="007E24C9">
        <w:t>each individual</w:t>
      </w:r>
      <w:proofErr w:type="gramEnd"/>
      <w:r w:rsidRPr="007E24C9">
        <w:t xml:space="preserve">, only transcendent moral truths can motivate all agents absent those features. </w:t>
      </w:r>
    </w:p>
    <w:p w14:paraId="37205F68" w14:textId="77777777" w:rsidR="00A9618C" w:rsidRPr="00E20F8E" w:rsidRDefault="00A9618C" w:rsidP="00A9618C">
      <w:pPr>
        <w:pStyle w:val="Heading4"/>
        <w:rPr>
          <w:rFonts w:eastAsia="Times New Roman" w:cs="Calibri"/>
          <w:sz w:val="24"/>
        </w:rPr>
      </w:pP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u w:val="single"/>
        </w:rPr>
        <w:t>why one should be just is</w:t>
      </w:r>
      <w:r w:rsidRPr="00E20F8E">
        <w:rPr>
          <w:rFonts w:eastAsia="Times New Roman" w:cs="Calibri"/>
          <w:b w:val="0"/>
          <w:sz w:val="12"/>
        </w:rPr>
        <w:t xml:space="preserve"> an </w:t>
      </w:r>
      <w:r w:rsidRPr="00E20F8E">
        <w:rPr>
          <w:rFonts w:eastAsia="Times New Roman" w:cs="Calibri"/>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highlight w:val="yellow"/>
          <w:u w:val="single"/>
        </w:rPr>
        <w:t>obligation</w:t>
      </w:r>
      <w:r w:rsidRPr="00E20F8E">
        <w:rPr>
          <w:rFonts w:eastAsia="Times New Roman" w:cs="Calibri"/>
          <w:u w:val="single"/>
        </w:rPr>
        <w:t xml:space="preserve"> to be just </w:t>
      </w:r>
      <w:r w:rsidRPr="00E20F8E">
        <w:rPr>
          <w:rFonts w:eastAsia="Times New Roman" w:cs="Calibri"/>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u w:val="single"/>
        </w:rPr>
        <w:t xml:space="preserve">lack binding force; </w:t>
      </w:r>
      <w:r w:rsidRPr="00E20F8E">
        <w:rPr>
          <w:rFonts w:eastAsia="Times New Roman" w:cs="Calibri"/>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highlight w:val="yellow"/>
          <w:u w:val="single"/>
        </w:rPr>
        <w:t>Principles of justice not based on objective moral principles are arbitrary</w:t>
      </w:r>
      <w:r w:rsidRPr="00E20F8E">
        <w:rPr>
          <w:rFonts w:eastAsia="Times New Roman" w:cs="Calibri"/>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highlight w:val="yellow"/>
          <w:u w:val="single"/>
        </w:rPr>
        <w:t>that compels individuals to sacrifice</w:t>
      </w:r>
      <w:r w:rsidRPr="00E20F8E">
        <w:rPr>
          <w:rFonts w:eastAsia="Times New Roman" w:cs="Calibri"/>
          <w:u w:val="single"/>
        </w:rPr>
        <w:t xml:space="preserve"> their </w:t>
      </w:r>
      <w:r w:rsidRPr="00E20F8E">
        <w:rPr>
          <w:rFonts w:eastAsia="Times New Roman" w:cs="Calibri"/>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u w:val="single"/>
        </w:rPr>
        <w:t>The gap</w:t>
      </w:r>
      <w:r w:rsidRPr="00E20F8E">
        <w:rPr>
          <w:rFonts w:eastAsia="Times New Roman" w:cs="Calibri"/>
          <w:b w:val="0"/>
          <w:sz w:val="12"/>
        </w:rPr>
        <w:t xml:space="preserve"> between "is" and "ought" </w:t>
      </w:r>
      <w:proofErr w:type="gramStart"/>
      <w:r w:rsidRPr="00E20F8E">
        <w:rPr>
          <w:rFonts w:eastAsia="Times New Roman" w:cs="Calibri"/>
          <w:u w:val="single"/>
        </w:rPr>
        <w:t>reflects</w:t>
      </w:r>
      <w:proofErr w:type="gramEnd"/>
      <w:r w:rsidRPr="00E20F8E">
        <w:rPr>
          <w:rFonts w:eastAsia="Times New Roman" w:cs="Calibri"/>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u w:val="single"/>
        </w:rPr>
        <w:t xml:space="preserve">description and obligation. </w:t>
      </w:r>
    </w:p>
    <w:p w14:paraId="6FF8DE3D" w14:textId="77777777" w:rsidR="00A9618C" w:rsidRPr="00E20F8E" w:rsidRDefault="00A9618C" w:rsidP="00A9618C">
      <w:pPr>
        <w:rPr>
          <w:b/>
          <w:szCs w:val="26"/>
        </w:rPr>
      </w:pPr>
    </w:p>
    <w:p w14:paraId="3972B29C" w14:textId="77777777" w:rsidR="00A9618C" w:rsidRPr="00E20F8E" w:rsidRDefault="00A9618C" w:rsidP="00A9618C">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6"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003AEC9B" w14:textId="77777777" w:rsidR="00A9618C" w:rsidRPr="00E20F8E" w:rsidRDefault="00A9618C" w:rsidP="00A9618C">
      <w:pPr>
        <w:rPr>
          <w:sz w:val="12"/>
        </w:rPr>
      </w:pPr>
      <w:r w:rsidRPr="00E20F8E">
        <w:rPr>
          <w:b/>
          <w:highlight w:val="yellow"/>
          <w:u w:val="single"/>
        </w:rPr>
        <w:t>Forms</w:t>
      </w:r>
      <w:r w:rsidRPr="00E20F8E">
        <w:rPr>
          <w:sz w:val="12"/>
        </w:rPr>
        <w:t xml:space="preserve"> can be thought of </w:t>
      </w:r>
      <w:r w:rsidRPr="00E20F8E">
        <w:rPr>
          <w:b/>
          <w:u w:val="single"/>
        </w:rPr>
        <w:t>as abstract entities</w:t>
      </w:r>
      <w:r w:rsidRPr="00E20F8E">
        <w:rPr>
          <w:sz w:val="12"/>
        </w:rPr>
        <w:t xml:space="preserve"> or qualities that </w:t>
      </w:r>
      <w:r w:rsidRPr="00E20F8E">
        <w:rPr>
          <w:b/>
          <w:highlight w:val="yellow"/>
          <w:u w:val="single"/>
        </w:rPr>
        <w:t>are the essence of</w:t>
      </w:r>
      <w:r w:rsidRPr="00E20F8E">
        <w:rPr>
          <w:b/>
          <w:u w:val="single"/>
        </w:rPr>
        <w:t xml:space="preserve"> sensible </w:t>
      </w:r>
      <w:r w:rsidRPr="00E20F8E">
        <w:rPr>
          <w:b/>
          <w:highlight w:val="yellow"/>
          <w:u w:val="single"/>
        </w:rPr>
        <w:t>things</w:t>
      </w:r>
      <w:r w:rsidRPr="00E20F8E">
        <w:rPr>
          <w:sz w:val="12"/>
        </w:rPr>
        <w:t xml:space="preserve">. Take, </w:t>
      </w:r>
      <w:r w:rsidRPr="00E20F8E">
        <w:rPr>
          <w:b/>
          <w:u w:val="single"/>
        </w:rPr>
        <w:t xml:space="preserve">for example, an apple: Roundness, color and weight of the apple are all the properties that make up that apple, each of which is a separate </w:t>
      </w:r>
      <w:proofErr w:type="gramStart"/>
      <w:r w:rsidRPr="00E20F8E">
        <w:rPr>
          <w:b/>
          <w:u w:val="single"/>
        </w:rPr>
        <w:t>form in itself</w:t>
      </w:r>
      <w:proofErr w:type="gramEnd"/>
      <w:r w:rsidRPr="00E20F8E">
        <w:rPr>
          <w:sz w:val="12"/>
        </w:rPr>
        <w:t xml:space="preserve">. According to Plato, two apples are “round” because they both partake in the form of “roundness”. This “partaking” in any form is what makes things share similar attributes. </w:t>
      </w:r>
      <w:r w:rsidRPr="00E20F8E">
        <w:rPr>
          <w:b/>
          <w:highlight w:val="yellow"/>
          <w:u w:val="single"/>
        </w:rPr>
        <w:t>All material objects owe their existence to</w:t>
      </w:r>
      <w:r w:rsidRPr="00E20F8E">
        <w:rPr>
          <w:b/>
          <w:u w:val="single"/>
        </w:rPr>
        <w:t xml:space="preserve"> these </w:t>
      </w:r>
      <w:r w:rsidRPr="00E20F8E">
        <w:rPr>
          <w:b/>
          <w:highlight w:val="yellow"/>
          <w:u w:val="single"/>
        </w:rPr>
        <w:t>forms</w:t>
      </w:r>
      <w:r w:rsidRPr="00E20F8E">
        <w:rPr>
          <w:b/>
          <w:u w:val="single"/>
        </w:rPr>
        <w:t xml:space="preserve">; whereas each form exists by itself, independently of the object that exemplifies the </w:t>
      </w:r>
      <w:proofErr w:type="gramStart"/>
      <w:r w:rsidRPr="00E20F8E">
        <w:rPr>
          <w:b/>
          <w:u w:val="single"/>
        </w:rPr>
        <w:t>particular form</w:t>
      </w:r>
      <w:proofErr w:type="gramEnd"/>
      <w:r w:rsidRPr="00E20F8E">
        <w:rPr>
          <w:sz w:val="12"/>
        </w:rPr>
        <w:t xml:space="preserve">. In Phaedo, which is widely agreed to be the first dialogue Plato introduced the forms, forms are “marked as auto </w:t>
      </w:r>
      <w:proofErr w:type="spellStart"/>
      <w:r w:rsidRPr="00E20F8E">
        <w:rPr>
          <w:sz w:val="12"/>
        </w:rPr>
        <w:t>kath</w:t>
      </w:r>
      <w:proofErr w:type="spellEnd"/>
      <w:r w:rsidRPr="00E20F8E">
        <w:rPr>
          <w:sz w:val="12"/>
        </w:rPr>
        <w:t xml:space="preserve"> auto beings, beings that are what they are in virtue of themselves</w:t>
      </w:r>
      <w:proofErr w:type="gramStart"/>
      <w:r w:rsidRPr="00E20F8E">
        <w:rPr>
          <w:sz w:val="12"/>
        </w:rPr>
        <w:t>1 .</w:t>
      </w:r>
      <w:proofErr w:type="gramEnd"/>
      <w:r w:rsidRPr="00E20F8E">
        <w:rPr>
          <w:sz w:val="12"/>
        </w:rPr>
        <w:t xml:space="preserve">” </w:t>
      </w:r>
      <w:r w:rsidRPr="00E20F8E">
        <w:rPr>
          <w:b/>
          <w:highlight w:val="yellow"/>
          <w:u w:val="single"/>
        </w:rPr>
        <w:t>Forms</w:t>
      </w:r>
      <w:r w:rsidRPr="00E20F8E">
        <w:rPr>
          <w:b/>
          <w:u w:val="single"/>
        </w:rPr>
        <w:t xml:space="preserve"> are transcendent to our material world in that they </w:t>
      </w:r>
      <w:r w:rsidRPr="00E20F8E">
        <w:rPr>
          <w:b/>
          <w:highlight w:val="yellow"/>
          <w:u w:val="single"/>
        </w:rPr>
        <w:t>exist beyond space and time</w:t>
      </w:r>
      <w:r w:rsidRPr="00E20F8E">
        <w:rPr>
          <w:b/>
          <w:u w:val="single"/>
        </w:rPr>
        <w:t>, whereas material objects occupy a specific place at a specific time</w:t>
      </w:r>
      <w:r w:rsidRPr="00E20F8E">
        <w:rPr>
          <w:sz w:val="12"/>
        </w:rPr>
        <w:t xml:space="preserve">. Atemporal and aspatial features of forms have very important implications. First, this explains why </w:t>
      </w:r>
      <w:r w:rsidRPr="00E20F8E">
        <w:rPr>
          <w:b/>
          <w:u w:val="single"/>
        </w:rPr>
        <w:t xml:space="preserve">the form of F does not </w:t>
      </w:r>
      <w:proofErr w:type="gramStart"/>
      <w:r w:rsidRPr="00E20F8E">
        <w:rPr>
          <w:b/>
          <w:u w:val="single"/>
        </w:rPr>
        <w:t>change</w:t>
      </w:r>
      <w:r w:rsidRPr="00E20F8E">
        <w:rPr>
          <w:sz w:val="12"/>
        </w:rPr>
        <w:t>, and</w:t>
      </w:r>
      <w:proofErr w:type="gramEnd"/>
      <w:r w:rsidRPr="00E20F8E">
        <w:rPr>
          <w:sz w:val="12"/>
        </w:rPr>
        <w:t xml:space="preserve"> remains stable beyond a </w:t>
      </w:r>
      <w:proofErr w:type="spellStart"/>
      <w:r w:rsidRPr="00E20F8E">
        <w:rPr>
          <w:sz w:val="12"/>
        </w:rPr>
        <w:t>spatio</w:t>
      </w:r>
      <w:proofErr w:type="spellEnd"/>
      <w:r w:rsidRPr="00E20F8E">
        <w:rPr>
          <w:sz w:val="12"/>
        </w:rPr>
        <w:t xml:space="preserve">-temporal world while particulars are subject to continuous change. Second, </w:t>
      </w:r>
      <w:r w:rsidRPr="00E20F8E">
        <w:rPr>
          <w:b/>
          <w:u w:val="single"/>
        </w:rPr>
        <w:t>since F does not exist in space, it can be instantiated in many particulars at once or need not even be instantiated to exist</w:t>
      </w:r>
      <w:r w:rsidRPr="00E20F8E">
        <w:rPr>
          <w:sz w:val="12"/>
        </w:rPr>
        <w:t xml:space="preserve">. The forms are also pure. The roundness of an apple is one of its properties and roundness is only “roundness” in its pure and perfect form. Unlike forms, </w:t>
      </w:r>
      <w:r w:rsidRPr="00E20F8E">
        <w:rPr>
          <w:b/>
          <w:u w:val="single"/>
        </w:rPr>
        <w:t>material objects are impure, imperfect</w:t>
      </w:r>
      <w:r w:rsidRPr="00E20F8E">
        <w:rPr>
          <w:sz w:val="12"/>
        </w:rPr>
        <w:t xml:space="preserve">, and are complex combinations of several forms. </w:t>
      </w:r>
      <w:r w:rsidRPr="00E20F8E">
        <w:rPr>
          <w:b/>
          <w:highlight w:val="yellow"/>
          <w:u w:val="single"/>
        </w:rPr>
        <w:t>Being is the ontological relation that ties the form</w:t>
      </w:r>
      <w:r w:rsidRPr="00E20F8E">
        <w:rPr>
          <w:b/>
          <w:u w:val="single"/>
        </w:rPr>
        <w:t xml:space="preserve"> of F </w:t>
      </w:r>
      <w:r w:rsidRPr="00E20F8E">
        <w:rPr>
          <w:b/>
          <w:highlight w:val="yellow"/>
          <w:u w:val="single"/>
        </w:rPr>
        <w:t>to its essence</w:t>
      </w:r>
      <w:r w:rsidRPr="00E20F8E">
        <w:rPr>
          <w:b/>
          <w:u w:val="single"/>
        </w:rPr>
        <w:t xml:space="preserve">, and each form of F is of one essence </w:t>
      </w:r>
      <w:r w:rsidRPr="00E20F8E">
        <w:rPr>
          <w:sz w:val="12"/>
        </w:rPr>
        <w:t>(</w:t>
      </w:r>
      <w:proofErr w:type="spellStart"/>
      <w:r w:rsidRPr="00E20F8E">
        <w:rPr>
          <w:sz w:val="12"/>
        </w:rPr>
        <w:t>monoeides</w:t>
      </w:r>
      <w:proofErr w:type="spellEnd"/>
      <w:r w:rsidRPr="00E20F8E">
        <w:rPr>
          <w:sz w:val="12"/>
        </w:rPr>
        <w:t xml:space="preserve">). It follows from these principles that each form self-predicates; each form of F is itself F. The form of beauty is itself beautiful, and Helen would not be beautiful if the form of Beauty were not beautiful itself. </w:t>
      </w:r>
      <w:r w:rsidRPr="00E20F8E">
        <w:rPr>
          <w:b/>
          <w:u w:val="single"/>
        </w:rPr>
        <w:t xml:space="preserve">The </w:t>
      </w:r>
      <w:r w:rsidRPr="00E20F8E">
        <w:rPr>
          <w:b/>
          <w:highlight w:val="yellow"/>
          <w:u w:val="single"/>
        </w:rPr>
        <w:t>forms</w:t>
      </w:r>
      <w:r w:rsidRPr="00E20F8E">
        <w:rPr>
          <w:b/>
          <w:u w:val="single"/>
        </w:rPr>
        <w:t xml:space="preserve"> are real, sublime entities that </w:t>
      </w:r>
      <w:r w:rsidRPr="00E20F8E">
        <w:rPr>
          <w:b/>
          <w:highlight w:val="yellow"/>
          <w:u w:val="single"/>
        </w:rPr>
        <w:t>belong to an intelligible realm</w:t>
      </w:r>
      <w:r w:rsidRPr="00E20F8E">
        <w:rPr>
          <w:b/>
          <w:u w:val="single"/>
        </w:rPr>
        <w:t xml:space="preserve"> that can </w:t>
      </w:r>
      <w:r w:rsidRPr="00E20F8E">
        <w:rPr>
          <w:b/>
          <w:highlight w:val="yellow"/>
          <w:u w:val="single"/>
        </w:rPr>
        <w:t>only</w:t>
      </w:r>
      <w:r w:rsidRPr="00E20F8E">
        <w:rPr>
          <w:b/>
          <w:u w:val="single"/>
        </w:rPr>
        <w:t xml:space="preserve"> be </w:t>
      </w:r>
      <w:r w:rsidRPr="00E20F8E">
        <w:rPr>
          <w:b/>
          <w:highlight w:val="yellow"/>
          <w:u w:val="single"/>
        </w:rPr>
        <w:t>grasped by reason</w:t>
      </w:r>
      <w:r w:rsidRPr="00E20F8E">
        <w:rPr>
          <w:b/>
          <w:u w:val="single"/>
        </w:rPr>
        <w:t>. They are not subject to change; are stable and enduring, while particulars/material objects belong to this material world of change</w:t>
      </w:r>
      <w:r w:rsidRPr="00E20F8E">
        <w:rPr>
          <w:sz w:val="12"/>
        </w:rPr>
        <w:t xml:space="preserve">, becoming and perishing in a </w:t>
      </w:r>
      <w:proofErr w:type="spellStart"/>
      <w:r w:rsidRPr="00E20F8E">
        <w:rPr>
          <w:sz w:val="12"/>
        </w:rPr>
        <w:t>Heraclitean</w:t>
      </w:r>
      <w:proofErr w:type="spellEnd"/>
      <w:r w:rsidRPr="00E20F8E">
        <w:rPr>
          <w:sz w:val="1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rPr>
        <w:t>Sinem</w:t>
      </w:r>
      <w:proofErr w:type="spellEnd"/>
      <w:r w:rsidRPr="00E20F8E">
        <w:rPr>
          <w:sz w:val="12"/>
        </w:rPr>
        <w:t xml:space="preserve"> </w:t>
      </w:r>
      <w:proofErr w:type="spellStart"/>
      <w:r w:rsidRPr="00E20F8E">
        <w:rPr>
          <w:sz w:val="12"/>
        </w:rPr>
        <w:t>Hümeydan</w:t>
      </w:r>
      <w:proofErr w:type="spellEnd"/>
      <w:r w:rsidRPr="00E20F8E">
        <w:rPr>
          <w:sz w:val="1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rPr>
        <w:t>2 ”</w:t>
      </w:r>
      <w:proofErr w:type="gramEnd"/>
      <w:r w:rsidRPr="00E20F8E">
        <w:rPr>
          <w:sz w:val="1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w:t>
      </w:r>
      <w:proofErr w:type="gramStart"/>
      <w:r w:rsidRPr="00E20F8E">
        <w:rPr>
          <w:sz w:val="12"/>
        </w:rPr>
        <w:t>endings, and</w:t>
      </w:r>
      <w:proofErr w:type="gramEnd"/>
      <w:r w:rsidRPr="00E20F8E">
        <w:rPr>
          <w:sz w:val="12"/>
        </w:rPr>
        <w:t xml:space="preserve"> is exposed to change in every possible respect. In the Republic, Plato poses questions about moral concepts </w:t>
      </w:r>
      <w:proofErr w:type="gramStart"/>
      <w:r w:rsidRPr="00E20F8E">
        <w:rPr>
          <w:sz w:val="12"/>
        </w:rPr>
        <w:t>in an effort to</w:t>
      </w:r>
      <w:proofErr w:type="gramEnd"/>
      <w:r w:rsidRPr="00E20F8E">
        <w:rPr>
          <w:sz w:val="12"/>
        </w:rPr>
        <w:t xml:space="preserve">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u w:val="single"/>
        </w:rPr>
        <w:t xml:space="preserve">The visible realm is </w:t>
      </w:r>
      <w:r w:rsidRPr="00E20F8E">
        <w:rPr>
          <w:b/>
          <w:highlight w:val="yellow"/>
          <w:u w:val="single"/>
        </w:rPr>
        <w:t>the physical world</w:t>
      </w:r>
      <w:r w:rsidRPr="00E20F8E">
        <w:rPr>
          <w:b/>
          <w:u w:val="single"/>
        </w:rPr>
        <w:t xml:space="preserve"> that </w:t>
      </w:r>
      <w:r w:rsidRPr="00E20F8E">
        <w:rPr>
          <w:b/>
          <w:highlight w:val="yellow"/>
          <w:u w:val="single"/>
        </w:rPr>
        <w:t xml:space="preserve">is perceived through </w:t>
      </w:r>
      <w:proofErr w:type="gramStart"/>
      <w:r w:rsidRPr="00E20F8E">
        <w:rPr>
          <w:b/>
          <w:highlight w:val="yellow"/>
          <w:u w:val="single"/>
        </w:rPr>
        <w:t>senses</w:t>
      </w:r>
      <w:r w:rsidRPr="00E20F8E">
        <w:rPr>
          <w:b/>
          <w:u w:val="single"/>
        </w:rPr>
        <w:t>, and</w:t>
      </w:r>
      <w:proofErr w:type="gramEnd"/>
      <w:r w:rsidRPr="00E20F8E">
        <w:rPr>
          <w:b/>
          <w:u w:val="single"/>
        </w:rPr>
        <w:t xml:space="preserve"> is </w:t>
      </w:r>
      <w:r w:rsidRPr="00E20F8E">
        <w:rPr>
          <w:b/>
          <w:highlight w:val="yellow"/>
          <w:u w:val="single"/>
        </w:rPr>
        <w:t>susceptible to “becoming” and “ceasing to be”</w:t>
      </w:r>
      <w:r w:rsidRPr="00E20F8E">
        <w:rPr>
          <w:b/>
          <w:u w:val="single"/>
        </w:rPr>
        <w:t>. On the contrary, the intelligible realm represents the ultimate reality, is enduring, and is accessible only via reasoning</w:t>
      </w:r>
      <w:r w:rsidRPr="00E20F8E">
        <w:rPr>
          <w:sz w:val="1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u w:val="single"/>
        </w:rPr>
        <w:t xml:space="preserve">what we perceive through </w:t>
      </w:r>
      <w:r w:rsidRPr="00E20F8E">
        <w:rPr>
          <w:b/>
          <w:highlight w:val="yellow"/>
          <w:u w:val="single"/>
        </w:rPr>
        <w:t>our deceptive senses</w:t>
      </w:r>
      <w:r w:rsidRPr="00E20F8E">
        <w:rPr>
          <w:b/>
          <w:u w:val="single"/>
        </w:rPr>
        <w:t xml:space="preserve"> in this world of </w:t>
      </w:r>
      <w:proofErr w:type="spellStart"/>
      <w:r w:rsidRPr="00E20F8E">
        <w:rPr>
          <w:b/>
          <w:u w:val="single"/>
        </w:rPr>
        <w:t>appearence</w:t>
      </w:r>
      <w:proofErr w:type="spellEnd"/>
      <w:r w:rsidRPr="00E20F8E">
        <w:rPr>
          <w:b/>
          <w:u w:val="single"/>
        </w:rPr>
        <w:t xml:space="preserve"> </w:t>
      </w:r>
      <w:r w:rsidRPr="00E20F8E">
        <w:rPr>
          <w:b/>
          <w:highlight w:val="yellow"/>
          <w:u w:val="single"/>
        </w:rPr>
        <w:t>are</w:t>
      </w:r>
      <w:r w:rsidRPr="00E20F8E">
        <w:rPr>
          <w:b/>
          <w:u w:val="single"/>
        </w:rPr>
        <w:t xml:space="preserve"> merely </w:t>
      </w:r>
      <w:r w:rsidRPr="00E20F8E">
        <w:rPr>
          <w:b/>
          <w:highlight w:val="yellow"/>
          <w:u w:val="single"/>
        </w:rPr>
        <w:t>shadows of reality, one cannot have any genuine knowledge of these things</w:t>
      </w:r>
      <w:r w:rsidRPr="00E20F8E">
        <w:rPr>
          <w:b/>
          <w:u w:val="single"/>
        </w:rPr>
        <w:t>, but can only have beliefs/opinions</w:t>
      </w:r>
      <w:r w:rsidRPr="00E20F8E">
        <w:rPr>
          <w:sz w:val="12"/>
        </w:rPr>
        <w:t xml:space="preserve"> about these objects. In other words, Plato thinks that one can only have “knowledge of forms and of Forms one can only have knowledge</w:t>
      </w:r>
      <w:proofErr w:type="gramStart"/>
      <w:r w:rsidRPr="00E20F8E">
        <w:rPr>
          <w:sz w:val="12"/>
        </w:rPr>
        <w:t>3 .</w:t>
      </w:r>
      <w:proofErr w:type="gramEnd"/>
      <w:r w:rsidRPr="00E20F8E">
        <w:rPr>
          <w:sz w:val="12"/>
        </w:rPr>
        <w:t xml:space="preserve">” Because forms are the only objects of knowledge, individuals should </w:t>
      </w:r>
      <w:proofErr w:type="spellStart"/>
      <w:r w:rsidRPr="00E20F8E">
        <w:rPr>
          <w:sz w:val="12"/>
        </w:rPr>
        <w:t>endeavour</w:t>
      </w:r>
      <w:proofErr w:type="spellEnd"/>
      <w:r w:rsidRPr="00E20F8E">
        <w:rPr>
          <w:sz w:val="12"/>
        </w:rPr>
        <w:t xml:space="preserve"> to reach the intelligible realm and endow themselves with the knowledge of forms </w:t>
      </w:r>
      <w:proofErr w:type="gramStart"/>
      <w:r w:rsidRPr="00E20F8E">
        <w:rPr>
          <w:sz w:val="12"/>
        </w:rPr>
        <w:t>in order to</w:t>
      </w:r>
      <w:proofErr w:type="gramEnd"/>
      <w:r w:rsidRPr="00E20F8E">
        <w:rPr>
          <w:sz w:val="12"/>
        </w:rPr>
        <w:t xml:space="preserve">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highlight w:val="yellow"/>
          <w:u w:val="single"/>
        </w:rPr>
        <w:t>what we perceive</w:t>
      </w:r>
      <w:r w:rsidRPr="00E20F8E">
        <w:rPr>
          <w:b/>
          <w:u w:val="single"/>
        </w:rPr>
        <w:t xml:space="preserve"> via our senses </w:t>
      </w:r>
      <w:r w:rsidRPr="00E20F8E">
        <w:rPr>
          <w:b/>
          <w:highlight w:val="yellow"/>
          <w:u w:val="single"/>
        </w:rPr>
        <w:t>is</w:t>
      </w:r>
      <w:r w:rsidRPr="00E20F8E">
        <w:rPr>
          <w:b/>
          <w:u w:val="single"/>
        </w:rPr>
        <w:t xml:space="preserve"> usually </w:t>
      </w:r>
      <w:r w:rsidRPr="00E20F8E">
        <w:rPr>
          <w:b/>
          <w:highlight w:val="yellow"/>
          <w:u w:val="single"/>
        </w:rPr>
        <w:t>deceitful, the objects</w:t>
      </w:r>
      <w:r w:rsidRPr="00E20F8E">
        <w:rPr>
          <w:b/>
          <w:u w:val="single"/>
        </w:rPr>
        <w:t xml:space="preserve"> of experience </w:t>
      </w:r>
      <w:r w:rsidRPr="00E20F8E">
        <w:rPr>
          <w:b/>
          <w:highlight w:val="yellow"/>
          <w:u w:val="single"/>
        </w:rPr>
        <w:t>cannot be real entities</w:t>
      </w:r>
      <w:r w:rsidRPr="00E20F8E">
        <w:rPr>
          <w:sz w:val="12"/>
        </w:rPr>
        <w:t xml:space="preserve">. Besides, </w:t>
      </w:r>
      <w:r w:rsidRPr="00E20F8E">
        <w:rPr>
          <w:b/>
          <w:highlight w:val="yellow"/>
          <w:u w:val="single"/>
        </w:rPr>
        <w:t>it is possible to form different subjective views</w:t>
      </w:r>
      <w:r w:rsidRPr="00E20F8E">
        <w:rPr>
          <w:b/>
          <w:u w:val="single"/>
        </w:rPr>
        <w:t xml:space="preserve"> of the same </w:t>
      </w:r>
      <w:proofErr w:type="gramStart"/>
      <w:r w:rsidRPr="00E20F8E">
        <w:rPr>
          <w:b/>
          <w:u w:val="single"/>
        </w:rPr>
        <w:t>objects;</w:t>
      </w:r>
      <w:proofErr w:type="gramEnd"/>
      <w:r w:rsidRPr="00E20F8E">
        <w:rPr>
          <w:b/>
          <w:u w:val="single"/>
        </w:rPr>
        <w:t xml:space="preserve"> </w:t>
      </w:r>
      <w:r w:rsidRPr="00E20F8E">
        <w:rPr>
          <w:b/>
          <w:highlight w:val="yellow"/>
          <w:u w:val="single"/>
        </w:rPr>
        <w:t>depending on</w:t>
      </w:r>
      <w:r w:rsidRPr="00E20F8E">
        <w:rPr>
          <w:b/>
          <w:u w:val="single"/>
        </w:rPr>
        <w:t xml:space="preserve"> the </w:t>
      </w:r>
      <w:r w:rsidRPr="00E20F8E">
        <w:rPr>
          <w:b/>
          <w:highlight w:val="yellow"/>
          <w:u w:val="single"/>
        </w:rPr>
        <w:t>perceptual or mental states of the observer</w:t>
      </w:r>
      <w:r w:rsidRPr="00E20F8E">
        <w:rPr>
          <w:sz w:val="1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6F93B94B" w14:textId="77777777" w:rsidR="00A9618C" w:rsidRPr="00E20F8E" w:rsidRDefault="00A9618C" w:rsidP="00A9618C">
      <w:pPr>
        <w:rPr>
          <w:b/>
          <w:szCs w:val="26"/>
        </w:rPr>
      </w:pPr>
    </w:p>
    <w:p w14:paraId="11385AED" w14:textId="77777777" w:rsidR="00A9618C" w:rsidRPr="00E20F8E" w:rsidRDefault="00A9618C" w:rsidP="00A9618C">
      <w:pPr>
        <w:pStyle w:val="Heading4"/>
        <w:rPr>
          <w:rFonts w:cs="Calibri"/>
        </w:rPr>
      </w:pPr>
      <w:r w:rsidRPr="00E20F8E">
        <w:rPr>
          <w:rFonts w:cs="Calibri"/>
        </w:rPr>
        <w:t xml:space="preserve">Prefer – </w:t>
      </w:r>
    </w:p>
    <w:p w14:paraId="3A04EE85" w14:textId="77777777" w:rsidR="00A9618C" w:rsidRPr="00E20F8E" w:rsidRDefault="00A9618C" w:rsidP="00A9618C">
      <w:pPr>
        <w:rPr>
          <w:b/>
          <w:szCs w:val="26"/>
        </w:rPr>
      </w:pPr>
    </w:p>
    <w:p w14:paraId="6A3F3589" w14:textId="0979241C" w:rsidR="00A9618C" w:rsidRPr="00E20F8E" w:rsidRDefault="00A9618C" w:rsidP="00A9618C">
      <w:pPr>
        <w:pStyle w:val="Heading4"/>
        <w:rPr>
          <w:rFonts w:cs="Calibri"/>
        </w:rPr>
      </w:pPr>
      <w:r w:rsidRPr="00E20F8E">
        <w:rPr>
          <w:rFonts w:cs="Calibri"/>
        </w:rPr>
        <w:t xml:space="preserve">1. Infinite regress – </w:t>
      </w:r>
    </w:p>
    <w:p w14:paraId="15F5C514" w14:textId="77777777" w:rsidR="00A9618C" w:rsidRPr="00E20F8E" w:rsidRDefault="00A9618C" w:rsidP="00A9618C">
      <w:pPr>
        <w:rPr>
          <w:b/>
          <w:szCs w:val="26"/>
        </w:rPr>
      </w:pPr>
    </w:p>
    <w:p w14:paraId="109650DB" w14:textId="415D46EB" w:rsidR="00A9618C" w:rsidRPr="00E20F8E" w:rsidRDefault="00A9618C" w:rsidP="00A9618C">
      <w:pPr>
        <w:pStyle w:val="Heading4"/>
        <w:rPr>
          <w:rFonts w:cs="Calibri"/>
        </w:rPr>
      </w:pPr>
      <w:r w:rsidRPr="00E20F8E">
        <w:rPr>
          <w:rFonts w:cs="Calibri"/>
        </w:rPr>
        <w:t xml:space="preserve">2. Performativity – </w:t>
      </w:r>
    </w:p>
    <w:p w14:paraId="71A8AB0F" w14:textId="77777777" w:rsidR="00A9618C" w:rsidRPr="00E20F8E" w:rsidRDefault="00A9618C" w:rsidP="00A9618C">
      <w:pPr>
        <w:rPr>
          <w:b/>
          <w:szCs w:val="26"/>
        </w:rPr>
      </w:pPr>
    </w:p>
    <w:p w14:paraId="6EB765EB" w14:textId="3A887DBC" w:rsidR="00A9618C" w:rsidRPr="00E20F8E" w:rsidRDefault="00A9618C" w:rsidP="00A9618C">
      <w:pPr>
        <w:pStyle w:val="Heading4"/>
        <w:rPr>
          <w:rFonts w:cs="Calibri"/>
        </w:rPr>
      </w:pPr>
      <w:r w:rsidRPr="00E20F8E">
        <w:rPr>
          <w:rFonts w:cs="Calibri"/>
        </w:rPr>
        <w:t xml:space="preserve">3. </w:t>
      </w:r>
      <w:proofErr w:type="spellStart"/>
      <w:r w:rsidRPr="00E20F8E">
        <w:rPr>
          <w:rFonts w:cs="Calibri"/>
        </w:rPr>
        <w:t>Constitutivism</w:t>
      </w:r>
      <w:proofErr w:type="spellEnd"/>
      <w:r w:rsidRPr="00E20F8E">
        <w:rPr>
          <w:rFonts w:cs="Calibri"/>
        </w:rPr>
        <w:t xml:space="preserve"> –  </w:t>
      </w:r>
    </w:p>
    <w:p w14:paraId="0CCDD1CC" w14:textId="77777777" w:rsidR="00A9618C" w:rsidRPr="00E20F8E" w:rsidRDefault="00A9618C" w:rsidP="00A9618C">
      <w:pPr>
        <w:shd w:val="clear" w:color="auto" w:fill="FFFFFF"/>
        <w:spacing w:after="150"/>
        <w:rPr>
          <w:color w:val="333333"/>
          <w:sz w:val="21"/>
          <w:szCs w:val="21"/>
        </w:rPr>
      </w:pPr>
    </w:p>
    <w:p w14:paraId="4EF64877" w14:textId="77777777" w:rsidR="00A9618C" w:rsidRPr="00A1276F" w:rsidRDefault="00A9618C" w:rsidP="00A9618C">
      <w:pPr>
        <w:pStyle w:val="Heading4"/>
        <w:rPr>
          <w:rFonts w:cs="Calibri"/>
        </w:rPr>
      </w:pPr>
      <w:r w:rsidRPr="00E20F8E">
        <w:rPr>
          <w:rFonts w:cs="Calibri"/>
        </w:rPr>
        <w:t>Prefer the aretaic:</w:t>
      </w:r>
    </w:p>
    <w:p w14:paraId="5946D066" w14:textId="77777777" w:rsidR="00A9618C" w:rsidRPr="00D95A25" w:rsidRDefault="00A9618C" w:rsidP="00A9618C">
      <w:pPr>
        <w:pStyle w:val="Heading4"/>
      </w:pPr>
      <w:r>
        <w:t>1] consequentialist theories fail- Consequentialism fails— a)</w:t>
      </w:r>
      <w:r w:rsidRPr="00CC4ABC">
        <w:t xml:space="preserve"> </w:t>
      </w:r>
      <w:r>
        <w:t>Induction fails since it relies on the assumption that nature will hold uniform and we could only reach that conclusion through inductive reasoning based on observations of past events</w:t>
      </w:r>
      <w:r w:rsidRPr="00CC4ABC">
        <w:t xml:space="preserve"> </w:t>
      </w:r>
      <w:r>
        <w:t>b)</w:t>
      </w:r>
      <w:r w:rsidRPr="00CC4ABC">
        <w:t xml:space="preserve"> </w:t>
      </w:r>
      <w:r>
        <w:t>Consequences trigger more consequences and there is no non-arbitrary stopping point to evaluating them which makes evaluating them impossible</w:t>
      </w:r>
      <w:r w:rsidRPr="00CC4ABC">
        <w:t xml:space="preserve"> </w:t>
      </w:r>
      <w:r>
        <w:t>c)</w:t>
      </w:r>
      <w:r w:rsidRPr="00CC4ABC">
        <w:t xml:space="preserve"> </w:t>
      </w:r>
      <w:r>
        <w:t>Humans can predict an infinite amount of possible extinction scenarios which makes preventing extinction impossible if we have to mitigate them all d)</w:t>
      </w:r>
      <w:r w:rsidRPr="00CC4ABC">
        <w:t xml:space="preserve"> </w:t>
      </w:r>
      <w:r>
        <w:t>A lack of pleasure is not intrinsically bad but lack of pain is inherently good which means extinction would be ethically obligatory e) There is nothing ever intrinsically wrong under consequentialism since the ethic would make morally abhorrent actions obligatory under the guise of preventing extinction— that justifies atrocities and makes the debate round inaccessible which is a reason to drop them</w:t>
      </w:r>
    </w:p>
    <w:p w14:paraId="0CB5CAB9" w14:textId="77777777" w:rsidR="00A9618C" w:rsidRPr="00E20F8E" w:rsidRDefault="00A9618C" w:rsidP="00A9618C"/>
    <w:p w14:paraId="352EE3BD" w14:textId="77777777" w:rsidR="00A9618C" w:rsidRPr="00E20F8E" w:rsidRDefault="00A9618C" w:rsidP="00A9618C">
      <w:pPr>
        <w:pStyle w:val="Heading4"/>
        <w:rPr>
          <w:rFonts w:cs="Calibri"/>
        </w:rPr>
      </w:pPr>
      <w:r w:rsidRPr="00E20F8E">
        <w:rPr>
          <w:rFonts w:cs="Calibri"/>
        </w:rPr>
        <w:t xml:space="preserve">Next, </w:t>
      </w:r>
      <w:r w:rsidRPr="00E20F8E">
        <w:rPr>
          <w:rFonts w:cs="Calibri"/>
          <w:b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62E39CE7" w14:textId="77777777" w:rsidR="00A9618C" w:rsidRPr="00E20F8E" w:rsidRDefault="00A9618C" w:rsidP="00A9618C">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claims that </w:t>
      </w:r>
      <w:r w:rsidRPr="00E20F8E">
        <w:rPr>
          <w:b/>
          <w:bCs/>
          <w:highlight w:val="green"/>
          <w:u w:val="single"/>
        </w:rPr>
        <w:t>what</w:t>
      </w:r>
      <w:r w:rsidRPr="00E20F8E">
        <w:rPr>
          <w:b/>
          <w:bCs/>
          <w:u w:val="single"/>
        </w:rPr>
        <w:t xml:space="preserve"> is to </w:t>
      </w:r>
      <w:r w:rsidRPr="00E20F8E">
        <w:rPr>
          <w:b/>
          <w:bCs/>
          <w:highlight w:val="green"/>
          <w:u w:val="single"/>
        </w:rPr>
        <w:t>count as a good action</w:t>
      </w:r>
      <w:r w:rsidRPr="00E20F8E">
        <w:rPr>
          <w:sz w:val="12"/>
        </w:rPr>
        <w:t xml:space="preserve"> or what is a good outcome </w:t>
      </w:r>
      <w:r w:rsidRPr="00E20F8E">
        <w:rPr>
          <w:b/>
          <w:bCs/>
          <w:highlight w:val="green"/>
          <w:u w:val="single"/>
        </w:rPr>
        <w:t>is</w:t>
      </w:r>
      <w:r w:rsidRPr="00E20F8E">
        <w:rPr>
          <w:sz w:val="12"/>
        </w:rPr>
        <w:t xml:space="preserve"> conceptually </w:t>
      </w:r>
      <w:r w:rsidRPr="00E20F8E">
        <w:rPr>
          <w:b/>
          <w:bCs/>
          <w:highlight w:val="green"/>
          <w:u w:val="single"/>
        </w:rPr>
        <w:t>dependent on</w:t>
      </w:r>
      <w:r w:rsidRPr="00E20F8E">
        <w:rPr>
          <w:b/>
          <w:bCs/>
          <w:u w:val="single"/>
        </w:rPr>
        <w:t xml:space="preserve"> claims about</w:t>
      </w:r>
      <w:r w:rsidRPr="00E20F8E">
        <w:rPr>
          <w:sz w:val="12"/>
        </w:rPr>
        <w:t xml:space="preserve"> </w:t>
      </w:r>
      <w:r w:rsidRPr="00E20F8E">
        <w:rPr>
          <w:b/>
          <w:bCs/>
          <w:highlight w:val="green"/>
          <w:u w:val="single"/>
        </w:rPr>
        <w:t>the virtue of an agent</w:t>
      </w:r>
      <w:r w:rsidRPr="00E20F8E">
        <w:rPr>
          <w:sz w:val="12"/>
        </w:rPr>
        <w:t xml:space="preserve">. How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5107428D" w14:textId="77777777" w:rsidR="00A9618C" w:rsidRPr="00E20F8E" w:rsidRDefault="00A9618C" w:rsidP="00A9618C">
      <w:pPr>
        <w:pStyle w:val="Heading4"/>
        <w:rPr>
          <w:rFonts w:cs="Calibri"/>
        </w:rPr>
      </w:pPr>
      <w:r w:rsidRPr="00E20F8E">
        <w:rPr>
          <w:rFonts w:cs="Calibri"/>
        </w:rPr>
        <w:t>Thus, the standard is promoting virtue.</w:t>
      </w:r>
    </w:p>
    <w:p w14:paraId="1E9105FF" w14:textId="04436B97" w:rsidR="00A9618C" w:rsidRDefault="00A9618C" w:rsidP="00A9618C">
      <w:pPr>
        <w:pStyle w:val="Heading4"/>
      </w:pPr>
      <w:r>
        <w:t xml:space="preserve">1. Motivation – </w:t>
      </w:r>
    </w:p>
    <w:p w14:paraId="3C9FDB42" w14:textId="32766D14" w:rsidR="00A9618C" w:rsidRDefault="00A9618C" w:rsidP="00A9618C">
      <w:pPr>
        <w:pStyle w:val="Heading4"/>
      </w:pPr>
      <w:r>
        <w:t xml:space="preserve">2. Performativity – </w:t>
      </w:r>
    </w:p>
    <w:p w14:paraId="5BAB41BA" w14:textId="77777777" w:rsidR="00A9618C" w:rsidRPr="00CC43E2" w:rsidRDefault="00A9618C" w:rsidP="00A9618C">
      <w:pPr>
        <w:rPr>
          <w:rStyle w:val="Style13ptBold"/>
        </w:rPr>
      </w:pPr>
      <w:r w:rsidRPr="00A1276F">
        <w:rPr>
          <w:rStyle w:val="Heading4Char"/>
        </w:rPr>
        <w:t>3. Eudaimonia— Living a life consistent with virtues is key to human flourishing and fulfillment, the ultimate happiness. It’s the basis of an entire field of psychology. Anything else denies self-value which kills value to life</w:t>
      </w:r>
    </w:p>
    <w:p w14:paraId="540552BD" w14:textId="77777777" w:rsidR="00A9618C" w:rsidRDefault="00A9618C" w:rsidP="00A9618C">
      <w:pPr>
        <w:rPr>
          <w:rFonts w:eastAsia="Calibri"/>
          <w:bCs/>
          <w:sz w:val="12"/>
          <w:szCs w:val="26"/>
        </w:rPr>
      </w:pPr>
      <w:r w:rsidRPr="00F03216">
        <w:rPr>
          <w:rStyle w:val="Style13ptBold"/>
        </w:rPr>
        <w:t>Moore 20</w:t>
      </w:r>
      <w:r>
        <w:rPr>
          <w:rFonts w:eastAsia="Calibri"/>
          <w:bCs/>
          <w:sz w:val="12"/>
          <w:szCs w:val="26"/>
        </w:rPr>
        <w:t>, Dr. Catherine Moore PhD is a psychologist with a passion for positive psychology research, “</w:t>
      </w:r>
      <w:r w:rsidRPr="00D0040D">
        <w:rPr>
          <w:rFonts w:eastAsia="Calibri"/>
          <w:bCs/>
          <w:sz w:val="12"/>
          <w:szCs w:val="26"/>
        </w:rPr>
        <w:t xml:space="preserve">What is Eudaimonia? Aristotle and </w:t>
      </w:r>
      <w:proofErr w:type="spellStart"/>
      <w:r w:rsidRPr="00D0040D">
        <w:rPr>
          <w:rFonts w:eastAsia="Calibri"/>
          <w:bCs/>
          <w:sz w:val="12"/>
          <w:szCs w:val="26"/>
        </w:rPr>
        <w:t>Eudaimonic</w:t>
      </w:r>
      <w:proofErr w:type="spellEnd"/>
      <w:r w:rsidRPr="00D0040D">
        <w:rPr>
          <w:rFonts w:eastAsia="Calibri"/>
          <w:bCs/>
          <w:sz w:val="12"/>
          <w:szCs w:val="26"/>
        </w:rPr>
        <w:t xml:space="preserve"> Well-Being</w:t>
      </w:r>
      <w:r>
        <w:rPr>
          <w:rFonts w:eastAsia="Calibri"/>
          <w:bCs/>
          <w:sz w:val="12"/>
          <w:szCs w:val="26"/>
        </w:rPr>
        <w:t>”, 1/09/20, Positive Psychologist [</w:t>
      </w:r>
      <w:r w:rsidRPr="00CC43E2">
        <w:rPr>
          <w:rFonts w:eastAsia="Calibri"/>
          <w:bCs/>
          <w:sz w:val="12"/>
          <w:szCs w:val="26"/>
        </w:rPr>
        <w:t>https://positivepsychology.com/eudaimonia/</w:t>
      </w:r>
      <w:r>
        <w:rPr>
          <w:rFonts w:eastAsia="Calibri"/>
          <w:bCs/>
          <w:sz w:val="12"/>
          <w:szCs w:val="26"/>
        </w:rPr>
        <w:t>] Accessed 1/11/21 AHS///NPR</w:t>
      </w:r>
    </w:p>
    <w:p w14:paraId="6B43F227" w14:textId="77777777" w:rsidR="00A9618C" w:rsidRDefault="00A9618C" w:rsidP="00A9618C">
      <w:pPr>
        <w:pStyle w:val="Heading4"/>
        <w:rPr>
          <w:rFonts w:eastAsia="Calibri" w:cs="Calibri"/>
          <w:b w:val="0"/>
          <w:sz w:val="12"/>
        </w:rPr>
      </w:pPr>
      <w:proofErr w:type="spellStart"/>
      <w:r w:rsidRPr="00CC43E2">
        <w:rPr>
          <w:rFonts w:eastAsia="Calibri" w:cs="Calibri"/>
          <w:b w:val="0"/>
          <w:sz w:val="12"/>
        </w:rPr>
        <w:t>Aristotlean</w:t>
      </w:r>
      <w:proofErr w:type="spellEnd"/>
      <w:r w:rsidRPr="00CC43E2">
        <w:rPr>
          <w:rFonts w:eastAsia="Calibri" w:cs="Calibri"/>
          <w:b w:val="0"/>
          <w:sz w:val="12"/>
        </w:rPr>
        <w:t xml:space="preserve"> Eudaimonia</w:t>
      </w:r>
      <w:r>
        <w:rPr>
          <w:rFonts w:eastAsia="Calibri" w:cs="Calibri"/>
          <w:b w:val="0"/>
          <w:sz w:val="12"/>
        </w:rPr>
        <w:t xml:space="preserve"> </w:t>
      </w:r>
      <w:r w:rsidRPr="00CC43E2">
        <w:rPr>
          <w:rFonts w:eastAsia="Calibri" w:cs="Calibri"/>
          <w:b w:val="0"/>
          <w:sz w:val="12"/>
        </w:rPr>
        <w:t xml:space="preserve">Numerous interpretations have been offered for Aristotle’s eudaimonia, with </w:t>
      </w:r>
      <w:proofErr w:type="gramStart"/>
      <w:r w:rsidRPr="00CC43E2">
        <w:rPr>
          <w:rFonts w:eastAsia="Calibri" w:cs="Calibri"/>
          <w:b w:val="0"/>
          <w:sz w:val="12"/>
        </w:rPr>
        <w:t>a general consensus</w:t>
      </w:r>
      <w:proofErr w:type="gramEnd"/>
      <w:r w:rsidRPr="00CC43E2">
        <w:rPr>
          <w:rFonts w:eastAsia="Calibri" w:cs="Calibri"/>
          <w:b w:val="0"/>
          <w:sz w:val="12"/>
        </w:rPr>
        <w:t xml:space="preserve"> on the idea that eudaimonia reflects “pursuit of virtue, excellence, and the best within us” (</w:t>
      </w:r>
      <w:proofErr w:type="spellStart"/>
      <w:r w:rsidRPr="00CC43E2">
        <w:rPr>
          <w:rFonts w:eastAsia="Calibri" w:cs="Calibri"/>
          <w:b w:val="0"/>
          <w:sz w:val="12"/>
        </w:rPr>
        <w:t>Huta</w:t>
      </w:r>
      <w:proofErr w:type="spellEnd"/>
      <w:r w:rsidRPr="00CC43E2">
        <w:rPr>
          <w:rFonts w:eastAsia="Calibri" w:cs="Calibri"/>
          <w:b w:val="0"/>
          <w:sz w:val="12"/>
        </w:rPr>
        <w:t xml:space="preserve"> &amp; Waterman, 2014: 1426). That is, he believed </w:t>
      </w:r>
      <w:r w:rsidRPr="00CC43E2">
        <w:rPr>
          <w:rStyle w:val="StyleUnderline"/>
          <w:highlight w:val="yellow"/>
        </w:rPr>
        <w:t>eudaimonia</w:t>
      </w:r>
      <w:r w:rsidRPr="00CC43E2">
        <w:rPr>
          <w:rFonts w:eastAsia="Calibri" w:cs="Calibri"/>
          <w:b w:val="0"/>
          <w:sz w:val="12"/>
          <w:highlight w:val="yellow"/>
        </w:rPr>
        <w:t xml:space="preserve"> </w:t>
      </w:r>
      <w:r w:rsidRPr="00CC43E2">
        <w:rPr>
          <w:rFonts w:eastAsia="Calibri" w:cs="Calibri"/>
          <w:b w:val="0"/>
          <w:sz w:val="12"/>
        </w:rPr>
        <w:t xml:space="preserve">was </w:t>
      </w:r>
      <w:r w:rsidRPr="00CC43E2">
        <w:rPr>
          <w:rStyle w:val="StyleUnderline"/>
          <w:highlight w:val="yellow"/>
        </w:rPr>
        <w:t>rational activity aimed at pursuing ‘what is worthwhile</w:t>
      </w:r>
      <w:r w:rsidRPr="00CC43E2">
        <w:rPr>
          <w:rStyle w:val="StyleUnderline"/>
        </w:rPr>
        <w:t xml:space="preserve"> in life’</w:t>
      </w:r>
      <w:r w:rsidRPr="00CC43E2">
        <w:rPr>
          <w:rFonts w:eastAsia="Calibri" w:cs="Calibri"/>
          <w:b w:val="0"/>
          <w:sz w:val="12"/>
        </w:rPr>
        <w:t>.</w:t>
      </w:r>
      <w:r>
        <w:rPr>
          <w:rFonts w:eastAsia="Calibri" w:cs="Calibri"/>
          <w:b w:val="0"/>
          <w:sz w:val="12"/>
        </w:rPr>
        <w:t xml:space="preserve"> </w:t>
      </w:r>
      <w:r w:rsidRPr="00CC43E2">
        <w:rPr>
          <w:rFonts w:eastAsia="Calibri" w:cs="Calibri"/>
          <w:b w:val="0"/>
          <w:sz w:val="12"/>
        </w:rPr>
        <w:t>Where Aristotle diverged from Plato and some other thinkers is in his belief about what is ‘enough’ (roughly) for eudaimonia. For the latter, virtue was enough for the ultimate good that is eudaimonia. For Aristotle, virtue was required, but not sufficient (Annas, 1993). In layperson’s terms, we can’t just act with virtuous, but we have also to intend to be virtuous, too.</w:t>
      </w:r>
      <w:r>
        <w:rPr>
          <w:rFonts w:eastAsia="Calibri" w:cs="Calibri"/>
          <w:b w:val="0"/>
          <w:sz w:val="12"/>
        </w:rPr>
        <w:t xml:space="preserve"> </w:t>
      </w:r>
      <w:r w:rsidRPr="00CC43E2">
        <w:rPr>
          <w:rFonts w:eastAsia="Calibri" w:cs="Calibri"/>
          <w:b w:val="0"/>
          <w:sz w:val="12"/>
        </w:rPr>
        <w:t xml:space="preserve">I will return to this a little later when looking at Aristotle’s ethics. But for now, he believes that </w:t>
      </w:r>
      <w:r w:rsidRPr="00CC43E2">
        <w:rPr>
          <w:rStyle w:val="StyleUnderline"/>
          <w:highlight w:val="yellow"/>
        </w:rPr>
        <w:t>happiness</w:t>
      </w:r>
      <w:r w:rsidRPr="00CC43E2">
        <w:rPr>
          <w:rFonts w:eastAsia="Calibri" w:cs="Calibri"/>
          <w:b w:val="0"/>
          <w:sz w:val="12"/>
          <w:highlight w:val="yellow"/>
        </w:rPr>
        <w:t xml:space="preserve"> </w:t>
      </w:r>
      <w:r w:rsidRPr="00CC43E2">
        <w:rPr>
          <w:rStyle w:val="StyleUnderline"/>
        </w:rPr>
        <w:t>and well-being</w:t>
      </w:r>
      <w:r w:rsidRPr="00CC43E2">
        <w:rPr>
          <w:rFonts w:eastAsia="Calibri" w:cs="Calibri"/>
          <w:b w:val="0"/>
          <w:sz w:val="12"/>
        </w:rPr>
        <w:t xml:space="preserve"> </w:t>
      </w:r>
      <w:r w:rsidRPr="00CC43E2">
        <w:rPr>
          <w:rStyle w:val="StyleUnderline"/>
          <w:highlight w:val="yellow"/>
        </w:rPr>
        <w:t>come from how we live our lives</w:t>
      </w:r>
      <w:r w:rsidRPr="00CC43E2">
        <w:rPr>
          <w:rFonts w:eastAsia="Calibri" w:cs="Calibri"/>
          <w:b w:val="0"/>
          <w:sz w:val="12"/>
        </w:rPr>
        <w:t xml:space="preserve">. And that’s </w:t>
      </w:r>
      <w:r w:rsidRPr="00CC43E2">
        <w:rPr>
          <w:rStyle w:val="StyleUnderline"/>
        </w:rPr>
        <w:t>not in pursuit of material wealth</w:t>
      </w:r>
      <w:r w:rsidRPr="00CC43E2">
        <w:rPr>
          <w:rFonts w:eastAsia="Calibri" w:cs="Calibri"/>
          <w:b w:val="0"/>
          <w:sz w:val="12"/>
        </w:rPr>
        <w:t xml:space="preserve">, power, or honor. Rather, </w:t>
      </w:r>
      <w:proofErr w:type="spellStart"/>
      <w:r w:rsidRPr="00CC43E2">
        <w:rPr>
          <w:rFonts w:eastAsia="Calibri" w:cs="Calibri"/>
          <w:b w:val="0"/>
          <w:sz w:val="12"/>
        </w:rPr>
        <w:t>eudaimonic</w:t>
      </w:r>
      <w:proofErr w:type="spellEnd"/>
      <w:r w:rsidRPr="00CC43E2">
        <w:rPr>
          <w:rFonts w:eastAsia="Calibri" w:cs="Calibri"/>
          <w:b w:val="0"/>
          <w:sz w:val="12"/>
        </w:rPr>
        <w:t xml:space="preserve"> happiness is about lives lived and actions taken in pursuit of eudaimonia.</w:t>
      </w:r>
      <w:r>
        <w:rPr>
          <w:rFonts w:eastAsia="Calibri" w:cs="Calibri"/>
          <w:b w:val="0"/>
          <w:sz w:val="12"/>
        </w:rPr>
        <w:t xml:space="preserve"> </w:t>
      </w:r>
      <w:r w:rsidRPr="00CC43E2">
        <w:rPr>
          <w:rFonts w:eastAsia="Calibri" w:cs="Calibri"/>
          <w:b w:val="0"/>
          <w:sz w:val="12"/>
        </w:rPr>
        <w:t xml:space="preserve">Also at this point, you probably understand why some translations are argued to fall a little flat when it comes to describing Aristotle’s philosophical concept. Where rational activity is required to pursue </w:t>
      </w:r>
      <w:proofErr w:type="gramStart"/>
      <w:r w:rsidRPr="00CC43E2">
        <w:rPr>
          <w:rFonts w:eastAsia="Calibri" w:cs="Calibri"/>
          <w:b w:val="0"/>
          <w:sz w:val="12"/>
        </w:rPr>
        <w:t>an ultimate goal</w:t>
      </w:r>
      <w:proofErr w:type="gramEnd"/>
      <w:r w:rsidRPr="00CC43E2">
        <w:rPr>
          <w:rFonts w:eastAsia="Calibri" w:cs="Calibri"/>
          <w:b w:val="0"/>
          <w:sz w:val="12"/>
        </w:rPr>
        <w:t>, beings such as plants—which do ‘flourish’—don’t qualify.</w:t>
      </w:r>
      <w:r>
        <w:rPr>
          <w:rFonts w:eastAsia="Calibri" w:cs="Calibri"/>
          <w:b w:val="0"/>
          <w:sz w:val="12"/>
        </w:rPr>
        <w:t xml:space="preserve"> </w:t>
      </w:r>
      <w:r w:rsidRPr="00CC43E2">
        <w:rPr>
          <w:rFonts w:eastAsia="Calibri" w:cs="Calibri"/>
          <w:b w:val="0"/>
          <w:sz w:val="12"/>
        </w:rPr>
        <w:t>Where these rational activities include “</w:t>
      </w:r>
      <w:r w:rsidRPr="00CC43E2">
        <w:rPr>
          <w:rStyle w:val="StyleUnderline"/>
        </w:rPr>
        <w:t xml:space="preserve">pride, wittiness, </w:t>
      </w:r>
      <w:r w:rsidRPr="00CC43E2">
        <w:rPr>
          <w:rStyle w:val="StyleUnderline"/>
          <w:highlight w:val="yellow"/>
        </w:rPr>
        <w:t xml:space="preserve">friendships </w:t>
      </w:r>
      <w:r w:rsidRPr="00CC43E2">
        <w:rPr>
          <w:rStyle w:val="StyleUnderline"/>
        </w:rPr>
        <w:t xml:space="preserve">that are mutually beneficial, pride and </w:t>
      </w:r>
      <w:r w:rsidRPr="00CC43E2">
        <w:rPr>
          <w:rStyle w:val="StyleUnderline"/>
          <w:highlight w:val="yellow"/>
        </w:rPr>
        <w:t xml:space="preserve">honesty </w:t>
      </w:r>
      <w:r w:rsidRPr="00CC43E2">
        <w:rPr>
          <w:rStyle w:val="StyleUnderline"/>
        </w:rPr>
        <w:t>among others</w:t>
      </w:r>
      <w:r w:rsidRPr="00CC43E2">
        <w:rPr>
          <w:rFonts w:eastAsia="Calibri" w:cs="Calibri"/>
          <w:b w:val="0"/>
          <w:sz w:val="12"/>
        </w:rPr>
        <w:t>”, neither do lots of other creatures (</w:t>
      </w:r>
      <w:proofErr w:type="spellStart"/>
      <w:r w:rsidRPr="00CC43E2">
        <w:rPr>
          <w:rFonts w:eastAsia="Calibri" w:cs="Calibri"/>
          <w:b w:val="0"/>
          <w:sz w:val="12"/>
        </w:rPr>
        <w:t>Hursthouse</w:t>
      </w:r>
      <w:proofErr w:type="spellEnd"/>
      <w:r w:rsidRPr="00CC43E2">
        <w:rPr>
          <w:rFonts w:eastAsia="Calibri" w:cs="Calibri"/>
          <w:b w:val="0"/>
          <w:sz w:val="12"/>
        </w:rPr>
        <w:t>, 1999).</w:t>
      </w:r>
      <w:r>
        <w:rPr>
          <w:rFonts w:eastAsia="Calibri" w:cs="Calibri"/>
          <w:b w:val="0"/>
          <w:sz w:val="12"/>
        </w:rPr>
        <w:t xml:space="preserve"> </w:t>
      </w:r>
      <w:r w:rsidRPr="00CC43E2">
        <w:rPr>
          <w:rFonts w:eastAsia="Calibri" w:cs="Calibri"/>
          <w:b w:val="0"/>
          <w:sz w:val="12"/>
        </w:rPr>
        <w:t>A Look at Aristotle’s Concept of Happiness and Well-Being</w:t>
      </w:r>
      <w:r>
        <w:rPr>
          <w:rFonts w:eastAsia="Calibri" w:cs="Calibri"/>
          <w:b w:val="0"/>
          <w:sz w:val="12"/>
        </w:rPr>
        <w:t xml:space="preserve"> </w:t>
      </w:r>
      <w:r w:rsidRPr="00CC43E2">
        <w:rPr>
          <w:rFonts w:eastAsia="Calibri" w:cs="Calibri"/>
          <w:b w:val="0"/>
          <w:sz w:val="12"/>
        </w:rPr>
        <w:t>If you could ask Aristotle himself what happiness is, this is exactly what he’d say:</w:t>
      </w:r>
      <w:r>
        <w:rPr>
          <w:rFonts w:eastAsia="Calibri" w:cs="Calibri"/>
          <w:b w:val="0"/>
          <w:sz w:val="12"/>
        </w:rPr>
        <w:t xml:space="preserve"> </w:t>
      </w:r>
      <w:r w:rsidRPr="00CC43E2">
        <w:rPr>
          <w:rFonts w:eastAsia="Calibri" w:cs="Calibri"/>
          <w:b w:val="0"/>
          <w:sz w:val="12"/>
        </w:rPr>
        <w:t>“…Some identify happiness with virtue, some with practical wisdom, others with a kind of philosophic wisdom, others with these, or one of these, accompanied by pleasure or not without pleasure; while others include also external prosperity…it is not probable that…these should be entirely mistaken, but rather that they should be right in at least some one respect or even in most respects.”</w:t>
      </w:r>
      <w:r>
        <w:rPr>
          <w:rFonts w:eastAsia="Calibri" w:cs="Calibri"/>
          <w:b w:val="0"/>
          <w:sz w:val="12"/>
        </w:rPr>
        <w:t xml:space="preserve"> </w:t>
      </w:r>
      <w:r w:rsidRPr="00CC43E2">
        <w:rPr>
          <w:rFonts w:eastAsia="Calibri" w:cs="Calibri"/>
          <w:b w:val="0"/>
          <w:sz w:val="12"/>
        </w:rPr>
        <w:t xml:space="preserve">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8 (excerpt from Nothingistic.org, 2019)</w:t>
      </w:r>
      <w:r>
        <w:rPr>
          <w:rFonts w:eastAsia="Calibri" w:cs="Calibri"/>
          <w:b w:val="0"/>
          <w:sz w:val="12"/>
        </w:rPr>
        <w:t xml:space="preserve"> </w:t>
      </w:r>
      <w:r w:rsidRPr="00CC43E2">
        <w:rPr>
          <w:rFonts w:eastAsia="Calibri" w:cs="Calibri"/>
          <w:b w:val="0"/>
          <w:sz w:val="12"/>
        </w:rPr>
        <w:t>Happily, we also have more concise and straightforward excerpts that reveal how we go about it.</w:t>
      </w:r>
      <w:r>
        <w:rPr>
          <w:rFonts w:eastAsia="Calibri" w:cs="Calibri"/>
          <w:b w:val="0"/>
          <w:sz w:val="12"/>
        </w:rPr>
        <w:t xml:space="preserve"> </w:t>
      </w:r>
      <w:r w:rsidRPr="00CC43E2">
        <w:rPr>
          <w:rFonts w:eastAsia="Calibri" w:cs="Calibri"/>
          <w:b w:val="0"/>
          <w:sz w:val="12"/>
        </w:rPr>
        <w:t>Happy Life According to Aristotle</w:t>
      </w:r>
      <w:r>
        <w:rPr>
          <w:rFonts w:eastAsia="Calibri" w:cs="Calibri"/>
          <w:b w:val="0"/>
          <w:sz w:val="12"/>
        </w:rPr>
        <w:t xml:space="preserve"> </w:t>
      </w:r>
      <w:proofErr w:type="gramStart"/>
      <w:r w:rsidRPr="00CC43E2">
        <w:rPr>
          <w:rFonts w:eastAsia="Calibri" w:cs="Calibri"/>
          <w:b w:val="0"/>
          <w:sz w:val="12"/>
        </w:rPr>
        <w:t>To</w:t>
      </w:r>
      <w:proofErr w:type="gramEnd"/>
      <w:r w:rsidRPr="00CC43E2">
        <w:rPr>
          <w:rFonts w:eastAsia="Calibri" w:cs="Calibri"/>
          <w:b w:val="0"/>
          <w:sz w:val="12"/>
        </w:rPr>
        <w:t xml:space="preserve"> be honest, a lot of </w:t>
      </w:r>
      <w:proofErr w:type="spellStart"/>
      <w:r w:rsidRPr="00CC43E2">
        <w:rPr>
          <w:rFonts w:eastAsia="Calibri" w:cs="Calibri"/>
          <w:b w:val="0"/>
          <w:sz w:val="12"/>
        </w:rPr>
        <w:t>Nichomacean</w:t>
      </w:r>
      <w:proofErr w:type="spellEnd"/>
      <w:r w:rsidRPr="00CC43E2">
        <w:rPr>
          <w:rFonts w:eastAsia="Calibri" w:cs="Calibri"/>
          <w:b w:val="0"/>
          <w:sz w:val="12"/>
        </w:rPr>
        <w:t xml:space="preserve"> Ethics is about what happiness isn’t. ‘Satisfying appetites’, Ryan and Singer argue is akin to “life suitable to beasts”, according to the philosopher (2006: 16). The pursuit of political power, material wealth, even fun and leisure, he saw as “laughable things”, inferior to “serious things” (</w:t>
      </w:r>
      <w:proofErr w:type="spellStart"/>
      <w:r w:rsidRPr="00CC43E2">
        <w:rPr>
          <w:rFonts w:eastAsia="Calibri" w:cs="Calibri"/>
          <w:b w:val="0"/>
          <w:sz w:val="12"/>
        </w:rPr>
        <w:t>Ryff</w:t>
      </w:r>
      <w:proofErr w:type="spellEnd"/>
      <w:r w:rsidRPr="00CC43E2">
        <w:rPr>
          <w:rFonts w:eastAsia="Calibri" w:cs="Calibri"/>
          <w:b w:val="0"/>
          <w:sz w:val="12"/>
        </w:rPr>
        <w:t xml:space="preserve"> &amp; Singer, 2008: 16).</w:t>
      </w:r>
      <w:r>
        <w:rPr>
          <w:rFonts w:eastAsia="Calibri" w:cs="Calibri"/>
          <w:b w:val="0"/>
          <w:sz w:val="12"/>
        </w:rPr>
        <w:t xml:space="preserve"> </w:t>
      </w:r>
      <w:r w:rsidRPr="00CC43E2">
        <w:rPr>
          <w:rFonts w:eastAsia="Calibri" w:cs="Calibri"/>
          <w:b w:val="0"/>
          <w:sz w:val="12"/>
        </w:rPr>
        <w:t xml:space="preserve">Instead, </w:t>
      </w:r>
      <w:r w:rsidRPr="00CC43E2">
        <w:rPr>
          <w:rStyle w:val="StyleUnderline"/>
          <w:highlight w:val="yellow"/>
        </w:rPr>
        <w:t>happiness is an ‘intermediate’</w:t>
      </w:r>
      <w:r w:rsidRPr="00CC43E2">
        <w:rPr>
          <w:rStyle w:val="StyleUnderline"/>
        </w:rPr>
        <w:t xml:space="preserve">, or a ‘golden mean’ </w:t>
      </w:r>
      <w:r w:rsidRPr="00CC43E2">
        <w:rPr>
          <w:rStyle w:val="StyleUnderline"/>
          <w:highlight w:val="yellow"/>
        </w:rPr>
        <w:t>between deficiency and excess</w:t>
      </w:r>
      <w:r w:rsidRPr="00CC43E2">
        <w:rPr>
          <w:rFonts w:eastAsia="Calibri" w:cs="Calibri"/>
          <w:b w:val="0"/>
          <w:sz w:val="12"/>
        </w:rPr>
        <w:t xml:space="preserve"> (</w:t>
      </w:r>
      <w:proofErr w:type="spellStart"/>
      <w:r w:rsidRPr="00CC43E2">
        <w:rPr>
          <w:rFonts w:eastAsia="Calibri" w:cs="Calibri"/>
          <w:b w:val="0"/>
          <w:sz w:val="12"/>
        </w:rPr>
        <w:t>Ryff</w:t>
      </w:r>
      <w:proofErr w:type="spellEnd"/>
      <w:r w:rsidRPr="00CC43E2">
        <w:rPr>
          <w:rFonts w:eastAsia="Calibri" w:cs="Calibri"/>
          <w:b w:val="0"/>
          <w:sz w:val="12"/>
        </w:rPr>
        <w:t xml:space="preserve"> &amp; Singer, 2008). One example of virtue as a mean between two extremes is courage – as a virtue, it’s halfway between recklessness and cowardice (Kings College London, 2012).</w:t>
      </w:r>
      <w:r>
        <w:rPr>
          <w:rFonts w:eastAsia="Calibri" w:cs="Calibri"/>
          <w:b w:val="0"/>
          <w:sz w:val="12"/>
        </w:rPr>
        <w:t xml:space="preserve"> </w:t>
      </w:r>
      <w:r w:rsidRPr="00CC43E2">
        <w:rPr>
          <w:rFonts w:eastAsia="Calibri" w:cs="Calibri"/>
          <w:b w:val="0"/>
          <w:sz w:val="12"/>
        </w:rPr>
        <w:t>Here, we see the ‘rational activity’ aspect of eudaimonia coming back to the fore. When we are faced with situations, therefore, it can be argued that Aristotle isn’t giving prescriptive advice. He is, however, telling us how he believes the rational, virtuous pursuit of eudaimonia might look in an everyday setting.</w:t>
      </w:r>
      <w:r>
        <w:rPr>
          <w:rFonts w:eastAsia="Calibri" w:cs="Calibri"/>
          <w:b w:val="0"/>
          <w:sz w:val="12"/>
        </w:rPr>
        <w:t xml:space="preserve"> </w:t>
      </w:r>
      <w:r w:rsidRPr="00CC43E2">
        <w:rPr>
          <w:rFonts w:eastAsia="Calibri" w:cs="Calibri"/>
          <w:b w:val="0"/>
          <w:sz w:val="12"/>
        </w:rPr>
        <w:t>Role of Externalities</w:t>
      </w:r>
      <w:r>
        <w:rPr>
          <w:rFonts w:eastAsia="Calibri" w:cs="Calibri"/>
          <w:b w:val="0"/>
          <w:sz w:val="12"/>
        </w:rPr>
        <w:t xml:space="preserve"> </w:t>
      </w:r>
      <w:r w:rsidRPr="00CC43E2">
        <w:rPr>
          <w:rFonts w:eastAsia="Calibri" w:cs="Calibri"/>
          <w:b w:val="0"/>
          <w:sz w:val="12"/>
        </w:rPr>
        <w:t>So, what if you’re very, very unlucky?</w:t>
      </w:r>
      <w:r>
        <w:rPr>
          <w:rFonts w:eastAsia="Calibri" w:cs="Calibri"/>
          <w:b w:val="0"/>
          <w:sz w:val="12"/>
        </w:rPr>
        <w:t xml:space="preserve"> </w:t>
      </w:r>
      <w:r w:rsidRPr="00CC43E2">
        <w:rPr>
          <w:rFonts w:eastAsia="Calibri" w:cs="Calibri"/>
          <w:b w:val="0"/>
          <w:sz w:val="12"/>
        </w:rPr>
        <w:t xml:space="preserve">If you’ve read </w:t>
      </w:r>
      <w:proofErr w:type="spellStart"/>
      <w:r w:rsidRPr="00CC43E2">
        <w:rPr>
          <w:rFonts w:eastAsia="Calibri" w:cs="Calibri"/>
          <w:b w:val="0"/>
          <w:sz w:val="12"/>
        </w:rPr>
        <w:t>Nichomacean</w:t>
      </w:r>
      <w:proofErr w:type="spellEnd"/>
      <w:r w:rsidRPr="00CC43E2">
        <w:rPr>
          <w:rFonts w:eastAsia="Calibri" w:cs="Calibri"/>
          <w:b w:val="0"/>
          <w:sz w:val="12"/>
        </w:rPr>
        <w:t xml:space="preserve"> Ethics (maybe only skimmed partway through), this question is not an unreasonable one. After all, Aristotle argued:</w:t>
      </w:r>
      <w:r>
        <w:rPr>
          <w:rFonts w:eastAsia="Calibri" w:cs="Calibri"/>
          <w:b w:val="0"/>
          <w:sz w:val="12"/>
        </w:rPr>
        <w:t xml:space="preserve"> </w:t>
      </w:r>
      <w:r w:rsidRPr="00CC43E2">
        <w:rPr>
          <w:rFonts w:eastAsia="Calibri" w:cs="Calibri"/>
          <w:b w:val="0"/>
          <w:sz w:val="12"/>
        </w:rPr>
        <w:t xml:space="preserve">“He is happy who lives in accordance with complete virtue and is sufficiently equipped with external goods, not for some chance period but throughout a complete life.” – Aristotle, </w:t>
      </w:r>
      <w:proofErr w:type="spellStart"/>
      <w:r w:rsidRPr="00CC43E2">
        <w:rPr>
          <w:rFonts w:eastAsia="Calibri" w:cs="Calibri"/>
          <w:b w:val="0"/>
          <w:sz w:val="12"/>
        </w:rPr>
        <w:t>Nichomacean</w:t>
      </w:r>
      <w:proofErr w:type="spellEnd"/>
      <w:r w:rsidRPr="00CC43E2">
        <w:rPr>
          <w:rFonts w:eastAsia="Calibri" w:cs="Calibri"/>
          <w:b w:val="0"/>
          <w:sz w:val="12"/>
        </w:rPr>
        <w:t xml:space="preserve"> Ethics, Book I, Chapter 10 (excerpt from Nothingistic.org, 2019).</w:t>
      </w:r>
      <w:r>
        <w:rPr>
          <w:rFonts w:eastAsia="Calibri" w:cs="Calibri"/>
          <w:b w:val="0"/>
          <w:sz w:val="12"/>
        </w:rPr>
        <w:t xml:space="preserve"> </w:t>
      </w:r>
      <w:r w:rsidRPr="00CC43E2">
        <w:rPr>
          <w:rFonts w:eastAsia="Calibri" w:cs="Calibri"/>
          <w:b w:val="0"/>
          <w:sz w:val="12"/>
        </w:rPr>
        <w:t>Basically, yes, Aristotle acknowledged that fate or luck can play a role in our happiness. Nonetheless, he also believed that this task of ‘individual self-realization’ is how we go about it with our ‘own disposition and talent’ (</w:t>
      </w:r>
      <w:proofErr w:type="spellStart"/>
      <w:r w:rsidRPr="00CC43E2">
        <w:rPr>
          <w:rFonts w:eastAsia="Calibri" w:cs="Calibri"/>
          <w:b w:val="0"/>
          <w:sz w:val="12"/>
        </w:rPr>
        <w:t>Ryff</w:t>
      </w:r>
      <w:proofErr w:type="spellEnd"/>
      <w:r w:rsidRPr="00CC43E2">
        <w:rPr>
          <w:rFonts w:eastAsia="Calibri" w:cs="Calibri"/>
          <w:b w:val="0"/>
          <w:sz w:val="12"/>
        </w:rPr>
        <w:t xml:space="preserve"> &amp; Singer, 2008: 17).</w:t>
      </w:r>
      <w:r>
        <w:rPr>
          <w:rFonts w:eastAsia="Calibri" w:cs="Calibri"/>
          <w:b w:val="0"/>
          <w:sz w:val="12"/>
        </w:rPr>
        <w:t xml:space="preserve"> </w:t>
      </w:r>
      <w:r w:rsidRPr="00CC43E2">
        <w:rPr>
          <w:rFonts w:eastAsia="Calibri" w:cs="Calibri"/>
          <w:b w:val="0"/>
          <w:sz w:val="12"/>
        </w:rPr>
        <w:t>This excerpt also suggests that we should be aiming for ‘all of the virtues’, so it’s worthwhile considering Aristotle’s stance on being virtuous.</w:t>
      </w:r>
      <w:r>
        <w:rPr>
          <w:rFonts w:eastAsia="Calibri" w:cs="Calibri"/>
          <w:b w:val="0"/>
          <w:sz w:val="12"/>
        </w:rPr>
        <w:t xml:space="preserve"> </w:t>
      </w:r>
      <w:r w:rsidRPr="00EA0A4B">
        <w:rPr>
          <w:rFonts w:eastAsia="Calibri" w:cs="Calibri"/>
          <w:b w:val="0"/>
          <w:sz w:val="12"/>
        </w:rPr>
        <w:t>The Philosophy Behind Aristotle’s Ethics</w:t>
      </w:r>
      <w:r>
        <w:rPr>
          <w:rFonts w:eastAsia="Calibri" w:cs="Calibri"/>
          <w:b w:val="0"/>
          <w:sz w:val="12"/>
        </w:rPr>
        <w:t xml:space="preserve"> </w:t>
      </w:r>
      <w:r w:rsidRPr="00EA0A4B">
        <w:rPr>
          <w:rFonts w:eastAsia="Calibri" w:cs="Calibri"/>
          <w:b w:val="0"/>
          <w:sz w:val="12"/>
        </w:rPr>
        <w:t xml:space="preserve">As we can now see, Aristotle’s eudaimonia is a moral </w:t>
      </w:r>
      <w:r w:rsidRPr="00CC43E2">
        <w:rPr>
          <w:rStyle w:val="StyleUnderline"/>
        </w:rPr>
        <w:t>happiness</w:t>
      </w:r>
      <w:r w:rsidRPr="00CC43E2">
        <w:rPr>
          <w:rFonts w:eastAsia="Calibri" w:cs="Calibri"/>
          <w:b w:val="0"/>
          <w:sz w:val="12"/>
        </w:rPr>
        <w:t xml:space="preserve"> concept. It </w:t>
      </w:r>
      <w:r w:rsidRPr="00CC43E2">
        <w:rPr>
          <w:rStyle w:val="StyleUnderline"/>
        </w:rPr>
        <w:t>is</w:t>
      </w:r>
      <w:r w:rsidRPr="00CC43E2">
        <w:rPr>
          <w:rFonts w:eastAsia="Calibri" w:cs="Calibri"/>
          <w:b w:val="0"/>
          <w:sz w:val="12"/>
        </w:rPr>
        <w:t xml:space="preserve"> very much </w:t>
      </w:r>
      <w:r w:rsidRPr="00CC43E2">
        <w:rPr>
          <w:rStyle w:val="StyleUnderline"/>
        </w:rPr>
        <w:t xml:space="preserve">about living a life </w:t>
      </w:r>
      <w:r w:rsidRPr="00EA0A4B">
        <w:rPr>
          <w:rStyle w:val="StyleUnderline"/>
          <w:highlight w:val="yellow"/>
        </w:rPr>
        <w:t>in accordance with virtues</w:t>
      </w:r>
      <w:r w:rsidRPr="00EA0A4B">
        <w:rPr>
          <w:rFonts w:eastAsia="Calibri" w:cs="Calibri"/>
          <w:b w:val="0"/>
          <w:sz w:val="12"/>
          <w:highlight w:val="yellow"/>
        </w:rPr>
        <w:t xml:space="preserve"> </w:t>
      </w:r>
      <w:r w:rsidRPr="00EA0A4B">
        <w:rPr>
          <w:rFonts w:eastAsia="Calibri" w:cs="Calibri"/>
          <w:b w:val="0"/>
          <w:sz w:val="12"/>
        </w:rPr>
        <w:t>(</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But what are these virtues, then?</w:t>
      </w:r>
      <w:r>
        <w:rPr>
          <w:rFonts w:eastAsia="Calibri" w:cs="Calibri"/>
          <w:b w:val="0"/>
          <w:sz w:val="12"/>
        </w:rPr>
        <w:t xml:space="preserve"> </w:t>
      </w:r>
      <w:r w:rsidRPr="00EA0A4B">
        <w:rPr>
          <w:rFonts w:eastAsia="Calibri" w:cs="Calibri"/>
          <w:b w:val="0"/>
          <w:sz w:val="12"/>
        </w:rPr>
        <w:t>Of course, there is a large subjective element to what ‘virtue’ is. What one person holds to be virtuous isn’t always going to ring with that of others. Ancient and Medieval Philosophy Professor Peter Adamson gives some brilliant examples in this Kings College London video:</w:t>
      </w:r>
      <w:r>
        <w:rPr>
          <w:rFonts w:eastAsia="Calibri" w:cs="Calibri"/>
          <w:b w:val="0"/>
          <w:sz w:val="12"/>
        </w:rPr>
        <w:t xml:space="preserve"> </w:t>
      </w:r>
      <w:r w:rsidRPr="00EA0A4B">
        <w:rPr>
          <w:rFonts w:eastAsia="Calibri" w:cs="Calibri"/>
          <w:b w:val="0"/>
          <w:sz w:val="12"/>
        </w:rPr>
        <w:t>One of these is ‘piety’, which was mentioned in the earlier look at Socrates. For example, can you be too pious? Some would argue yes, others, no.</w:t>
      </w:r>
      <w:r>
        <w:rPr>
          <w:rFonts w:eastAsia="Calibri" w:cs="Calibri"/>
          <w:b w:val="0"/>
          <w:sz w:val="12"/>
        </w:rPr>
        <w:t xml:space="preserve"> </w:t>
      </w:r>
      <w:r w:rsidRPr="00EA0A4B">
        <w:rPr>
          <w:rFonts w:eastAsia="Calibri" w:cs="Calibri"/>
          <w:b w:val="0"/>
          <w:sz w:val="12"/>
        </w:rPr>
        <w:t xml:space="preserve">From what we’ve already discussed, however, we know Aristotle believes happiness is not about pursuing eudaimonia through various means </w:t>
      </w:r>
      <w:proofErr w:type="gramStart"/>
      <w:r w:rsidRPr="00EA0A4B">
        <w:rPr>
          <w:rFonts w:eastAsia="Calibri" w:cs="Calibri"/>
          <w:b w:val="0"/>
          <w:sz w:val="12"/>
        </w:rPr>
        <w:t>in order to</w:t>
      </w:r>
      <w:proofErr w:type="gramEnd"/>
      <w:r w:rsidRPr="00EA0A4B">
        <w:rPr>
          <w:rFonts w:eastAsia="Calibri" w:cs="Calibri"/>
          <w:b w:val="0"/>
          <w:sz w:val="12"/>
        </w:rPr>
        <w:t xml:space="preserve"> be happy. This is, he argues, is founded in instrumentality. Happiness, he might be seen as arguing, is once again the rational activity in pursuit of virtue itself.</w:t>
      </w:r>
      <w:r>
        <w:rPr>
          <w:rFonts w:eastAsia="Calibri" w:cs="Calibri"/>
          <w:b w:val="0"/>
          <w:sz w:val="12"/>
        </w:rPr>
        <w:t xml:space="preserve"> </w:t>
      </w:r>
      <w:r w:rsidRPr="00EA0A4B">
        <w:rPr>
          <w:rFonts w:eastAsia="Calibri" w:cs="Calibri"/>
          <w:b w:val="0"/>
          <w:sz w:val="12"/>
        </w:rPr>
        <w:t>These virtues won’t necessarily be cut in stone. But, if we ask ourselves what we believe is good, or how we should live our lives, virtue ethics would argue that we have at least some starting points (</w:t>
      </w:r>
      <w:proofErr w:type="spellStart"/>
      <w:r w:rsidRPr="00EA0A4B">
        <w:rPr>
          <w:rFonts w:eastAsia="Calibri" w:cs="Calibri"/>
          <w:b w:val="0"/>
          <w:sz w:val="12"/>
        </w:rPr>
        <w:t>Hursthouse</w:t>
      </w:r>
      <w:proofErr w:type="spellEnd"/>
      <w:r w:rsidRPr="00EA0A4B">
        <w:rPr>
          <w:rFonts w:eastAsia="Calibri" w:cs="Calibri"/>
          <w:b w:val="0"/>
          <w:sz w:val="12"/>
        </w:rPr>
        <w:t>, 1999).</w:t>
      </w:r>
      <w:r>
        <w:rPr>
          <w:rFonts w:eastAsia="Calibri" w:cs="Calibri"/>
          <w:b w:val="0"/>
          <w:sz w:val="12"/>
        </w:rPr>
        <w:t xml:space="preserve"> </w:t>
      </w:r>
      <w:r w:rsidRPr="00EA0A4B">
        <w:rPr>
          <w:rFonts w:eastAsia="Calibri" w:cs="Calibri"/>
          <w:b w:val="0"/>
          <w:sz w:val="12"/>
        </w:rPr>
        <w:t>Modern Psychology and Eudaimonia</w:t>
      </w:r>
      <w:r>
        <w:rPr>
          <w:rFonts w:eastAsia="Calibri" w:cs="Calibri"/>
          <w:b w:val="0"/>
          <w:sz w:val="12"/>
        </w:rPr>
        <w:t xml:space="preserve"> </w:t>
      </w:r>
      <w:r w:rsidRPr="00EA0A4B">
        <w:rPr>
          <w:rFonts w:eastAsia="Calibri" w:cs="Calibri"/>
          <w:b w:val="0"/>
          <w:sz w:val="12"/>
        </w:rPr>
        <w:t>So far, we’ve looked a little bit at subjectivity, flourishing, happiness, wellbeing, and actualization. All in a philosophical context.</w:t>
      </w:r>
      <w:r>
        <w:rPr>
          <w:rFonts w:eastAsia="Calibri" w:cs="Calibri"/>
          <w:b w:val="0"/>
          <w:sz w:val="12"/>
        </w:rPr>
        <w:t xml:space="preserve"> </w:t>
      </w:r>
      <w:r w:rsidRPr="00EA0A4B">
        <w:rPr>
          <w:rFonts w:eastAsia="Calibri" w:cs="Calibri"/>
          <w:b w:val="0"/>
          <w:sz w:val="12"/>
        </w:rPr>
        <w:t xml:space="preserve">Hopefully, it provided some context. Because, naturally, </w:t>
      </w:r>
      <w:r w:rsidRPr="00CC43E2">
        <w:rPr>
          <w:rStyle w:val="StyleUnderline"/>
          <w:highlight w:val="yellow"/>
        </w:rPr>
        <w:t xml:space="preserve">eudaimonia </w:t>
      </w:r>
      <w:r w:rsidRPr="00CC43E2">
        <w:rPr>
          <w:rStyle w:val="StyleUnderline"/>
        </w:rPr>
        <w:t xml:space="preserve">thus </w:t>
      </w:r>
      <w:r w:rsidRPr="00CC43E2">
        <w:rPr>
          <w:rStyle w:val="StyleUnderline"/>
          <w:highlight w:val="yellow"/>
        </w:rPr>
        <w:t>has myriad implications for psychologists</w:t>
      </w:r>
      <w:r w:rsidRPr="00CC43E2">
        <w:rPr>
          <w:rStyle w:val="StyleUnderline"/>
        </w:rPr>
        <w:t xml:space="preserve"> with an interest in subjective wellbeing</w:t>
      </w:r>
      <w:r w:rsidRPr="00EA0A4B">
        <w:rPr>
          <w:rFonts w:eastAsia="Calibri" w:cs="Calibri"/>
          <w:b w:val="0"/>
          <w:sz w:val="12"/>
        </w:rPr>
        <w:t xml:space="preserve"> (SWB), and psychological wellbeing (PWB). And </w:t>
      </w:r>
      <w:r w:rsidRPr="00CC43E2">
        <w:rPr>
          <w:rStyle w:val="StyleUnderline"/>
        </w:rPr>
        <w:t>positive psychology is all about human flourishing and happiness</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Overview of Psychological Research on Eudaimonia</w:t>
      </w:r>
      <w:r>
        <w:rPr>
          <w:rFonts w:eastAsia="Calibri" w:cs="Calibri"/>
          <w:b w:val="0"/>
          <w:sz w:val="12"/>
        </w:rPr>
        <w:t xml:space="preserve"> </w:t>
      </w:r>
      <w:r w:rsidRPr="00EA0A4B">
        <w:rPr>
          <w:rFonts w:eastAsia="Calibri" w:cs="Calibri"/>
          <w:b w:val="0"/>
          <w:sz w:val="12"/>
        </w:rPr>
        <w:t>As a very concise overview of how the concept appears within psychology, here are some aspects that have been studied:</w:t>
      </w:r>
      <w:r>
        <w:rPr>
          <w:rFonts w:eastAsia="Calibri" w:cs="Calibri"/>
          <w:b w:val="0"/>
          <w:sz w:val="12"/>
        </w:rPr>
        <w:t xml:space="preserve"> </w:t>
      </w:r>
      <w:r w:rsidRPr="00EA0A4B">
        <w:rPr>
          <w:rFonts w:eastAsia="Calibri" w:cs="Calibri"/>
          <w:b w:val="0"/>
          <w:sz w:val="12"/>
        </w:rPr>
        <w:t xml:space="preserve">Definition – not only conceptualizing the idea of eudaimonia in terms of psychology, wellbeing, and happiness, but also trying to operationalize the concept (e.g. Waterman, 1993; Ryan &amp; Deci, 2001; Keyes, 2002; Bauer et al., 2008; </w:t>
      </w:r>
      <w:proofErr w:type="spellStart"/>
      <w:r w:rsidRPr="00EA0A4B">
        <w:rPr>
          <w:rFonts w:eastAsia="Calibri" w:cs="Calibri"/>
          <w:b w:val="0"/>
          <w:sz w:val="12"/>
        </w:rPr>
        <w:t>Ryff</w:t>
      </w:r>
      <w:proofErr w:type="spellEnd"/>
      <w:r w:rsidRPr="00EA0A4B">
        <w:rPr>
          <w:rFonts w:eastAsia="Calibri" w:cs="Calibri"/>
          <w:b w:val="0"/>
          <w:sz w:val="12"/>
        </w:rPr>
        <w:t xml:space="preserve"> &amp; Singer, 2008; Waterman et al. 2008);</w:t>
      </w:r>
      <w:r>
        <w:rPr>
          <w:rFonts w:eastAsia="Calibri" w:cs="Calibri"/>
          <w:b w:val="0"/>
          <w:sz w:val="12"/>
        </w:rPr>
        <w:t xml:space="preserve"> </w:t>
      </w:r>
      <w:r w:rsidRPr="00EA0A4B">
        <w:rPr>
          <w:rFonts w:eastAsia="Calibri" w:cs="Calibri"/>
          <w:b w:val="0"/>
          <w:sz w:val="12"/>
        </w:rPr>
        <w:t>Measurement – lots of these attempts at operationalization are a preliminary step to measuring human experiences of eudaimonia.</w:t>
      </w:r>
      <w:r>
        <w:rPr>
          <w:rFonts w:eastAsia="Calibri" w:cs="Calibri"/>
          <w:b w:val="0"/>
          <w:sz w:val="12"/>
        </w:rPr>
        <w:t xml:space="preserve"> </w:t>
      </w:r>
      <w:r w:rsidRPr="00EA0A4B">
        <w:rPr>
          <w:rFonts w:eastAsia="Calibri" w:cs="Calibri"/>
          <w:b w:val="0"/>
          <w:sz w:val="12"/>
        </w:rPr>
        <w:t xml:space="preserve">There </w:t>
      </w:r>
      <w:proofErr w:type="gramStart"/>
      <w:r w:rsidRPr="00EA0A4B">
        <w:rPr>
          <w:rFonts w:eastAsia="Calibri" w:cs="Calibri"/>
          <w:b w:val="0"/>
          <w:sz w:val="12"/>
        </w:rPr>
        <w:t>are</w:t>
      </w:r>
      <w:proofErr w:type="gramEnd"/>
      <w:r w:rsidRPr="00EA0A4B">
        <w:rPr>
          <w:rFonts w:eastAsia="Calibri" w:cs="Calibri"/>
          <w:b w:val="0"/>
          <w:sz w:val="12"/>
        </w:rPr>
        <w:t xml:space="preserve"> actually a fair few of these scales. The best-known actually measures a similar concept of psychological wellbeing (PWB), made famous by Professor </w:t>
      </w:r>
      <w:proofErr w:type="spellStart"/>
      <w:r w:rsidRPr="00EA0A4B">
        <w:rPr>
          <w:rFonts w:eastAsia="Calibri" w:cs="Calibri"/>
          <w:b w:val="0"/>
          <w:sz w:val="12"/>
        </w:rPr>
        <w:t>Ryff</w:t>
      </w:r>
      <w:proofErr w:type="spellEnd"/>
      <w:r w:rsidRPr="00EA0A4B">
        <w:rPr>
          <w:rFonts w:eastAsia="Calibri" w:cs="Calibri"/>
          <w:b w:val="0"/>
          <w:sz w:val="12"/>
        </w:rPr>
        <w:t xml:space="preserve"> (1989);</w:t>
      </w:r>
      <w:r>
        <w:rPr>
          <w:rFonts w:eastAsia="Calibri" w:cs="Calibri"/>
          <w:b w:val="0"/>
          <w:sz w:val="12"/>
        </w:rPr>
        <w:t xml:space="preserve"> </w:t>
      </w:r>
      <w:r w:rsidRPr="00EA0A4B">
        <w:rPr>
          <w:rFonts w:eastAsia="Calibri" w:cs="Calibri"/>
          <w:b w:val="0"/>
          <w:sz w:val="12"/>
        </w:rPr>
        <w:t xml:space="preserve">Distinctiveness and relation to other happiness/wellbeing concepts – with the most popular earlier studies looking at eudaimonia alongside </w:t>
      </w:r>
      <w:proofErr w:type="spellStart"/>
      <w:r w:rsidRPr="00EA0A4B">
        <w:rPr>
          <w:rFonts w:eastAsia="Calibri" w:cs="Calibri"/>
          <w:b w:val="0"/>
          <w:sz w:val="12"/>
        </w:rPr>
        <w:t>hedonia</w:t>
      </w:r>
      <w:proofErr w:type="spellEnd"/>
      <w:r w:rsidRPr="00EA0A4B">
        <w:rPr>
          <w:rFonts w:eastAsia="Calibri" w:cs="Calibri"/>
          <w:b w:val="0"/>
          <w:sz w:val="12"/>
        </w:rPr>
        <w:t xml:space="preserve"> (Ryan &amp; Deci, 2001; </w:t>
      </w:r>
      <w:proofErr w:type="spellStart"/>
      <w:r w:rsidRPr="00EA0A4B">
        <w:rPr>
          <w:rFonts w:eastAsia="Calibri" w:cs="Calibri"/>
          <w:b w:val="0"/>
          <w:sz w:val="12"/>
        </w:rPr>
        <w:t>Huta</w:t>
      </w:r>
      <w:proofErr w:type="spellEnd"/>
      <w:r w:rsidRPr="00EA0A4B">
        <w:rPr>
          <w:rFonts w:eastAsia="Calibri" w:cs="Calibri"/>
          <w:b w:val="0"/>
          <w:sz w:val="12"/>
        </w:rPr>
        <w:t xml:space="preserve"> &amp; Waterman, 2014);</w:t>
      </w:r>
      <w:r>
        <w:rPr>
          <w:rFonts w:eastAsia="Calibri" w:cs="Calibri"/>
          <w:b w:val="0"/>
          <w:sz w:val="12"/>
        </w:rPr>
        <w:t xml:space="preserve"> </w:t>
      </w:r>
      <w:r w:rsidRPr="00EA0A4B">
        <w:rPr>
          <w:rFonts w:eastAsia="Calibri" w:cs="Calibri"/>
          <w:b w:val="0"/>
          <w:sz w:val="12"/>
        </w:rPr>
        <w:t>This was accompanied by empirical and statistical analyses of the same (Chen et al., 2013); and</w:t>
      </w:r>
      <w:r>
        <w:rPr>
          <w:rFonts w:eastAsia="Calibri" w:cs="Calibri"/>
          <w:b w:val="0"/>
          <w:sz w:val="12"/>
        </w:rPr>
        <w:t xml:space="preserve"> </w:t>
      </w:r>
      <w:r w:rsidRPr="00EA0A4B">
        <w:rPr>
          <w:rFonts w:eastAsia="Calibri" w:cs="Calibri"/>
          <w:b w:val="0"/>
          <w:sz w:val="12"/>
        </w:rPr>
        <w:t>Studies have also looked at how eudaimonia is related (or not) to PWB and SWB (e.g. Chen et al., 2013).</w:t>
      </w:r>
      <w:r>
        <w:rPr>
          <w:rFonts w:eastAsia="Calibri" w:cs="Calibri"/>
          <w:b w:val="0"/>
          <w:sz w:val="12"/>
        </w:rPr>
        <w:t xml:space="preserve"> </w:t>
      </w:r>
      <w:r w:rsidRPr="00EA0A4B">
        <w:rPr>
          <w:rFonts w:eastAsia="Calibri" w:cs="Calibri"/>
          <w:b w:val="0"/>
          <w:sz w:val="12"/>
        </w:rPr>
        <w:t>Of course, this is far from an exhaustive list, and as interdisciplinary interest grows, we can expect the same from the broader body of research.</w:t>
      </w:r>
      <w:r>
        <w:rPr>
          <w:rFonts w:eastAsia="Calibri" w:cs="Calibri"/>
          <w:b w:val="0"/>
          <w:sz w:val="12"/>
        </w:rPr>
        <w:t xml:space="preserve"> </w:t>
      </w:r>
      <w:r w:rsidRPr="00EA0A4B">
        <w:rPr>
          <w:rFonts w:eastAsia="Calibri" w:cs="Calibri"/>
          <w:b w:val="0"/>
          <w:sz w:val="12"/>
        </w:rPr>
        <w:t>Plato on Eudaimonia</w:t>
      </w:r>
      <w:r>
        <w:rPr>
          <w:rFonts w:eastAsia="Calibri" w:cs="Calibri"/>
          <w:b w:val="0"/>
          <w:sz w:val="12"/>
        </w:rPr>
        <w:t xml:space="preserve"> </w:t>
      </w:r>
      <w:proofErr w:type="gramStart"/>
      <w:r w:rsidRPr="00EA0A4B">
        <w:rPr>
          <w:rFonts w:eastAsia="Calibri" w:cs="Calibri"/>
          <w:b w:val="0"/>
          <w:sz w:val="12"/>
        </w:rPr>
        <w:t>As</w:t>
      </w:r>
      <w:proofErr w:type="gramEnd"/>
      <w:r w:rsidRPr="00EA0A4B">
        <w:rPr>
          <w:rFonts w:eastAsia="Calibri" w:cs="Calibri"/>
          <w:b w:val="0"/>
          <w:sz w:val="12"/>
        </w:rPr>
        <w:t xml:space="preserve"> mentioned above, Plato never distinctly referred to eudaimonia by that term. A lot of what we know about his stance on the same comes from Republic (Amazon), his work on justice. In it, he writes of three friends who talk about what a ‘just’ republic would look like, and he premised four virtues (Bhandari, 1999; </w:t>
      </w:r>
      <w:proofErr w:type="spellStart"/>
      <w:r w:rsidRPr="00EA0A4B">
        <w:rPr>
          <w:rFonts w:eastAsia="Calibri" w:cs="Calibri"/>
          <w:b w:val="0"/>
          <w:sz w:val="12"/>
        </w:rPr>
        <w:t>VanderWeele</w:t>
      </w:r>
      <w:proofErr w:type="spellEnd"/>
      <w:r w:rsidRPr="00EA0A4B">
        <w:rPr>
          <w:rFonts w:eastAsia="Calibri" w:cs="Calibri"/>
          <w:b w:val="0"/>
          <w:sz w:val="12"/>
        </w:rPr>
        <w:t>, 2017):</w:t>
      </w:r>
      <w:r>
        <w:rPr>
          <w:rFonts w:eastAsia="Calibri" w:cs="Calibri"/>
          <w:b w:val="0"/>
          <w:sz w:val="12"/>
        </w:rPr>
        <w:t xml:space="preserve"> </w:t>
      </w:r>
      <w:r w:rsidRPr="00EA0A4B">
        <w:rPr>
          <w:rFonts w:eastAsia="Calibri" w:cs="Calibri"/>
          <w:b w:val="0"/>
          <w:sz w:val="12"/>
        </w:rPr>
        <w:t>Temperance (moderation) – or self-regulation, to avoid the vices and corruption caused by excess;</w:t>
      </w:r>
      <w:r>
        <w:rPr>
          <w:rFonts w:eastAsia="Calibri" w:cs="Calibri"/>
          <w:b w:val="0"/>
          <w:sz w:val="12"/>
        </w:rPr>
        <w:t xml:space="preserve"> </w:t>
      </w:r>
      <w:r w:rsidRPr="00EA0A4B">
        <w:rPr>
          <w:rFonts w:eastAsia="Calibri" w:cs="Calibri"/>
          <w:b w:val="0"/>
          <w:sz w:val="12"/>
        </w:rPr>
        <w:t>Courage (or fortitude) – to stand up for what we believe is right and good;</w:t>
      </w:r>
      <w:r>
        <w:rPr>
          <w:rFonts w:eastAsia="Calibri" w:cs="Calibri"/>
          <w:b w:val="0"/>
          <w:sz w:val="12"/>
        </w:rPr>
        <w:t xml:space="preserve"> </w:t>
      </w:r>
      <w:r w:rsidRPr="00EA0A4B">
        <w:rPr>
          <w:rFonts w:eastAsia="Calibri" w:cs="Calibri"/>
          <w:b w:val="0"/>
          <w:sz w:val="12"/>
        </w:rPr>
        <w:t>Justice – a social consciousness that plays a key part in maintaining societal order; and</w:t>
      </w:r>
      <w:r>
        <w:rPr>
          <w:rFonts w:eastAsia="Calibri" w:cs="Calibri"/>
          <w:b w:val="0"/>
          <w:sz w:val="12"/>
        </w:rPr>
        <w:t xml:space="preserve"> </w:t>
      </w:r>
      <w:r w:rsidRPr="00EA0A4B">
        <w:rPr>
          <w:rFonts w:eastAsia="Calibri" w:cs="Calibri"/>
          <w:b w:val="0"/>
          <w:sz w:val="12"/>
        </w:rPr>
        <w:t>Wisdom (practical wisdom, or prudence) – the pursuit of knowledge.</w:t>
      </w:r>
      <w:r>
        <w:rPr>
          <w:rFonts w:eastAsia="Calibri" w:cs="Calibri"/>
          <w:b w:val="0"/>
          <w:sz w:val="12"/>
        </w:rPr>
        <w:t xml:space="preserve"> </w:t>
      </w:r>
      <w:r w:rsidRPr="00EA0A4B">
        <w:rPr>
          <w:rFonts w:eastAsia="Calibri" w:cs="Calibri"/>
          <w:b w:val="0"/>
          <w:sz w:val="12"/>
        </w:rPr>
        <w:t>He believed that happiness was about living in pursuit of these virtues, and thus virtue is central to flourishing.</w:t>
      </w:r>
      <w:r>
        <w:rPr>
          <w:rFonts w:eastAsia="Calibri" w:cs="Calibri"/>
          <w:b w:val="0"/>
          <w:sz w:val="12"/>
        </w:rPr>
        <w:t xml:space="preserve"> </w:t>
      </w:r>
      <w:r w:rsidRPr="00EA0A4B">
        <w:rPr>
          <w:rFonts w:eastAsia="Calibri" w:cs="Calibri"/>
          <w:b w:val="0"/>
          <w:sz w:val="12"/>
        </w:rPr>
        <w:t>Socrates and Eudaimonia</w:t>
      </w:r>
      <w:r>
        <w:rPr>
          <w:rFonts w:eastAsia="Calibri" w:cs="Calibri"/>
          <w:b w:val="0"/>
          <w:sz w:val="12"/>
        </w:rPr>
        <w:t xml:space="preserve"> </w:t>
      </w:r>
      <w:r w:rsidRPr="00EA0A4B">
        <w:rPr>
          <w:rFonts w:eastAsia="Calibri" w:cs="Calibri"/>
          <w:b w:val="0"/>
          <w:sz w:val="12"/>
        </w:rPr>
        <w:t>Socrates, as discussed, saw eudaimonia as an ‘ultimate’ goal. Like Aristotle after him, Socrates emphasized the role and importance of arête very heavily—in fact, he believed it was both a means and an end to human happiness. In pursuit of what we now commonly refer to as ‘flourishing’, he encouraged people to ask themselves, and others, what was ‘good’ for our souls (Cooper, 1996).</w:t>
      </w:r>
      <w:r>
        <w:rPr>
          <w:rFonts w:eastAsia="Calibri" w:cs="Calibri"/>
          <w:b w:val="0"/>
          <w:sz w:val="12"/>
        </w:rPr>
        <w:t xml:space="preserve"> </w:t>
      </w:r>
      <w:r w:rsidRPr="00EA0A4B">
        <w:rPr>
          <w:rFonts w:eastAsia="Calibri" w:cs="Calibri"/>
          <w:b w:val="0"/>
          <w:sz w:val="12"/>
        </w:rPr>
        <w:t xml:space="preserve">He believed, it is argued, that eudaimonia was ‘justly living well’, and that in doing so, we seek not experiential pleasure or ‘honor’ in isolation, but a good and happy life, guided by our virtues (Cooper, 1997; </w:t>
      </w:r>
      <w:proofErr w:type="spellStart"/>
      <w:r w:rsidRPr="00EA0A4B">
        <w:rPr>
          <w:rFonts w:eastAsia="Calibri" w:cs="Calibri"/>
          <w:b w:val="0"/>
          <w:sz w:val="12"/>
        </w:rPr>
        <w:t>Bobonich</w:t>
      </w:r>
      <w:proofErr w:type="spellEnd"/>
      <w:r w:rsidRPr="00EA0A4B">
        <w:rPr>
          <w:rFonts w:eastAsia="Calibri" w:cs="Calibri"/>
          <w:b w:val="0"/>
          <w:sz w:val="12"/>
        </w:rPr>
        <w:t>, 2010; Brown, 2012).</w:t>
      </w:r>
      <w:r>
        <w:rPr>
          <w:rFonts w:eastAsia="Calibri" w:cs="Calibri"/>
          <w:b w:val="0"/>
          <w:sz w:val="12"/>
        </w:rPr>
        <w:t xml:space="preserve"> </w:t>
      </w:r>
      <w:r w:rsidRPr="00EA0A4B">
        <w:rPr>
          <w:rFonts w:eastAsia="Calibri" w:cs="Calibri"/>
          <w:b w:val="0"/>
          <w:sz w:val="12"/>
        </w:rPr>
        <w:t xml:space="preserve">3 Examples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w:t>
      </w:r>
      <w:r>
        <w:rPr>
          <w:rFonts w:eastAsia="Calibri" w:cs="Calibri"/>
          <w:b w:val="0"/>
          <w:sz w:val="12"/>
        </w:rPr>
        <w:t xml:space="preserve"> </w:t>
      </w:r>
      <w:r w:rsidRPr="00EA0A4B">
        <w:rPr>
          <w:rFonts w:eastAsia="Calibri" w:cs="Calibri"/>
          <w:b w:val="0"/>
          <w:sz w:val="12"/>
        </w:rPr>
        <w:t xml:space="preserve">A couple of millennia later, </w:t>
      </w:r>
      <w:r w:rsidRPr="00CC43E2">
        <w:rPr>
          <w:rStyle w:val="StyleUnderline"/>
          <w:highlight w:val="yellow"/>
        </w:rPr>
        <w:t>the teachings of</w:t>
      </w:r>
      <w:r w:rsidRPr="00CC43E2">
        <w:rPr>
          <w:rFonts w:eastAsia="Calibri" w:cs="Calibri"/>
          <w:b w:val="0"/>
          <w:sz w:val="12"/>
          <w:highlight w:val="yellow"/>
        </w:rPr>
        <w:t xml:space="preserve"> </w:t>
      </w:r>
      <w:r w:rsidRPr="00EA0A4B">
        <w:rPr>
          <w:rFonts w:eastAsia="Calibri" w:cs="Calibri"/>
          <w:b w:val="0"/>
          <w:sz w:val="12"/>
        </w:rPr>
        <w:t xml:space="preserve">Socrates, Plato, and </w:t>
      </w:r>
      <w:r w:rsidRPr="00CC43E2">
        <w:rPr>
          <w:rStyle w:val="StyleUnderline"/>
          <w:highlight w:val="yellow"/>
        </w:rPr>
        <w:t xml:space="preserve">Aristotle </w:t>
      </w:r>
      <w:r w:rsidRPr="00CC43E2">
        <w:rPr>
          <w:rStyle w:val="StyleUnderline"/>
        </w:rPr>
        <w:t xml:space="preserve">continue to </w:t>
      </w:r>
      <w:r w:rsidRPr="00CC43E2">
        <w:rPr>
          <w:rStyle w:val="StyleUnderline"/>
          <w:highlight w:val="yellow"/>
        </w:rPr>
        <w:t>shape how we study flourishing and well-being</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 xml:space="preserve">Modern conceptions of </w:t>
      </w:r>
      <w:proofErr w:type="spellStart"/>
      <w:r w:rsidRPr="00EA0A4B">
        <w:rPr>
          <w:rFonts w:eastAsia="Calibri" w:cs="Calibri"/>
          <w:b w:val="0"/>
          <w:sz w:val="12"/>
        </w:rPr>
        <w:t>Eudaimonic</w:t>
      </w:r>
      <w:proofErr w:type="spellEnd"/>
      <w:r w:rsidRPr="00EA0A4B">
        <w:rPr>
          <w:rFonts w:eastAsia="Calibri" w:cs="Calibri"/>
          <w:b w:val="0"/>
          <w:sz w:val="12"/>
        </w:rPr>
        <w:t xml:space="preserve"> Well-being (EWB) are, </w:t>
      </w:r>
      <w:proofErr w:type="gramStart"/>
      <w:r w:rsidRPr="00EA0A4B">
        <w:rPr>
          <w:rFonts w:eastAsia="Calibri" w:cs="Calibri"/>
          <w:b w:val="0"/>
          <w:sz w:val="12"/>
        </w:rPr>
        <w:t>on the whole</w:t>
      </w:r>
      <w:proofErr w:type="gramEnd"/>
      <w:r w:rsidRPr="00EA0A4B">
        <w:rPr>
          <w:rFonts w:eastAsia="Calibri" w:cs="Calibri"/>
          <w:b w:val="0"/>
          <w:sz w:val="12"/>
        </w:rPr>
        <w:t xml:space="preserve">, shaped by literature reviews, critical analyses, and empirical examinations of their texts. </w:t>
      </w:r>
      <w:r w:rsidRPr="00CC43E2">
        <w:rPr>
          <w:rStyle w:val="StyleUnderline"/>
          <w:highlight w:val="yellow"/>
        </w:rPr>
        <w:t>Coupled with modern research</w:t>
      </w:r>
      <w:r w:rsidRPr="00CC43E2">
        <w:rPr>
          <w:rFonts w:eastAsia="Calibri" w:cs="Calibri"/>
          <w:b w:val="0"/>
          <w:sz w:val="12"/>
          <w:highlight w:val="yellow"/>
        </w:rPr>
        <w:t xml:space="preserve"> </w:t>
      </w:r>
      <w:r w:rsidRPr="00EA0A4B">
        <w:rPr>
          <w:rFonts w:eastAsia="Calibri" w:cs="Calibri"/>
          <w:b w:val="0"/>
          <w:sz w:val="12"/>
        </w:rPr>
        <w:t xml:space="preserve">into quality of life and subjective well-being (SWB), </w:t>
      </w:r>
      <w:r w:rsidRPr="00CC43E2">
        <w:rPr>
          <w:rStyle w:val="StyleUnderline"/>
          <w:highlight w:val="yellow"/>
        </w:rPr>
        <w:t>we have come as far as being able to develop measures for the construct</w:t>
      </w:r>
      <w:r w:rsidRPr="00EA0A4B">
        <w:rPr>
          <w:rFonts w:eastAsia="Calibri" w:cs="Calibri"/>
          <w:b w:val="0"/>
          <w:sz w:val="12"/>
        </w:rPr>
        <w:t>.</w:t>
      </w:r>
      <w:r>
        <w:rPr>
          <w:rFonts w:eastAsia="Calibri" w:cs="Calibri"/>
          <w:b w:val="0"/>
          <w:sz w:val="12"/>
        </w:rPr>
        <w:t xml:space="preserve"> </w:t>
      </w:r>
      <w:r w:rsidRPr="00EA0A4B">
        <w:rPr>
          <w:rFonts w:eastAsia="Calibri" w:cs="Calibri"/>
          <w:b w:val="0"/>
          <w:sz w:val="12"/>
        </w:rPr>
        <w:t>EWB is defined by Waterman and colleagues (2010: 41) as:</w:t>
      </w:r>
      <w:r>
        <w:rPr>
          <w:rFonts w:eastAsia="Calibri" w:cs="Calibri"/>
          <w:b w:val="0"/>
          <w:sz w:val="12"/>
        </w:rPr>
        <w:t xml:space="preserve"> </w:t>
      </w:r>
      <w:r w:rsidRPr="00EA0A4B">
        <w:rPr>
          <w:rFonts w:eastAsia="Calibri" w:cs="Calibri"/>
          <w:b w:val="0"/>
          <w:sz w:val="12"/>
        </w:rPr>
        <w:t>“quality of life derived from the development of a person’s best potentials and their application in the fulfillment of personally expressive, self-concordant goals (Sheldon, 2002; Waterman, 1990; 2008)”</w:t>
      </w:r>
      <w:r>
        <w:rPr>
          <w:rFonts w:eastAsia="Calibri" w:cs="Calibri"/>
          <w:b w:val="0"/>
          <w:sz w:val="12"/>
        </w:rPr>
        <w:t xml:space="preserve"> </w:t>
      </w:r>
      <w:r w:rsidRPr="00EA0A4B">
        <w:rPr>
          <w:rFonts w:eastAsia="Calibri" w:cs="Calibri"/>
          <w:b w:val="0"/>
          <w:sz w:val="12"/>
        </w:rPr>
        <w:t>In their study, they give several examples of EWB (Norton, 1976; Waterman et al., 2010). Here are a few:</w:t>
      </w:r>
      <w:r>
        <w:rPr>
          <w:rFonts w:eastAsia="Calibri" w:cs="Calibri"/>
          <w:b w:val="0"/>
          <w:sz w:val="12"/>
        </w:rPr>
        <w:t xml:space="preserve"> </w:t>
      </w:r>
      <w:r w:rsidRPr="00EA0A4B">
        <w:rPr>
          <w:rFonts w:eastAsia="Calibri" w:cs="Calibri"/>
          <w:b w:val="0"/>
          <w:sz w:val="12"/>
        </w:rPr>
        <w:t xml:space="preserve">“Knowing who you really are” – Examples of this self-discovery might include the self-identity knowledge that comes from meditating on your core beliefs. </w:t>
      </w:r>
      <w:proofErr w:type="gramStart"/>
      <w:r w:rsidRPr="00EA0A4B">
        <w:rPr>
          <w:rFonts w:eastAsia="Calibri" w:cs="Calibri"/>
          <w:b w:val="0"/>
          <w:sz w:val="12"/>
        </w:rPr>
        <w:t>Or,</w:t>
      </w:r>
      <w:proofErr w:type="gramEnd"/>
      <w:r w:rsidRPr="00EA0A4B">
        <w:rPr>
          <w:rFonts w:eastAsia="Calibri" w:cs="Calibri"/>
          <w:b w:val="0"/>
          <w:sz w:val="12"/>
        </w:rPr>
        <w:t xml:space="preserve"> it could be a good understanding of your personal character strengths and qualities. It could even be the self-knowledge that comes from reflecting on your personal development or the values that you hold important.</w:t>
      </w:r>
      <w:r>
        <w:rPr>
          <w:rFonts w:eastAsia="Calibri" w:cs="Calibri"/>
          <w:b w:val="0"/>
          <w:sz w:val="12"/>
        </w:rPr>
        <w:t xml:space="preserve"> </w:t>
      </w:r>
      <w:r w:rsidRPr="00EA0A4B">
        <w:rPr>
          <w:rFonts w:eastAsia="Calibri" w:cs="Calibri"/>
          <w:b w:val="0"/>
          <w:sz w:val="12"/>
        </w:rPr>
        <w:t xml:space="preserve">“Developing these unique potentials” – Someone who scores high on EWB (according to the Questionnaire for </w:t>
      </w:r>
      <w:proofErr w:type="spellStart"/>
      <w:r w:rsidRPr="00EA0A4B">
        <w:rPr>
          <w:rFonts w:eastAsia="Calibri" w:cs="Calibri"/>
          <w:b w:val="0"/>
          <w:sz w:val="12"/>
        </w:rPr>
        <w:t>Eudaimonic</w:t>
      </w:r>
      <w:proofErr w:type="spellEnd"/>
      <w:r w:rsidRPr="00EA0A4B">
        <w:rPr>
          <w:rFonts w:eastAsia="Calibri" w:cs="Calibri"/>
          <w:b w:val="0"/>
          <w:sz w:val="12"/>
        </w:rPr>
        <w:t xml:space="preserve"> Well-being) makes a persistent, committed effort to building on this self-knowledge. A little more on the ‘how’ and the QEWB is covered very shortly.</w:t>
      </w:r>
      <w:r>
        <w:rPr>
          <w:rFonts w:eastAsia="Calibri" w:cs="Calibri"/>
          <w:b w:val="0"/>
          <w:sz w:val="12"/>
        </w:rPr>
        <w:t xml:space="preserve"> </w:t>
      </w:r>
      <w:r w:rsidRPr="00EA0A4B">
        <w:rPr>
          <w:rFonts w:eastAsia="Calibri" w:cs="Calibri"/>
          <w:b w:val="0"/>
          <w:sz w:val="12"/>
        </w:rPr>
        <w:t>“Using those potentials to fulfill your life goals” – Someone who is committed to this pursuit, over the long term, would be a prime example.</w:t>
      </w:r>
      <w:r>
        <w:rPr>
          <w:rFonts w:eastAsia="Calibri" w:cs="Calibri"/>
          <w:b w:val="0"/>
          <w:sz w:val="12"/>
        </w:rPr>
        <w:t xml:space="preserve"> </w:t>
      </w:r>
      <w:r w:rsidRPr="00EA0A4B">
        <w:rPr>
          <w:rFonts w:eastAsia="Calibri" w:cs="Calibri"/>
          <w:b w:val="0"/>
          <w:sz w:val="12"/>
        </w:rPr>
        <w:t>These describe some of the EWB concepts on which one well-known measure of EWB is based.</w:t>
      </w:r>
    </w:p>
    <w:p w14:paraId="28ADA5AD" w14:textId="77777777" w:rsidR="00A9618C" w:rsidRPr="00E20F8E" w:rsidRDefault="00A9618C" w:rsidP="00A9618C">
      <w:pPr>
        <w:pStyle w:val="Heading4"/>
      </w:pPr>
      <w:r w:rsidRPr="007E24C9">
        <w:t xml:space="preserve">Impact calc: 1. </w:t>
      </w:r>
      <w:r>
        <w:t xml:space="preserve">The framing evaluates offense based on </w:t>
      </w:r>
      <w:proofErr w:type="gramStart"/>
      <w:r>
        <w:t>whether or not</w:t>
      </w:r>
      <w:proofErr w:type="gramEnd"/>
      <w:r>
        <w:t xml:space="preserve"> a decision allows for the procedural cultivation of virtues— takes out most calc indicts since we don’t need to know what a virtue is, we just need to have humans making decisions </w:t>
      </w:r>
      <w:r w:rsidRPr="007E24C9">
        <w:t xml:space="preserve">2. Reject impact calc indicts – a) just proves being virtuous is hard but moral practice is the point, so it just proves the </w:t>
      </w:r>
      <w:proofErr w:type="spellStart"/>
      <w:r w:rsidRPr="007E24C9">
        <w:t>aff</w:t>
      </w:r>
      <w:proofErr w:type="spellEnd"/>
      <w:r w:rsidRPr="007E24C9">
        <w:t xml:space="preserve"> is necessary b) actions aimed toward the good are virtuous resolved by intuitions since we can’t trust our own judgements about morality.</w:t>
      </w:r>
      <w:r>
        <w:t xml:space="preserve"> </w:t>
      </w:r>
    </w:p>
    <w:p w14:paraId="28B999B8" w14:textId="77777777" w:rsidR="00A9618C" w:rsidRDefault="00A9618C" w:rsidP="00A9618C">
      <w:pPr>
        <w:pStyle w:val="Heading2"/>
      </w:pPr>
      <w:r>
        <w:t>Offense</w:t>
      </w:r>
    </w:p>
    <w:p w14:paraId="734AE056" w14:textId="77777777" w:rsidR="00A9618C" w:rsidRPr="00A1276F" w:rsidRDefault="00A9618C" w:rsidP="00A9618C">
      <w:pPr>
        <w:pStyle w:val="Heading4"/>
        <w:rPr>
          <w:rFonts w:cs="Calibri"/>
        </w:rPr>
      </w:pPr>
      <w:r w:rsidRPr="00E20F8E">
        <w:rPr>
          <w:rFonts w:cs="Calibri"/>
        </w:rPr>
        <w:t>I defend that the member nations of the World Trade Organization ought to reduce intellectual property protections for medicines.</w:t>
      </w:r>
    </w:p>
    <w:p w14:paraId="1A8D41CC" w14:textId="77777777" w:rsidR="00A9618C" w:rsidRPr="00E20F8E" w:rsidRDefault="00A9618C" w:rsidP="00A9618C">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38220102" w14:textId="77777777" w:rsidR="00A9618C" w:rsidRPr="00E20F8E" w:rsidRDefault="00A9618C" w:rsidP="00A9618C">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0B8D71A9" w14:textId="77777777" w:rsidR="00A9618C" w:rsidRPr="00A1276F" w:rsidRDefault="00A9618C" w:rsidP="00A9618C">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highlight w:val="yellow"/>
        </w:rPr>
        <w:t>The ongoing tension</w:t>
      </w:r>
      <w:r w:rsidRPr="00E20F8E">
        <w:rPr>
          <w:rStyle w:val="StyleUnderline"/>
        </w:rPr>
        <w:t xml:space="preserve"> </w:t>
      </w:r>
      <w:r w:rsidRPr="00E20F8E">
        <w:rPr>
          <w:rStyle w:val="StyleUnderline"/>
          <w:highlight w:val="yellow"/>
        </w:rPr>
        <w:t>between</w:t>
      </w:r>
      <w:r w:rsidRPr="00E20F8E">
        <w:rPr>
          <w:rStyle w:val="StyleUnderline"/>
        </w:rPr>
        <w:t xml:space="preserve"> the fight against </w:t>
      </w:r>
      <w:r w:rsidRPr="00E20F8E">
        <w:rPr>
          <w:rStyle w:val="StyleUnderline"/>
          <w:highlight w:val="yellow"/>
        </w:rPr>
        <w:t>poverty and IP rights</w:t>
      </w:r>
      <w:r w:rsidRPr="00E20F8E">
        <w:rPr>
          <w:rStyle w:val="StyleUnderline"/>
        </w:rPr>
        <w:t xml:space="preserve"> continues to </w:t>
      </w:r>
      <w:r w:rsidRPr="00E20F8E">
        <w:rPr>
          <w:rStyle w:val="StyleUnderline"/>
          <w:highlight w:val="yellow"/>
        </w:rPr>
        <w:t>persist at the mercy of</w:t>
      </w:r>
      <w:r w:rsidRPr="00E20F8E">
        <w:rPr>
          <w:rStyle w:val="StyleUnderline"/>
        </w:rPr>
        <w:t xml:space="preserve"> humans in </w:t>
      </w:r>
      <w:r w:rsidRPr="00E20F8E">
        <w:rPr>
          <w:rStyle w:val="StyleUnderline"/>
          <w:highlight w:val="yellow"/>
        </w:rPr>
        <w:t>poorer nations</w:t>
      </w:r>
      <w:r w:rsidRPr="00E20F8E">
        <w:rPr>
          <w:rStyle w:val="StyleUnderline"/>
        </w:rPr>
        <w:t xml:space="preserve"> who are </w:t>
      </w:r>
      <w:r w:rsidRPr="00E20F8E">
        <w:rPr>
          <w:rStyle w:val="StyleUnderline"/>
          <w:highlight w:val="yellow"/>
        </w:rPr>
        <w:t>unable to afford medications</w:t>
      </w:r>
      <w:r w:rsidRPr="00E20F8E">
        <w:rPr>
          <w:rStyle w:val="StyleUnderline"/>
        </w:rPr>
        <w:t xml:space="preserve"> to cure their illnesses and diseases </w:t>
      </w:r>
      <w:r w:rsidRPr="00E20F8E">
        <w:rPr>
          <w:rStyle w:val="StyleUnderline"/>
          <w:highlight w:val="yellow"/>
        </w:rPr>
        <w:t>which hinders maximum</w:t>
      </w:r>
      <w:r w:rsidRPr="00E20F8E">
        <w:rPr>
          <w:rStyle w:val="StyleUnderline"/>
        </w:rPr>
        <w:t xml:space="preserve"> human </w:t>
      </w:r>
      <w:r w:rsidRPr="00E20F8E">
        <w:rPr>
          <w:rStyle w:val="Emphasis"/>
          <w:highlight w:val="yellow"/>
        </w:rPr>
        <w:t>f</w:t>
      </w:r>
      <w:r w:rsidRPr="00E20F8E">
        <w:rPr>
          <w:rStyle w:val="StyleUnderline"/>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highlight w:val="yellow"/>
        </w:rPr>
        <w:t>every person should have the ability to live a flourishing life yet the IP movement has placed limitations on what a person can do</w:t>
      </w:r>
      <w:r w:rsidRPr="00E20F8E">
        <w:rPr>
          <w:rStyle w:val="StyleUnderline"/>
        </w:rPr>
        <w:t xml:space="preserve"> and be as a result of continued poverty.33</w:t>
      </w:r>
    </w:p>
    <w:p w14:paraId="4C4E2242" w14:textId="77777777" w:rsidR="00A9618C" w:rsidRPr="00E20F8E" w:rsidRDefault="00A9618C" w:rsidP="00A9618C">
      <w:pPr>
        <w:pStyle w:val="Heading4"/>
        <w:rPr>
          <w:rFonts w:cs="Calibri"/>
        </w:rPr>
      </w:pPr>
      <w:r w:rsidRPr="00E20F8E">
        <w:rPr>
          <w:rFonts w:cs="Calibri"/>
        </w:rPr>
        <w:t>[2] Removing IPs fosters the social relationships needed to cultivate communal virtues.</w:t>
      </w:r>
    </w:p>
    <w:p w14:paraId="6C850ADA" w14:textId="77777777" w:rsidR="00A9618C" w:rsidRPr="00E20F8E" w:rsidRDefault="00A9618C" w:rsidP="00A9618C">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46FE34F9" w14:textId="77777777" w:rsidR="00A9618C" w:rsidRPr="00A1276F" w:rsidRDefault="00A9618C" w:rsidP="00A9618C">
      <w:pPr>
        <w:rPr>
          <w:rStyle w:val="Style13ptBold"/>
          <w:b w:val="0"/>
          <w:bCs w:val="0"/>
          <w:sz w:val="16"/>
          <w:u w:val="none"/>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rPr>
        <w:t xml:space="preserve">deeper principles of </w:t>
      </w:r>
      <w:r w:rsidRPr="00E20F8E">
        <w:rPr>
          <w:rStyle w:val="StyleUnderline"/>
          <w:highlight w:val="yellow"/>
        </w:rPr>
        <w:t>autonomy, democracy, and mutual respect are furthered by</w:t>
      </w:r>
      <w:r w:rsidRPr="00E20F8E">
        <w:rPr>
          <w:rStyle w:val="StyleUnderline"/>
        </w:rPr>
        <w:t xml:space="preserve"> a culture of </w:t>
      </w:r>
      <w:r w:rsidRPr="00E20F8E">
        <w:rPr>
          <w:rStyle w:val="StyleUnderline"/>
          <w:highlight w:val="yellow"/>
        </w:rPr>
        <w:t>mutual sharing-and participation</w:t>
      </w:r>
      <w:r w:rsidRPr="00E20F8E">
        <w:rPr>
          <w:rStyle w:val="StyleUnderline"/>
        </w:rPr>
        <w:t xml:space="preserve"> in </w:t>
      </w:r>
      <w:r w:rsidRPr="00E20F8E">
        <w:rPr>
          <w:rStyle w:val="StyleUnderline"/>
          <w:highlight w:val="yellow"/>
        </w:rPr>
        <w:t>such a culture teaches</w:t>
      </w:r>
      <w:r w:rsidRPr="00E20F8E">
        <w:rPr>
          <w:rStyle w:val="StyleUnderline"/>
        </w:rPr>
        <w:t xml:space="preserve"> individuals </w:t>
      </w:r>
      <w:r w:rsidRPr="00E20F8E">
        <w:rPr>
          <w:rStyle w:val="StyleUnderline"/>
          <w:highlight w:val="yellow"/>
        </w:rPr>
        <w:t>how to be virtuous.</w:t>
      </w:r>
      <w:r w:rsidRPr="00E20F8E">
        <w:rPr>
          <w:sz w:val="16"/>
        </w:rPr>
        <w:t xml:space="preserve"> 174 To summarize, then, </w:t>
      </w:r>
      <w:r w:rsidRPr="00E20F8E">
        <w:rPr>
          <w:rStyle w:val="StyleUnderline"/>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highlight w:val="yellow"/>
        </w:rPr>
        <w:t>placing material into the commons becomes an ethical act. It</w:t>
      </w:r>
      <w:r w:rsidRPr="00E20F8E">
        <w:rPr>
          <w:rStyle w:val="StyleUnderline"/>
        </w:rPr>
        <w:t xml:space="preserve"> also helps </w:t>
      </w:r>
      <w:r w:rsidRPr="00E20F8E">
        <w:rPr>
          <w:rStyle w:val="StyleUnderline"/>
          <w:highlight w:val="yellow"/>
        </w:rPr>
        <w:t>create bonds of respect, honor, and enthusiasm</w:t>
      </w:r>
      <w:r w:rsidRPr="00E20F8E">
        <w:rPr>
          <w:rStyle w:val="StyleUnderline"/>
        </w:rPr>
        <w:t xml:space="preserve"> between authors and grateful audiences-as well as </w:t>
      </w:r>
      <w:r w:rsidRPr="007343EA">
        <w:rPr>
          <w:rStyle w:val="StyleUnderline"/>
          <w:highlight w:val="yellow"/>
        </w:rPr>
        <w:t>fueling future repetitions of this exchange as audiences become authors themselves</w:t>
      </w:r>
      <w:r w:rsidRPr="00E20F8E">
        <w:rPr>
          <w:rStyle w:val="StyleUnderline"/>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2142FDF7" w14:textId="0B2993DF" w:rsidR="00A9618C" w:rsidRPr="00A1276F" w:rsidRDefault="00A9618C" w:rsidP="00A9618C">
      <w:pPr>
        <w:pStyle w:val="Heading4"/>
        <w:rPr>
          <w:rFonts w:cs="Calibri"/>
        </w:rPr>
      </w:pPr>
      <w:r w:rsidRPr="00E20F8E">
        <w:rPr>
          <w:rFonts w:cs="Calibri"/>
        </w:rPr>
        <w:t>[</w:t>
      </w:r>
      <w:r>
        <w:rPr>
          <w:rFonts w:cs="Calibri"/>
        </w:rPr>
        <w:t>3</w:t>
      </w:r>
      <w:r w:rsidRPr="00E20F8E">
        <w:rPr>
          <w:rFonts w:cs="Calibri"/>
        </w:rPr>
        <w:t xml:space="preserve">] Property rights are incoherent. Everything material intrinsically has a form that’s universally accessible to all people. That means individuals can’t claim ownership to something everyone has access to. </w:t>
      </w:r>
    </w:p>
    <w:p w14:paraId="2215A77A" w14:textId="77777777" w:rsidR="00A9618C" w:rsidRDefault="00A9618C" w:rsidP="00A9618C">
      <w:pPr>
        <w:pStyle w:val="Heading2"/>
      </w:pPr>
      <w:r>
        <w:t>Adv</w:t>
      </w:r>
    </w:p>
    <w:p w14:paraId="33C6B662" w14:textId="77777777" w:rsidR="00A9618C" w:rsidRDefault="00A9618C" w:rsidP="00A9618C">
      <w:pPr>
        <w:pStyle w:val="Heading4"/>
      </w:pPr>
      <w:r>
        <w:t>IP regimes are tied to rising b</w:t>
      </w:r>
      <w:r w:rsidRPr="004D2A6C">
        <w:t>iodiversity loss</w:t>
      </w:r>
      <w:r>
        <w:t xml:space="preserve">. </w:t>
      </w:r>
    </w:p>
    <w:p w14:paraId="694F96E1" w14:textId="77777777" w:rsidR="00A9618C" w:rsidRDefault="00A9618C" w:rsidP="00A9618C">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w:t>
      </w:r>
      <w:proofErr w:type="gramStart"/>
      <w:r>
        <w:t>Of</w:t>
      </w:r>
      <w:proofErr w:type="gramEnd"/>
      <w:r>
        <w:t xml:space="preserve">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2D5C284E" w14:textId="77777777" w:rsidR="00A9618C" w:rsidRPr="002F4C97" w:rsidRDefault="00A9618C" w:rsidP="00A9618C">
      <w:pPr>
        <w:rPr>
          <w:sz w:val="8"/>
        </w:rPr>
      </w:pPr>
      <w:r w:rsidRPr="002F4C97">
        <w:rPr>
          <w:sz w:val="8"/>
        </w:rPr>
        <w:t xml:space="preserve">During the last few years, </w:t>
      </w:r>
      <w:r w:rsidRPr="004D2A6C">
        <w:rPr>
          <w:rStyle w:val="StyleUnderline"/>
          <w:highlight w:val="yellow"/>
        </w:rPr>
        <w:t>biodiversity has been lost at an unprecedented rate</w:t>
      </w:r>
      <w:r w:rsidRPr="002F4C97">
        <w:rPr>
          <w:rStyle w:val="StyleUnderline"/>
        </w:rPr>
        <w:t xml:space="preserve"> throughout the world </w:t>
      </w:r>
      <w:r w:rsidRPr="004D2A6C">
        <w:rPr>
          <w:rStyle w:val="StyleUnderline"/>
          <w:highlight w:val="yellow"/>
        </w:rPr>
        <w:t>in every ecosystem.</w:t>
      </w:r>
      <w:r w:rsidRPr="002F4C97">
        <w:rPr>
          <w:rStyle w:val="StyleUnderline"/>
        </w:rPr>
        <w:t xml:space="preserve"> According to the FAO, about </w:t>
      </w:r>
      <w:r w:rsidRPr="004D2A6C">
        <w:rPr>
          <w:rStyle w:val="StyleUnderline"/>
          <w:highlight w:val="yellow"/>
        </w:rPr>
        <w:t>75% of</w:t>
      </w:r>
      <w:r w:rsidRPr="002F4C97">
        <w:rPr>
          <w:rStyle w:val="StyleUnderline"/>
        </w:rPr>
        <w:t xml:space="preserve"> the </w:t>
      </w:r>
      <w:r w:rsidRPr="004D2A6C">
        <w:rPr>
          <w:rStyle w:val="StyleUnderline"/>
          <w:highlight w:val="yellow"/>
        </w:rPr>
        <w:t>genetic diversity</w:t>
      </w:r>
      <w:r w:rsidRPr="002F4C97">
        <w:rPr>
          <w:rStyle w:val="StyleUnderline"/>
        </w:rPr>
        <w:t xml:space="preserve"> found in agricultural crops </w:t>
      </w:r>
      <w:r w:rsidRPr="004D2A6C">
        <w:rPr>
          <w:rStyle w:val="StyleUnderline"/>
          <w:highlight w:val="yellow"/>
        </w:rPr>
        <w:t>has been lost</w:t>
      </w:r>
      <w:r w:rsidRPr="002F4C97">
        <w:rPr>
          <w:rStyle w:val="StyleUnderline"/>
        </w:rPr>
        <w:t xml:space="preserve"> over the last century,</w:t>
      </w:r>
      <w:r w:rsidRPr="002F4C97">
        <w:rPr>
          <w:sz w:val="8"/>
        </w:rPr>
        <w:t xml:space="preserve"> and this phenomenon continues. It is imperative that we conserve agricultural biodiversity: </w:t>
      </w:r>
      <w:r w:rsidRPr="004D2A6C">
        <w:rPr>
          <w:rStyle w:val="StyleUnderline"/>
          <w:highlight w:val="yellow"/>
        </w:rPr>
        <w:t>higher biodiversity</w:t>
      </w:r>
      <w:r w:rsidRPr="002F4C97">
        <w:rPr>
          <w:rStyle w:val="StyleUnderline"/>
        </w:rPr>
        <w:t xml:space="preserve"> of agricultural crops helps </w:t>
      </w:r>
      <w:r w:rsidRPr="004D2A6C">
        <w:rPr>
          <w:rStyle w:val="StyleUnderline"/>
          <w:highlight w:val="yellow"/>
        </w:rPr>
        <w:t>increase yield stability</w:t>
      </w:r>
      <w:r w:rsidRPr="002F4C97">
        <w:rPr>
          <w:rStyle w:val="StyleUnderline"/>
        </w:rPr>
        <w:t xml:space="preserve"> and </w:t>
      </w:r>
      <w:r w:rsidRPr="004D2A6C">
        <w:rPr>
          <w:rStyle w:val="StyleUnderline"/>
          <w:highlight w:val="yellow"/>
        </w:rPr>
        <w:t>soil fertility</w:t>
      </w:r>
      <w:r w:rsidRPr="002F4C97">
        <w:rPr>
          <w:rStyle w:val="StyleUnderline"/>
        </w:rPr>
        <w:t xml:space="preserve"> and </w:t>
      </w:r>
      <w:r w:rsidRPr="004D2A6C">
        <w:rPr>
          <w:rStyle w:val="StyleUnderline"/>
          <w:highlight w:val="yellow"/>
        </w:rPr>
        <w:t>gives species the ability to adapt</w:t>
      </w:r>
      <w:r w:rsidRPr="002F4C97">
        <w:rPr>
          <w:rStyle w:val="StyleUnderline"/>
        </w:rPr>
        <w:t xml:space="preserve"> to changing conditions.</w:t>
      </w:r>
      <w:r w:rsidRPr="002F4C97">
        <w:rPr>
          <w:sz w:val="8"/>
        </w:rPr>
        <w:t xml:space="preserve"> High agricultural biodiversity </w:t>
      </w:r>
      <w:r w:rsidRPr="004D2A6C">
        <w:rPr>
          <w:rStyle w:val="StyleUnderline"/>
          <w:highlight w:val="yellow"/>
        </w:rPr>
        <w:t>also</w:t>
      </w:r>
      <w:r w:rsidRPr="002F4C97">
        <w:rPr>
          <w:rStyle w:val="StyleUnderline"/>
        </w:rPr>
        <w:t xml:space="preserve"> helps </w:t>
      </w:r>
      <w:r w:rsidRPr="004D2A6C">
        <w:rPr>
          <w:rStyle w:val="StyleUnderline"/>
          <w:highlight w:val="yellow"/>
        </w:rPr>
        <w:t>protect</w:t>
      </w:r>
      <w:r w:rsidRPr="002F4C97">
        <w:rPr>
          <w:rStyle w:val="StyleUnderline"/>
        </w:rPr>
        <w:t xml:space="preserve"> our </w:t>
      </w:r>
      <w:r w:rsidRPr="004D2A6C">
        <w:rPr>
          <w:rStyle w:val="StyleUnderline"/>
          <w:highlight w:val="yellow"/>
        </w:rPr>
        <w:t>health by ensuring sustainable production</w:t>
      </w:r>
      <w:r w:rsidRPr="002F4C97">
        <w:rPr>
          <w:rStyle w:val="StyleUnderline"/>
        </w:rPr>
        <w:t xml:space="preserve"> in medicinal plant use systems.</w:t>
      </w:r>
      <w:r w:rsidRPr="002F4C97">
        <w:rPr>
          <w:sz w:val="8"/>
        </w:rPr>
        <w:t xml:space="preserve"> Agricultural </w:t>
      </w:r>
      <w:r w:rsidRPr="002F4C97">
        <w:rPr>
          <w:rStyle w:val="StyleUnderline"/>
        </w:rPr>
        <w:t xml:space="preserve">biodiversity loss and the present IPR legislation are inextricably tied. </w:t>
      </w:r>
      <w:r w:rsidRPr="004D2A6C">
        <w:rPr>
          <w:rStyle w:val="StyleUnderline"/>
          <w:highlight w:val="yellow"/>
        </w:rPr>
        <w:t>IPRs</w:t>
      </w:r>
      <w:r w:rsidRPr="002F4C97">
        <w:rPr>
          <w:rStyle w:val="StyleUnderline"/>
        </w:rPr>
        <w:t xml:space="preserve"> continue to </w:t>
      </w:r>
      <w:proofErr w:type="spellStart"/>
      <w:r w:rsidRPr="004D2A6C">
        <w:rPr>
          <w:rStyle w:val="StyleUnderline"/>
          <w:highlight w:val="yellow"/>
        </w:rPr>
        <w:t>homogenise</w:t>
      </w:r>
      <w:proofErr w:type="spellEnd"/>
      <w:r w:rsidRPr="004D2A6C">
        <w:rPr>
          <w:rStyle w:val="StyleUnderline"/>
          <w:highlight w:val="yellow"/>
        </w:rPr>
        <w:t xml:space="preserve"> agricultural production</w:t>
      </w:r>
      <w:r w:rsidRPr="002F4C97">
        <w:rPr>
          <w:rStyle w:val="StyleUnderline"/>
        </w:rPr>
        <w:t xml:space="preserve"> and medicinal plant use systems </w:t>
      </w:r>
      <w:r w:rsidRPr="004D2A6C">
        <w:rPr>
          <w:rStyle w:val="StyleUnderline"/>
          <w:highlight w:val="yellow"/>
        </w:rPr>
        <w:t>and</w:t>
      </w:r>
      <w:r w:rsidRPr="002F4C97">
        <w:rPr>
          <w:rStyle w:val="StyleUnderline"/>
        </w:rPr>
        <w:t xml:space="preserve"> could </w:t>
      </w:r>
      <w:r w:rsidRPr="004D2A6C">
        <w:rPr>
          <w:rStyle w:val="StyleUnderline"/>
          <w:highlight w:val="yellow"/>
        </w:rPr>
        <w:t>reduce crop variety</w:t>
      </w:r>
      <w:r w:rsidRPr="002F4C97">
        <w:rPr>
          <w:rStyle w:val="StyleUnderline"/>
        </w:rPr>
        <w:t xml:space="preserve"> development. </w:t>
      </w:r>
      <w:r w:rsidRPr="002F4C97">
        <w:rPr>
          <w:sz w:val="8"/>
        </w:rPr>
        <w:t xml:space="preserve">Our health and our environment </w:t>
      </w:r>
      <w:proofErr w:type="gramStart"/>
      <w:r w:rsidRPr="002F4C97">
        <w:rPr>
          <w:sz w:val="8"/>
        </w:rPr>
        <w:t>is</w:t>
      </w:r>
      <w:proofErr w:type="gramEnd"/>
      <w:r w:rsidRPr="002F4C97">
        <w:rPr>
          <w:sz w:val="8"/>
        </w:rPr>
        <w:t xml:space="preserve"> negatively affected, and it is of utmost importance to conserve our agricultural biodiversity. Evolution of IPRs on biological resources </w:t>
      </w:r>
      <w:proofErr w:type="gramStart"/>
      <w:r w:rsidRPr="002F4C97">
        <w:rPr>
          <w:sz w:val="8"/>
        </w:rPr>
        <w:t>As</w:t>
      </w:r>
      <w:proofErr w:type="gramEnd"/>
      <w:r w:rsidRPr="002F4C97">
        <w:rPr>
          <w:sz w:val="8"/>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t>
      </w:r>
      <w:proofErr w:type="gramStart"/>
      <w:r w:rsidRPr="002F4C97">
        <w:rPr>
          <w:sz w:val="8"/>
        </w:rPr>
        <w:t>with the exception of</w:t>
      </w:r>
      <w:proofErr w:type="gramEnd"/>
      <w:r w:rsidRPr="002F4C97">
        <w:rPr>
          <w:sz w:val="8"/>
        </w:rPr>
        <w:t xml:space="preserve">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w:t>
      </w:r>
      <w:proofErr w:type="gramStart"/>
      <w:r w:rsidRPr="002F4C97">
        <w:rPr>
          <w:sz w:val="8"/>
        </w:rPr>
        <w:t>in order to</w:t>
      </w:r>
      <w:proofErr w:type="gramEnd"/>
      <w:r w:rsidRPr="002F4C97">
        <w:rPr>
          <w:sz w:val="8"/>
        </w:rPr>
        <w:t xml:space="preserve">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w:t>
      </w:r>
      <w:proofErr w:type="gramStart"/>
      <w:r w:rsidRPr="002F4C97">
        <w:rPr>
          <w:sz w:val="8"/>
        </w:rPr>
        <w:t>The</w:t>
      </w:r>
      <w:proofErr w:type="gramEnd"/>
      <w:r w:rsidRPr="002F4C97">
        <w:rPr>
          <w:sz w:val="8"/>
        </w:rPr>
        <w:t xml:space="preserv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rPr>
        <w:t xml:space="preserve">The </w:t>
      </w:r>
      <w:r w:rsidRPr="004D2A6C">
        <w:rPr>
          <w:rStyle w:val="StyleUnderline"/>
          <w:highlight w:val="yellow"/>
        </w:rPr>
        <w:t>privatization of IPRs</w:t>
      </w:r>
      <w:r w:rsidRPr="002F4C97">
        <w:rPr>
          <w:rStyle w:val="StyleUnderline"/>
        </w:rPr>
        <w:t xml:space="preserve"> </w:t>
      </w:r>
      <w:proofErr w:type="gramStart"/>
      <w:r w:rsidRPr="002F4C97">
        <w:rPr>
          <w:rStyle w:val="StyleUnderline"/>
        </w:rPr>
        <w:t>as a result of</w:t>
      </w:r>
      <w:proofErr w:type="gramEnd"/>
      <w:r w:rsidRPr="002F4C97">
        <w:rPr>
          <w:rStyle w:val="StyleUnderline"/>
        </w:rPr>
        <w:t xml:space="preserve"> the TRIPS agreement has </w:t>
      </w:r>
      <w:r w:rsidRPr="004D2A6C">
        <w:rPr>
          <w:rStyle w:val="StyleUnderline"/>
          <w:highlight w:val="yellow"/>
        </w:rPr>
        <w:t>caused commercial</w:t>
      </w:r>
      <w:r w:rsidRPr="002F4C97">
        <w:rPr>
          <w:rStyle w:val="StyleUnderline"/>
        </w:rPr>
        <w:t xml:space="preserve"> and industrial </w:t>
      </w:r>
      <w:r w:rsidRPr="004D2A6C">
        <w:rPr>
          <w:rStyle w:val="StyleUnderline"/>
          <w:highlight w:val="yellow"/>
        </w:rPr>
        <w:t>interests to control</w:t>
      </w:r>
      <w:r w:rsidRPr="002F4C97">
        <w:rPr>
          <w:rStyle w:val="StyleUnderline"/>
        </w:rPr>
        <w:t xml:space="preserve"> the resources of </w:t>
      </w:r>
      <w:r w:rsidRPr="004D2A6C">
        <w:rPr>
          <w:rStyle w:val="StyleUnderline"/>
          <w:highlight w:val="yellow"/>
        </w:rPr>
        <w:t>developing countries that are rich in biodiversity, leading to biological uniformity</w:t>
      </w:r>
      <w:r w:rsidRPr="002F4C97">
        <w:rPr>
          <w:rStyle w:val="StyleUnderline"/>
        </w:rPr>
        <w:t xml:space="preserve"> </w:t>
      </w:r>
    </w:p>
    <w:p w14:paraId="438307C3" w14:textId="77777777" w:rsidR="00A9618C" w:rsidRDefault="00A9618C" w:rsidP="00A9618C">
      <w:pPr>
        <w:pStyle w:val="Heading4"/>
        <w:rPr>
          <w:rFonts w:cs="Calibri"/>
        </w:rPr>
      </w:pPr>
      <w:r>
        <w:rPr>
          <w:rFonts w:cs="Calibri"/>
        </w:rPr>
        <w:t xml:space="preserve">This causes </w:t>
      </w:r>
      <w:r w:rsidRPr="004635ED">
        <w:rPr>
          <w:rFonts w:cs="Calibri"/>
        </w:rPr>
        <w:t>Extinction.</w:t>
      </w:r>
    </w:p>
    <w:p w14:paraId="14CD8C00" w14:textId="77777777" w:rsidR="00A9618C" w:rsidRPr="004635ED" w:rsidRDefault="00A9618C" w:rsidP="00A9618C">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7" w:tooltip="Read more about: Oliver Schelske" w:history="1">
        <w:r w:rsidRPr="004635ED">
          <w:rPr>
            <w:rStyle w:val="Hyperlink"/>
            <w:sz w:val="16"/>
          </w:rPr>
          <w:t>Oliver Schelske</w:t>
        </w:r>
      </w:hyperlink>
      <w:r w:rsidRPr="004635ED">
        <w:rPr>
          <w:sz w:val="16"/>
        </w:rPr>
        <w:t>, Natural Assets &amp; ESG Research Lead, Swiss Re Institute &amp; </w:t>
      </w:r>
      <w:hyperlink r:id="rId8"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9"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2C808C68" w14:textId="77777777" w:rsidR="00A9618C" w:rsidRPr="007136AE" w:rsidRDefault="00A9618C" w:rsidP="00A9618C">
      <w:pPr>
        <w:rPr>
          <w:sz w:val="10"/>
        </w:rPr>
      </w:pPr>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0"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w:t>
      </w:r>
      <w:proofErr w:type="gramStart"/>
      <w:r w:rsidRPr="007136AE">
        <w:rPr>
          <w:sz w:val="10"/>
        </w:rPr>
        <w:t>damage, and</w:t>
      </w:r>
      <w:proofErr w:type="gramEnd"/>
      <w:r w:rsidRPr="007136AE">
        <w:rPr>
          <w:sz w:val="10"/>
        </w:rPr>
        <w:t xml:space="preserve">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1"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w:t>
      </w:r>
      <w:proofErr w:type="gramStart"/>
      <w:r w:rsidRPr="007136AE">
        <w:rPr>
          <w:sz w:val="10"/>
        </w:rPr>
        <w:t>aware, and</w:t>
      </w:r>
      <w:proofErr w:type="gramEnd"/>
      <w:r w:rsidRPr="007136AE">
        <w:rPr>
          <w:sz w:val="10"/>
        </w:rPr>
        <w:t xml:space="preserve"> inform sustainable future development. And this wealth of data for the first time gives insurers the possibility to adapt their future risk pricing, </w:t>
      </w:r>
      <w:proofErr w:type="gramStart"/>
      <w:r w:rsidRPr="007136AE">
        <w:rPr>
          <w:sz w:val="10"/>
        </w:rPr>
        <w:t>selection</w:t>
      </w:r>
      <w:proofErr w:type="gramEnd"/>
      <w:r w:rsidRPr="007136AE">
        <w:rPr>
          <w:sz w:val="10"/>
        </w:rPr>
        <w:t xml:space="preserve">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 xml:space="preserve">And it has become apparent that the risks are both physical – for example, the increasing size and </w:t>
      </w:r>
      <w:proofErr w:type="gramStart"/>
      <w:r w:rsidRPr="004635ED">
        <w:rPr>
          <w:rStyle w:val="StyleUnderline"/>
        </w:rPr>
        <w:t>amount</w:t>
      </w:r>
      <w:proofErr w:type="gramEnd"/>
      <w:r w:rsidRPr="004635ED">
        <w:rPr>
          <w:rStyle w:val="StyleUnderline"/>
        </w:rPr>
        <w:t xml:space="preserve"> of pay-outs following hurricanes and tropical storms – as well as reputational.</w:t>
      </w:r>
      <w:r w:rsidRPr="007136AE">
        <w:rPr>
          <w:sz w:val="10"/>
        </w:rPr>
        <w:t xml:space="preserve"> There is now a recognition that coal, </w:t>
      </w:r>
      <w:proofErr w:type="gramStart"/>
      <w:r w:rsidRPr="007136AE">
        <w:rPr>
          <w:sz w:val="10"/>
        </w:rPr>
        <w:t>oil</w:t>
      </w:r>
      <w:proofErr w:type="gramEnd"/>
      <w:r w:rsidRPr="007136AE">
        <w:rPr>
          <w:sz w:val="10"/>
        </w:rPr>
        <w:t xml:space="preserve">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w:t>
      </w:r>
      <w:proofErr w:type="gramStart"/>
      <w:r w:rsidRPr="004635ED">
        <w:rPr>
          <w:rStyle w:val="StyleUnderline"/>
          <w:highlight w:val="yellow"/>
        </w:rPr>
        <w:t>pollination</w:t>
      </w:r>
      <w:proofErr w:type="gramEnd"/>
      <w:r w:rsidRPr="004635ED">
        <w:rPr>
          <w:rStyle w:val="StyleUnderline"/>
          <w:highlight w:val="yellow"/>
        </w:rPr>
        <w:t xml:space="preserve">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xml:space="preserve">, </w:t>
      </w:r>
      <w:proofErr w:type="gramStart"/>
      <w:r w:rsidRPr="004635ED">
        <w:rPr>
          <w:rStyle w:val="StyleUnderline"/>
        </w:rPr>
        <w:t>and also</w:t>
      </w:r>
      <w:proofErr w:type="gramEnd"/>
      <w:r w:rsidRPr="004635ED">
        <w:rPr>
          <w:rStyle w:val="StyleUnderline"/>
        </w:rPr>
        <w:t xml:space="preserve"> has cultural, religious, educational and aesthetic importance.”</w:t>
      </w:r>
      <w:r w:rsidRPr="007136AE">
        <w:rPr>
          <w:sz w:val="10"/>
        </w:rPr>
        <w:t xml:space="preserve"> The index paints a grim picture. There are 39 of 195 countries with fragile ecosystems on more than 30% of their land. Among them are Malta, Israel, Cyprus, </w:t>
      </w:r>
      <w:proofErr w:type="gramStart"/>
      <w:r w:rsidRPr="007136AE">
        <w:rPr>
          <w:sz w:val="10"/>
        </w:rPr>
        <w:t>Bahrain</w:t>
      </w:r>
      <w:proofErr w:type="gramEnd"/>
      <w:r w:rsidRPr="007136AE">
        <w:rPr>
          <w:sz w:val="10"/>
        </w:rPr>
        <w:t xml:space="preserve"> and Kazakhstan. The risks presented by this weakening of the natural world vary country by country. And within countries too. Some economies are more dependent on ecosystem services than others – countries with high dependency on agriculture, </w:t>
      </w:r>
      <w:proofErr w:type="gramStart"/>
      <w:r w:rsidRPr="007136AE">
        <w:rPr>
          <w:sz w:val="10"/>
        </w:rPr>
        <w:t>forestry</w:t>
      </w:r>
      <w:proofErr w:type="gramEnd"/>
      <w:r w:rsidRPr="007136AE">
        <w:rPr>
          <w:sz w:val="10"/>
        </w:rPr>
        <w:t xml:space="preserve"> and fishing, for example, may be more at risk from a decline in the natural world. These include countries with huge and growing populations like Kenya, Vietnam, Pakistan, </w:t>
      </w:r>
      <w:proofErr w:type="gramStart"/>
      <w:r w:rsidRPr="007136AE">
        <w:rPr>
          <w:sz w:val="10"/>
        </w:rPr>
        <w:t>Indonesia</w:t>
      </w:r>
      <w:proofErr w:type="gramEnd"/>
      <w:r w:rsidRPr="007136AE">
        <w:rPr>
          <w:sz w:val="10"/>
        </w:rPr>
        <w:t xml:space="preserve">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 xml:space="preserve">particularly poignant </w:t>
      </w:r>
      <w:proofErr w:type="gramStart"/>
      <w:r w:rsidRPr="004635ED">
        <w:rPr>
          <w:rStyle w:val="StyleUnderline"/>
          <w:highlight w:val="yellow"/>
        </w:rPr>
        <w:t>in the midst of</w:t>
      </w:r>
      <w:proofErr w:type="gramEnd"/>
      <w:r w:rsidRPr="004635ED">
        <w:rPr>
          <w:rStyle w:val="StyleUnderline"/>
          <w:highlight w:val="yellow"/>
        </w:rPr>
        <w:t xml:space="preserve"> the</w:t>
      </w:r>
      <w:r w:rsidRPr="004635ED">
        <w:rPr>
          <w:rStyle w:val="StyleUnderline"/>
        </w:rPr>
        <w:t xml:space="preserve"> COVID-19 </w:t>
      </w:r>
      <w:r w:rsidRPr="004635ED">
        <w:rPr>
          <w:rStyle w:val="StyleUnderline"/>
          <w:highlight w:val="yellow"/>
        </w:rPr>
        <w:t>pandemic</w:t>
      </w:r>
    </w:p>
    <w:p w14:paraId="5A97324B" w14:textId="77777777" w:rsidR="00A9618C" w:rsidRPr="00B55AD5" w:rsidRDefault="00A9618C" w:rsidP="00A9618C"/>
    <w:p w14:paraId="7571502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618C"/>
    <w:rsid w:val="000139A3"/>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93661"/>
    <w:rsid w:val="00A95652"/>
    <w:rsid w:val="00A9618C"/>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2BC7"/>
    <w:rsid w:val="00D61409"/>
    <w:rsid w:val="00D6691E"/>
    <w:rsid w:val="00D71170"/>
    <w:rsid w:val="00DA1C92"/>
    <w:rsid w:val="00DA25D4"/>
    <w:rsid w:val="00DA6538"/>
    <w:rsid w:val="00DD453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162A0"/>
  <w15:chartTrackingRefBased/>
  <w15:docId w15:val="{629E4FC0-B704-47F4-94E5-0D45D2E9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618C"/>
    <w:rPr>
      <w:rFonts w:ascii="Calibri" w:hAnsi="Calibri" w:cs="Calibri"/>
    </w:rPr>
  </w:style>
  <w:style w:type="paragraph" w:styleId="Heading1">
    <w:name w:val="heading 1"/>
    <w:aliases w:val="Pocket"/>
    <w:basedOn w:val="Normal"/>
    <w:next w:val="Normal"/>
    <w:link w:val="Heading1Char"/>
    <w:qFormat/>
    <w:rsid w:val="00A96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61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61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A961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6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18C"/>
  </w:style>
  <w:style w:type="character" w:customStyle="1" w:styleId="Heading1Char">
    <w:name w:val="Heading 1 Char"/>
    <w:aliases w:val="Pocket Char"/>
    <w:basedOn w:val="DefaultParagraphFont"/>
    <w:link w:val="Heading1"/>
    <w:rsid w:val="00A961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61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618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A9618C"/>
    <w:rPr>
      <w:rFonts w:ascii="Calibri" w:eastAsiaTheme="majorEastAsia" w:hAnsi="Calibri" w:cstheme="majorBidi"/>
      <w:b/>
      <w:iCs/>
      <w:sz w:val="26"/>
    </w:rPr>
  </w:style>
  <w:style w:type="character" w:styleId="Emphasis">
    <w:name w:val="Emphasis"/>
    <w:basedOn w:val="DefaultParagraphFont"/>
    <w:uiPriority w:val="7"/>
    <w:qFormat/>
    <w:rsid w:val="00A9618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618C"/>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A9618C"/>
    <w:rPr>
      <w:b w:val="0"/>
      <w:sz w:val="26"/>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A9618C"/>
    <w:rPr>
      <w:color w:val="auto"/>
      <w:u w:val="none"/>
    </w:rPr>
  </w:style>
  <w:style w:type="character" w:styleId="FollowedHyperlink">
    <w:name w:val="FollowedHyperlink"/>
    <w:basedOn w:val="DefaultParagraphFont"/>
    <w:uiPriority w:val="99"/>
    <w:semiHidden/>
    <w:unhideWhenUsed/>
    <w:rsid w:val="00A9618C"/>
    <w:rPr>
      <w:color w:val="auto"/>
      <w:u w:val="none"/>
    </w:rPr>
  </w:style>
  <w:style w:type="paragraph" w:customStyle="1" w:styleId="Analytic">
    <w:name w:val="Analytic"/>
    <w:basedOn w:val="Heading4"/>
    <w:link w:val="AnalyticChar"/>
    <w:qFormat/>
    <w:rsid w:val="00A9618C"/>
    <w:rPr>
      <w:color w:val="000000" w:themeColor="text1"/>
    </w:rPr>
  </w:style>
  <w:style w:type="character" w:customStyle="1" w:styleId="AnalyticChar">
    <w:name w:val="Analytic Char"/>
    <w:basedOn w:val="DefaultParagraphFont"/>
    <w:link w:val="Analytic"/>
    <w:rsid w:val="00A9618C"/>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issre.com/profile/Bernd_Wilke/ip_567f6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wissre.com/profile/Oliver_Schelske/ip_bdeb3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tp.oxfordphilsoc.org/Documents/StudentPrize/2015_H1b.pdf" TargetMode="External"/><Relationship Id="rId11" Type="http://schemas.openxmlformats.org/officeDocument/2006/relationships/hyperlink" Target="https://www.swissre.com/institute/research/topics-and-risk-dialogues/climate-and-natural-catastrophe-risk/expertise-publication-biodiversity-and-ecosystems-services.html" TargetMode="External"/><Relationship Id="rId5" Type="http://schemas.openxmlformats.org/officeDocument/2006/relationships/webSettings" Target="webSettings.xml"/><Relationship Id="rId10" Type="http://schemas.openxmlformats.org/officeDocument/2006/relationships/hyperlink" Target="https://www.un.org/pga/74/united-nations-summit-on-biodiversity/" TargetMode="External"/><Relationship Id="rId4" Type="http://schemas.openxmlformats.org/officeDocument/2006/relationships/settings" Target="settings.xml"/><Relationship Id="rId9" Type="http://schemas.openxmlformats.org/officeDocument/2006/relationships/hyperlink" Target="https://www.swissre.com/risk-knowledge/mitigating-climate-risk/managing-biodiversity-risk-is-critical-for-global-econom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7367</Words>
  <Characters>41993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2</cp:revision>
  <dcterms:created xsi:type="dcterms:W3CDTF">2021-09-24T19:37:00Z</dcterms:created>
  <dcterms:modified xsi:type="dcterms:W3CDTF">2021-09-24T20:49:00Z</dcterms:modified>
</cp:coreProperties>
</file>